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方正黑体简体" w:eastAsia="方正黑体简体"/>
          <w:b w:val="0"/>
          <w:bCs/>
          <w:sz w:val="32"/>
          <w:szCs w:val="32"/>
          <w:lang w:eastAsia="zh-CN"/>
        </w:rPr>
      </w:pPr>
    </w:p>
    <w:p>
      <w:pPr>
        <w:spacing w:line="500" w:lineRule="exact"/>
        <w:rPr>
          <w:rFonts w:hint="eastAsia" w:ascii="方正黑体简体" w:eastAsia="方正黑体简体"/>
          <w:b w:val="0"/>
          <w:bCs/>
          <w:sz w:val="32"/>
          <w:szCs w:val="32"/>
          <w:lang w:eastAsia="zh-CN"/>
        </w:rPr>
      </w:pPr>
    </w:p>
    <w:p>
      <w:pPr>
        <w:spacing w:line="400" w:lineRule="exact"/>
        <w:rPr>
          <w:rFonts w:hint="eastAsia" w:ascii="仿宋_GB2312" w:eastAsia="仿宋_GB2312"/>
          <w:sz w:val="32"/>
          <w:szCs w:val="32"/>
        </w:rPr>
      </w:pPr>
    </w:p>
    <w:p>
      <w:pPr>
        <w:spacing w:line="400" w:lineRule="exact"/>
        <w:rPr>
          <w:rFonts w:hint="eastAsia" w:ascii="仿宋_GB2312" w:eastAsia="仿宋_GB2312"/>
          <w:sz w:val="32"/>
          <w:szCs w:val="32"/>
        </w:rPr>
      </w:pPr>
    </w:p>
    <w:p>
      <w:pPr>
        <w:spacing w:line="400" w:lineRule="exact"/>
        <w:rPr>
          <w:rFonts w:hint="eastAsia" w:ascii="仿宋_GB2312" w:eastAsia="仿宋_GB2312"/>
          <w:sz w:val="32"/>
          <w:szCs w:val="32"/>
        </w:rPr>
      </w:pPr>
    </w:p>
    <w:p>
      <w:pPr>
        <w:spacing w:line="500" w:lineRule="exact"/>
        <w:jc w:val="center"/>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00" w:lineRule="exact"/>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rPr>
          <w:rFonts w:hint="eastAsia" w:ascii="仿宋" w:hAnsi="仿宋" w:eastAsia="仿宋" w:cs="仿宋"/>
          <w:b/>
          <w:bCs w:val="0"/>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rPr>
          <w:rFonts w:hint="eastAsia" w:ascii="仿宋" w:hAnsi="仿宋" w:eastAsia="仿宋" w:cs="仿宋"/>
          <w:b/>
          <w:bCs w:val="0"/>
          <w:sz w:val="18"/>
          <w:szCs w:val="18"/>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rPr>
          <w:rFonts w:hint="eastAsia" w:ascii="仿宋" w:hAnsi="仿宋" w:eastAsia="仿宋" w:cs="仿宋"/>
          <w:b/>
          <w:bCs w:val="0"/>
          <w:sz w:val="32"/>
          <w:szCs w:val="32"/>
        </w:rPr>
      </w:pPr>
      <w:r>
        <w:rPr>
          <w:rFonts w:hint="eastAsia" w:ascii="仿宋" w:hAnsi="仿宋" w:eastAsia="仿宋" w:cs="仿宋"/>
          <w:b/>
          <w:bCs w:val="0"/>
          <w:sz w:val="32"/>
          <w:szCs w:val="32"/>
        </w:rPr>
        <w:t>济</w:t>
      </w:r>
      <w:r>
        <w:rPr>
          <w:rFonts w:hint="eastAsia" w:ascii="仿宋" w:hAnsi="仿宋" w:eastAsia="仿宋" w:cs="仿宋"/>
          <w:b/>
          <w:bCs w:val="0"/>
          <w:sz w:val="32"/>
          <w:szCs w:val="32"/>
          <w:lang w:eastAsia="zh-CN"/>
        </w:rPr>
        <w:t>医保字</w:t>
      </w:r>
      <w:r>
        <w:rPr>
          <w:rFonts w:hint="eastAsia" w:ascii="仿宋" w:hAnsi="仿宋" w:eastAsia="仿宋" w:cs="仿宋"/>
          <w:b/>
          <w:bCs w:val="0"/>
          <w:sz w:val="32"/>
          <w:szCs w:val="32"/>
        </w:rPr>
        <w:t>〔20</w:t>
      </w:r>
      <w:r>
        <w:rPr>
          <w:rFonts w:hint="eastAsia" w:ascii="仿宋" w:hAnsi="仿宋" w:eastAsia="仿宋" w:cs="仿宋"/>
          <w:b/>
          <w:bCs w:val="0"/>
          <w:sz w:val="32"/>
          <w:szCs w:val="32"/>
          <w:lang w:val="en-US" w:eastAsia="zh-CN"/>
        </w:rPr>
        <w:t>23</w:t>
      </w:r>
      <w:r>
        <w:rPr>
          <w:rFonts w:hint="eastAsia" w:ascii="仿宋" w:hAnsi="仿宋" w:eastAsia="仿宋" w:cs="仿宋"/>
          <w:b/>
          <w:bCs w:val="0"/>
          <w:sz w:val="32"/>
          <w:szCs w:val="32"/>
        </w:rPr>
        <w:t>〕</w:t>
      </w:r>
      <w:r>
        <w:rPr>
          <w:rFonts w:hint="eastAsia" w:ascii="仿宋" w:hAnsi="仿宋" w:eastAsia="仿宋" w:cs="仿宋"/>
          <w:b/>
          <w:bCs w:val="0"/>
          <w:sz w:val="32"/>
          <w:szCs w:val="32"/>
          <w:lang w:val="en-US" w:eastAsia="zh-CN"/>
        </w:rPr>
        <w:t>13</w:t>
      </w:r>
      <w:r>
        <w:rPr>
          <w:rFonts w:hint="eastAsia" w:ascii="仿宋" w:hAnsi="仿宋" w:eastAsia="仿宋" w:cs="仿宋"/>
          <w:b/>
          <w:bCs w:val="0"/>
          <w:sz w:val="32"/>
          <w:szCs w:val="32"/>
        </w:rPr>
        <w:t>号</w:t>
      </w:r>
    </w:p>
    <w:p>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textAlignment w:val="auto"/>
        <w:rPr>
          <w:rFonts w:hint="eastAsia" w:ascii="方正小标宋简体" w:hAnsi="方正小标宋简体" w:eastAsia="方正小标宋简体"/>
          <w:b/>
          <w:sz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val="0"/>
          <w:sz w:val="44"/>
          <w:szCs w:val="44"/>
          <w:lang w:val="en-US" w:eastAsia="zh-CN"/>
        </w:rPr>
      </w:pPr>
      <w:r>
        <w:rPr>
          <w:rFonts w:hint="eastAsia" w:ascii="方正小标宋简体" w:hAnsi="方正小标宋简体" w:eastAsia="方正小标宋简体" w:cs="方正小标宋简体"/>
          <w:b/>
          <w:bCs w:val="0"/>
          <w:sz w:val="44"/>
          <w:szCs w:val="44"/>
          <w:lang w:eastAsia="zh-CN"/>
        </w:rPr>
        <w:t>关</w:t>
      </w:r>
      <w:r>
        <w:rPr>
          <w:rFonts w:hint="eastAsia" w:ascii="方正小标宋简体" w:hAnsi="方正小标宋简体" w:eastAsia="方正小标宋简体" w:cs="方正小标宋简体"/>
          <w:b/>
          <w:bCs w:val="0"/>
          <w:sz w:val="44"/>
          <w:szCs w:val="44"/>
          <w:lang w:val="en-US" w:eastAsia="zh-CN"/>
        </w:rPr>
        <w:t>于印发《济宁市医疗保障局关于做好定点零售药店纳入门诊统筹管理的实施意见》的通知</w:t>
      </w:r>
    </w:p>
    <w:p>
      <w:pPr>
        <w:pStyle w:val="2"/>
        <w:keepNext w:val="0"/>
        <w:keepLines w:val="0"/>
        <w:pageBreakBefore w:val="0"/>
        <w:widowControl w:val="0"/>
        <w:kinsoku/>
        <w:wordWrap/>
        <w:overflowPunct/>
        <w:topLinePunct w:val="0"/>
        <w:autoSpaceDE/>
        <w:autoSpaceDN/>
        <w:bidi w:val="0"/>
        <w:adjustRightInd/>
        <w:snapToGrid/>
        <w:spacing w:line="600" w:lineRule="exact"/>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baseline"/>
        <w:rPr>
          <w:rFonts w:hint="eastAsia" w:ascii="仿宋" w:hAnsi="仿宋" w:eastAsia="仿宋" w:cs="仿宋"/>
          <w:b/>
          <w:bCs w:val="0"/>
          <w:sz w:val="32"/>
          <w:szCs w:val="32"/>
        </w:rPr>
      </w:pPr>
      <w:r>
        <w:rPr>
          <w:rFonts w:hint="eastAsia" w:ascii="仿宋" w:hAnsi="仿宋" w:eastAsia="仿宋"/>
          <w:b/>
          <w:bCs/>
          <w:sz w:val="32"/>
          <w:szCs w:val="32"/>
        </w:rPr>
        <w:t>各</w:t>
      </w:r>
      <w:r>
        <w:rPr>
          <w:rFonts w:hint="eastAsia" w:ascii="仿宋" w:hAnsi="仿宋" w:eastAsia="仿宋" w:cs="仿宋"/>
          <w:b/>
          <w:bCs w:val="0"/>
          <w:sz w:val="32"/>
          <w:szCs w:val="32"/>
        </w:rPr>
        <w:t>县（市、区）医疗保障局</w:t>
      </w:r>
      <w:r>
        <w:rPr>
          <w:rFonts w:hint="eastAsia" w:ascii="仿宋" w:hAnsi="仿宋" w:eastAsia="仿宋" w:cs="仿宋"/>
          <w:b/>
          <w:bCs w:val="0"/>
          <w:sz w:val="32"/>
          <w:szCs w:val="32"/>
          <w:highlight w:val="none"/>
        </w:rPr>
        <w:t>，济宁高新区人力资源部、太白湖新区社会保障事业服务中心、济宁经济技术开发区人力</w:t>
      </w:r>
      <w:r>
        <w:rPr>
          <w:rFonts w:hint="eastAsia" w:ascii="仿宋" w:hAnsi="仿宋" w:eastAsia="仿宋" w:cs="仿宋"/>
          <w:b/>
          <w:bCs w:val="0"/>
          <w:sz w:val="32"/>
          <w:szCs w:val="32"/>
        </w:rPr>
        <w:t>资源和社会保障服务中心，兖矿能源集团股份有限公司人力资源服务中心，市医疗保障综合执法支队、市医疗保险事业中心：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baseline"/>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现将《济宁市医疗保障局关于做好定点零售药店纳入门诊统筹管理的实施意见》印发给你们，请认真贯彻落实。</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baseline"/>
        <w:rPr>
          <w:rFonts w:hint="eastAsia" w:ascii="仿宋" w:hAnsi="仿宋" w:eastAsia="仿宋" w:cs="仿宋"/>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baseline"/>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 xml:space="preserve">                               济宁市医疗保障局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baseline"/>
        <w:rPr>
          <w:rFonts w:hint="eastAsia" w:ascii="仿宋" w:hAnsi="仿宋" w:eastAsia="仿宋" w:cs="仿宋"/>
          <w:b/>
          <w:bCs w:val="0"/>
          <w:sz w:val="32"/>
          <w:szCs w:val="32"/>
          <w:lang w:val="en-US" w:eastAsia="zh-Hans"/>
        </w:rPr>
      </w:pPr>
      <w:r>
        <w:rPr>
          <w:rFonts w:hint="eastAsia" w:ascii="仿宋" w:hAnsi="仿宋" w:eastAsia="仿宋" w:cs="仿宋"/>
          <w:b/>
          <w:bCs w:val="0"/>
          <w:sz w:val="32"/>
          <w:szCs w:val="32"/>
          <w:lang w:val="en-US" w:eastAsia="zh-CN"/>
        </w:rPr>
        <w:t xml:space="preserve">                                2023年4月3日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小标宋简体" w:hAnsi="方正小标宋简体" w:eastAsia="方正小标宋简体" w:cs="方正小标宋简体"/>
          <w:b/>
          <w:bCs w:val="0"/>
          <w:sz w:val="44"/>
          <w:szCs w:val="44"/>
          <w:lang w:val="en-US" w:eastAsia="zh-CN"/>
        </w:rPr>
      </w:pPr>
      <w:r>
        <w:rPr>
          <w:rFonts w:hint="eastAsia" w:ascii="仿宋" w:hAnsi="仿宋" w:eastAsia="仿宋" w:cs="仿宋"/>
          <w:b/>
          <w:bCs w:val="0"/>
          <w:sz w:val="32"/>
          <w:szCs w:val="32"/>
          <w:lang w:val="en-US" w:eastAsia="zh-CN"/>
        </w:rPr>
        <w:t>（此件主动公开）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val="0"/>
          <w:sz w:val="44"/>
          <w:szCs w:val="44"/>
          <w:lang w:val="en-US" w:eastAsia="zh-CN"/>
        </w:rPr>
      </w:pPr>
      <w:r>
        <w:rPr>
          <w:rFonts w:hint="eastAsia" w:ascii="方正小标宋简体" w:hAnsi="方正小标宋简体" w:eastAsia="方正小标宋简体" w:cs="方正小标宋简体"/>
          <w:b/>
          <w:bCs w:val="0"/>
          <w:sz w:val="44"/>
          <w:szCs w:val="44"/>
          <w:lang w:val="en-US" w:eastAsia="zh-CN"/>
        </w:rPr>
        <w:t>济宁市医疗保障局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val="0"/>
          <w:w w:val="98"/>
          <w:sz w:val="44"/>
          <w:szCs w:val="44"/>
          <w:lang w:val="en-US" w:eastAsia="zh-CN"/>
        </w:rPr>
      </w:pPr>
      <w:r>
        <w:rPr>
          <w:rFonts w:hint="eastAsia" w:ascii="方正小标宋简体" w:hAnsi="方正小标宋简体" w:eastAsia="方正小标宋简体" w:cs="方正小标宋简体"/>
          <w:b/>
          <w:bCs w:val="0"/>
          <w:w w:val="98"/>
          <w:sz w:val="44"/>
          <w:szCs w:val="44"/>
          <w:lang w:val="en-US" w:eastAsia="zh-CN"/>
        </w:rPr>
        <w:t>关于做好定点零售药店纳入门诊统筹管理的</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val="0"/>
          <w:sz w:val="44"/>
          <w:szCs w:val="44"/>
          <w:lang w:val="en-US" w:eastAsia="zh-CN"/>
        </w:rPr>
      </w:pPr>
      <w:r>
        <w:rPr>
          <w:rFonts w:hint="eastAsia" w:ascii="方正小标宋简体" w:hAnsi="方正小标宋简体" w:eastAsia="方正小标宋简体" w:cs="方正小标宋简体"/>
          <w:b/>
          <w:bCs w:val="0"/>
          <w:sz w:val="44"/>
          <w:szCs w:val="44"/>
          <w:lang w:val="en-US" w:eastAsia="zh-CN"/>
        </w:rPr>
        <w:t>实施意见</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val="0"/>
          <w:sz w:val="32"/>
          <w:szCs w:val="32"/>
          <w:lang w:val="en-US" w:eastAsia="zh-Hans"/>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Hans"/>
        </w:rPr>
        <w:t>为扎实推进职工基本医疗保险门诊共济保障机制改革，</w:t>
      </w:r>
      <w:r>
        <w:rPr>
          <w:rFonts w:hint="eastAsia" w:ascii="仿宋" w:hAnsi="仿宋" w:eastAsia="仿宋" w:cs="仿宋"/>
          <w:b/>
          <w:bCs w:val="0"/>
          <w:sz w:val="32"/>
          <w:szCs w:val="32"/>
          <w:lang w:val="en-US" w:eastAsia="zh-CN"/>
        </w:rPr>
        <w:t>不断提高人民群众医疗保障水平，根据省医保局《关于做好定点零售药店纳入门诊统筹管理的通知》（鲁医保发〔2023〕16号）、《济宁市建立健全职工基本医疗保险门诊共济保障机制实施细则》（济政办发〔2022〕13号）要求，结合我市实际，现就做好定点零售药店纳入门诊统筹管理工作提出如下实施意见。</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bCs w:val="0"/>
          <w:sz w:val="32"/>
          <w:szCs w:val="32"/>
          <w:lang w:val="en-US" w:eastAsia="zh-CN"/>
        </w:rPr>
      </w:pPr>
      <w:r>
        <w:rPr>
          <w:rFonts w:hint="eastAsia" w:ascii="黑体" w:hAnsi="黑体" w:eastAsia="黑体" w:cs="黑体"/>
          <w:b/>
          <w:bCs w:val="0"/>
          <w:sz w:val="32"/>
          <w:szCs w:val="32"/>
          <w:lang w:val="en-US" w:eastAsia="zh-CN"/>
        </w:rPr>
        <w:t xml:space="preserve">    一、高度重视定点零售药店纳入门诊统筹管理工作</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val="0"/>
          <w:sz w:val="32"/>
          <w:szCs w:val="32"/>
          <w:lang w:val="en-US" w:eastAsia="zh-CN"/>
        </w:rPr>
      </w:pPr>
      <w:r>
        <w:rPr>
          <w:rFonts w:hint="eastAsia" w:ascii="Times New Roman" w:hAnsi="Times New Roman" w:eastAsia="方正仿宋简体" w:cs="Times New Roman"/>
          <w:b/>
          <w:bCs w:val="0"/>
          <w:sz w:val="32"/>
          <w:szCs w:val="32"/>
          <w:lang w:val="en-US" w:eastAsia="zh-CN"/>
        </w:rPr>
        <w:t xml:space="preserve">    </w:t>
      </w:r>
      <w:r>
        <w:rPr>
          <w:rFonts w:hint="eastAsia" w:ascii="仿宋" w:hAnsi="仿宋" w:eastAsia="仿宋" w:cs="仿宋"/>
          <w:b/>
          <w:bCs w:val="0"/>
          <w:sz w:val="32"/>
          <w:szCs w:val="32"/>
          <w:lang w:val="en-US" w:eastAsia="zh-CN"/>
        </w:rPr>
        <w:t>推进职工基本医疗保险门诊共济保障机制改革，是党中央、国务院和省委省政府、市委市政府作出的重大决策部署，对于更好发挥职工医保门诊医药费用保障功能，切实保障参保人员权益具有重要意义。将定点零售药店纳入门诊统筹管理是改革的重要组成部分，有利于提升参保人员就医购药的便利性、可及性。各级医保部门务必提高政治站位，统一思想认识，切实做好定点零售药店纳入门诊统筹管理工作，将门诊统筹基金用于扩大医药服务供给，释放医保改革红利，进一步增强参保人员获得感、幸福感、安全感。</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bCs w:val="0"/>
          <w:sz w:val="32"/>
          <w:szCs w:val="32"/>
          <w:lang w:val="en-US" w:eastAsia="zh-CN"/>
        </w:rPr>
      </w:pPr>
      <w:r>
        <w:rPr>
          <w:rFonts w:hint="eastAsia" w:ascii="黑体" w:hAnsi="黑体" w:eastAsia="黑体" w:cs="黑体"/>
          <w:b/>
          <w:bCs w:val="0"/>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val="0"/>
          <w:sz w:val="32"/>
          <w:szCs w:val="32"/>
          <w:lang w:val="en-US" w:eastAsia="zh-CN"/>
        </w:rPr>
      </w:pPr>
      <w:r>
        <w:rPr>
          <w:rFonts w:hint="eastAsia" w:ascii="黑体" w:hAnsi="黑体" w:eastAsia="黑体" w:cs="黑体"/>
          <w:b/>
          <w:bCs w:val="0"/>
          <w:sz w:val="32"/>
          <w:szCs w:val="32"/>
          <w:lang w:val="en-US" w:eastAsia="zh-CN"/>
        </w:rPr>
        <w:t>二、积极支持定点零售药店开通门诊统筹服务</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val="0"/>
          <w:sz w:val="32"/>
          <w:szCs w:val="32"/>
          <w:lang w:val="en-US" w:eastAsia="zh-CN"/>
        </w:rPr>
      </w:pPr>
      <w:r>
        <w:rPr>
          <w:rFonts w:hint="eastAsia" w:ascii="Times New Roman" w:hAnsi="Times New Roman" w:eastAsia="方正仿宋简体" w:cs="Times New Roman"/>
          <w:b/>
          <w:bCs w:val="0"/>
          <w:sz w:val="32"/>
          <w:szCs w:val="32"/>
          <w:lang w:val="en-US" w:eastAsia="zh-CN"/>
        </w:rPr>
        <w:t xml:space="preserve">    </w:t>
      </w:r>
      <w:r>
        <w:rPr>
          <w:rFonts w:hint="eastAsia" w:ascii="仿宋" w:hAnsi="仿宋" w:eastAsia="仿宋" w:cs="仿宋"/>
          <w:b/>
          <w:bCs w:val="0"/>
          <w:sz w:val="32"/>
          <w:szCs w:val="32"/>
          <w:lang w:val="en-US" w:eastAsia="zh-CN"/>
        </w:rPr>
        <w:t>各级医保部门要及时将符合条件的定点零售药店纳入门诊统筹定点零售药店</w:t>
      </w:r>
      <w:r>
        <w:rPr>
          <w:rFonts w:hint="eastAsia" w:ascii="仿宋" w:hAnsi="仿宋" w:eastAsia="仿宋" w:cs="仿宋"/>
          <w:b/>
          <w:bCs w:val="0"/>
          <w:kern w:val="2"/>
          <w:sz w:val="32"/>
          <w:szCs w:val="32"/>
          <w:lang w:val="en-US" w:eastAsia="zh-CN" w:bidi="ar-SA"/>
        </w:rPr>
        <w:t>（以下简称“门诊统筹药店”）</w:t>
      </w:r>
      <w:r>
        <w:rPr>
          <w:rFonts w:hint="eastAsia" w:ascii="仿宋" w:hAnsi="仿宋" w:eastAsia="仿宋" w:cs="仿宋"/>
          <w:b/>
          <w:bCs w:val="0"/>
          <w:sz w:val="32"/>
          <w:szCs w:val="32"/>
          <w:lang w:val="en-US" w:eastAsia="zh-CN"/>
        </w:rPr>
        <w:t>管理。</w:t>
      </w:r>
      <w:r>
        <w:rPr>
          <w:rFonts w:hint="eastAsia" w:ascii="仿宋" w:hAnsi="仿宋" w:eastAsia="仿宋" w:cs="仿宋"/>
          <w:b/>
          <w:bCs w:val="0"/>
          <w:kern w:val="2"/>
          <w:sz w:val="32"/>
          <w:szCs w:val="32"/>
          <w:lang w:val="en-US" w:eastAsia="zh-CN" w:bidi="ar-SA"/>
        </w:rPr>
        <w:t>门诊统筹药店应符合医保部门规定的医保药品管理、财务管理、人员管理、信息管理以及医保费用审核结算等方面要求，配备执业药师并确保营业时间在岗，建立医保药品等基础数据库，按规定使用国家统一医保编码。</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sz w:val="32"/>
          <w:szCs w:val="32"/>
          <w:lang w:val="en-US" w:eastAsia="zh-CN"/>
        </w:rPr>
      </w:pPr>
      <w:r>
        <w:rPr>
          <w:rFonts w:hint="eastAsia" w:ascii="仿宋" w:hAnsi="仿宋" w:eastAsia="仿宋" w:cs="仿宋"/>
          <w:b/>
          <w:bCs w:val="0"/>
          <w:kern w:val="2"/>
          <w:sz w:val="32"/>
          <w:szCs w:val="32"/>
          <w:lang w:val="en-US" w:eastAsia="zh-CN" w:bidi="ar-SA"/>
        </w:rPr>
        <w:t>符合条件的济宁市基本医疗保险定点零售药店均可</w:t>
      </w:r>
      <w:r>
        <w:rPr>
          <w:rFonts w:hint="eastAsia" w:ascii="仿宋" w:hAnsi="仿宋" w:eastAsia="仿宋" w:cs="仿宋"/>
          <w:b/>
          <w:bCs w:val="0"/>
          <w:sz w:val="32"/>
          <w:szCs w:val="32"/>
          <w:lang w:val="en-US" w:eastAsia="zh-CN"/>
        </w:rPr>
        <w:t>按照属地管理原则</w:t>
      </w:r>
      <w:r>
        <w:rPr>
          <w:rFonts w:hint="eastAsia" w:ascii="仿宋" w:hAnsi="仿宋" w:eastAsia="仿宋" w:cs="仿宋"/>
          <w:b/>
          <w:bCs w:val="0"/>
          <w:kern w:val="2"/>
          <w:sz w:val="32"/>
          <w:szCs w:val="32"/>
          <w:lang w:val="en-US" w:eastAsia="zh-CN" w:bidi="ar-SA"/>
        </w:rPr>
        <w:t>自愿</w:t>
      </w:r>
      <w:r>
        <w:rPr>
          <w:rFonts w:hint="eastAsia" w:ascii="仿宋" w:hAnsi="仿宋" w:eastAsia="仿宋" w:cs="仿宋"/>
          <w:b/>
          <w:bCs w:val="0"/>
          <w:sz w:val="32"/>
          <w:szCs w:val="32"/>
          <w:lang w:val="en-US" w:eastAsia="zh-CN"/>
        </w:rPr>
        <w:t>向所在地医保经办机构提出纳入门诊统筹定点申请。市县两级医保经办机构要精简申请材料、公开经办流程、缩短办理时限，及时为符合条件的定点零售药店（包括已纳入“双通道”管理的定点零售药店）开通门诊统筹服务。适时探索将符合条件的定点零售药店纳入门诊慢</w:t>
      </w:r>
      <w:r>
        <w:rPr>
          <w:rFonts w:hint="eastAsia" w:ascii="Times New Roman" w:hAnsi="Times New Roman" w:eastAsia="方正仿宋简体" w:cs="Times New Roman"/>
          <w:b/>
          <w:bCs w:val="0"/>
          <w:sz w:val="32"/>
          <w:szCs w:val="32"/>
          <w:lang w:val="en-US" w:eastAsia="zh-CN"/>
        </w:rPr>
        <w:t>特病用药保障范围。</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val="0"/>
          <w:kern w:val="2"/>
          <w:sz w:val="32"/>
          <w:szCs w:val="32"/>
          <w:lang w:val="en-US" w:eastAsia="zh-CN" w:bidi="ar-SA"/>
        </w:rPr>
      </w:pPr>
      <w:r>
        <w:rPr>
          <w:rFonts w:hint="eastAsia" w:ascii="黑体" w:hAnsi="黑体" w:eastAsia="黑体" w:cs="黑体"/>
          <w:b/>
          <w:bCs w:val="0"/>
          <w:sz w:val="32"/>
          <w:szCs w:val="32"/>
          <w:lang w:val="en-US" w:eastAsia="zh-CN"/>
        </w:rPr>
        <w:t>三、完善定点零售药店</w:t>
      </w:r>
      <w:r>
        <w:rPr>
          <w:rFonts w:hint="eastAsia" w:ascii="黑体" w:hAnsi="黑体" w:eastAsia="黑体" w:cs="黑体"/>
          <w:b/>
          <w:bCs w:val="0"/>
          <w:kern w:val="2"/>
          <w:sz w:val="32"/>
          <w:szCs w:val="32"/>
          <w:lang w:val="en-US" w:eastAsia="zh-CN" w:bidi="ar-SA"/>
        </w:rPr>
        <w:t>门诊统筹支付政策</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Times New Roman"/>
          <w:b/>
          <w:bCs w:val="0"/>
          <w:kern w:val="2"/>
          <w:sz w:val="32"/>
          <w:szCs w:val="32"/>
          <w:lang w:val="en-US" w:eastAsia="zh-CN" w:bidi="ar-SA"/>
        </w:rPr>
      </w:pPr>
      <w:r>
        <w:rPr>
          <w:rFonts w:hint="eastAsia" w:ascii="方正楷体简体" w:hAnsi="方正楷体简体" w:eastAsia="方正楷体简体" w:cs="方正楷体简体"/>
          <w:b/>
          <w:bCs w:val="0"/>
          <w:kern w:val="2"/>
          <w:sz w:val="32"/>
          <w:szCs w:val="32"/>
          <w:lang w:val="en-US" w:eastAsia="zh-CN" w:bidi="ar-SA"/>
        </w:rPr>
        <w:t>（</w:t>
      </w:r>
      <w:r>
        <w:rPr>
          <w:rFonts w:hint="eastAsia" w:ascii="楷体" w:hAnsi="楷体" w:eastAsia="楷体" w:cs="楷体"/>
          <w:b/>
          <w:bCs w:val="0"/>
          <w:kern w:val="2"/>
          <w:sz w:val="32"/>
          <w:szCs w:val="32"/>
          <w:lang w:val="en-US" w:eastAsia="zh-CN" w:bidi="ar-SA"/>
        </w:rPr>
        <w:t>一）门诊统筹基金支付范围。</w:t>
      </w:r>
      <w:r>
        <w:rPr>
          <w:rFonts w:hint="eastAsia" w:ascii="仿宋" w:hAnsi="仿宋" w:eastAsia="仿宋" w:cs="仿宋"/>
          <w:b/>
          <w:bCs w:val="0"/>
          <w:kern w:val="2"/>
          <w:sz w:val="32"/>
          <w:szCs w:val="32"/>
          <w:lang w:val="en-US" w:eastAsia="zh-CN" w:bidi="ar-SA"/>
        </w:rPr>
        <w:t>参保人员凭我市开展职工门诊共济的定点医疗机构处方在门诊统筹药店购买医保目录内药品发生的费用可由统筹基金按规定支付。</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Times New Roman"/>
          <w:b/>
          <w:bCs w:val="0"/>
          <w:kern w:val="2"/>
          <w:sz w:val="32"/>
          <w:szCs w:val="32"/>
          <w:lang w:val="en-US" w:eastAsia="zh-CN" w:bidi="ar-SA"/>
        </w:rPr>
      </w:pPr>
      <w:r>
        <w:rPr>
          <w:rFonts w:hint="eastAsia" w:ascii="楷体" w:hAnsi="楷体" w:eastAsia="楷体" w:cs="楷体"/>
          <w:b/>
          <w:bCs w:val="0"/>
          <w:kern w:val="2"/>
          <w:sz w:val="32"/>
          <w:szCs w:val="32"/>
          <w:lang w:val="en-US" w:eastAsia="zh-CN" w:bidi="ar-SA"/>
        </w:rPr>
        <w:t>（二）门诊统筹基金支付政策。</w:t>
      </w:r>
      <w:r>
        <w:rPr>
          <w:rFonts w:hint="eastAsia" w:ascii="仿宋" w:hAnsi="仿宋" w:eastAsia="仿宋" w:cs="仿宋"/>
          <w:b/>
          <w:bCs w:val="0"/>
          <w:kern w:val="2"/>
          <w:sz w:val="32"/>
          <w:szCs w:val="32"/>
          <w:lang w:val="en-US" w:eastAsia="zh-CN" w:bidi="ar-SA"/>
        </w:rPr>
        <w:t>门诊统筹药店门诊统筹的起付标准、支付比例等执行一级定点医疗机构的医保待遇政策，年度起付标准和年度最高支付限额与定点医疗机构合并计算。参保人员在门诊统筹药店购买医保目录内药品发生的费用，一个自然年度医保基金支付的起付标准为100元，在职职工基金支付比例为70%、退休人员为75%，一个自然年度内医疗保险统筹基金的最高支付限额为2000元。医保乙类药品个人先行自付比例按我市现有政策执行。</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val="0"/>
          <w:kern w:val="2"/>
          <w:sz w:val="32"/>
          <w:szCs w:val="32"/>
          <w:lang w:val="en-US" w:eastAsia="zh-CN" w:bidi="ar-SA"/>
        </w:rPr>
      </w:pPr>
      <w:r>
        <w:rPr>
          <w:rFonts w:hint="eastAsia" w:ascii="楷体" w:hAnsi="楷体" w:eastAsia="楷体" w:cs="楷体"/>
          <w:b/>
          <w:bCs w:val="0"/>
          <w:kern w:val="2"/>
          <w:sz w:val="32"/>
          <w:szCs w:val="32"/>
          <w:lang w:val="en-US" w:eastAsia="zh-CN" w:bidi="ar-SA"/>
        </w:rPr>
        <w:t>（三）完善门诊统筹基金总额预算管理。</w:t>
      </w:r>
      <w:r>
        <w:rPr>
          <w:rFonts w:hint="eastAsia" w:ascii="仿宋" w:hAnsi="仿宋" w:eastAsia="仿宋" w:cs="仿宋"/>
          <w:b/>
          <w:bCs w:val="0"/>
          <w:kern w:val="2"/>
          <w:sz w:val="32"/>
          <w:szCs w:val="32"/>
          <w:lang w:val="en-US" w:eastAsia="zh-CN" w:bidi="ar-SA"/>
        </w:rPr>
        <w:t>各级医保部门要根据近年来本地门诊费用情况，结合参保人数、就医人数、年龄结构、疾病谱变化以及待遇水平、政策调整等因素，科学编制年度门诊医保基金支出预算。探索对定点医疗机构和门诊统筹药店实行门诊统筹总额预算管理，充分发挥医保基金激励约束作用。</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val="0"/>
          <w:kern w:val="2"/>
          <w:sz w:val="32"/>
          <w:szCs w:val="32"/>
          <w:lang w:val="en-US" w:eastAsia="zh-CN" w:bidi="ar-SA"/>
        </w:rPr>
      </w:pPr>
      <w:r>
        <w:rPr>
          <w:rFonts w:hint="eastAsia" w:ascii="楷体" w:hAnsi="楷体" w:eastAsia="楷体" w:cs="楷体"/>
          <w:b/>
          <w:bCs w:val="0"/>
          <w:kern w:val="2"/>
          <w:sz w:val="32"/>
          <w:szCs w:val="32"/>
          <w:lang w:val="en-US" w:eastAsia="zh-CN" w:bidi="ar-SA"/>
        </w:rPr>
        <w:t>（四）加强门诊统筹医保服务协议管理。</w:t>
      </w:r>
      <w:r>
        <w:rPr>
          <w:rFonts w:hint="eastAsia" w:ascii="仿宋" w:hAnsi="仿宋" w:eastAsia="仿宋" w:cs="仿宋"/>
          <w:b/>
          <w:bCs w:val="0"/>
          <w:kern w:val="2"/>
          <w:sz w:val="32"/>
          <w:szCs w:val="32"/>
          <w:lang w:val="en-US" w:eastAsia="zh-CN" w:bidi="ar-SA"/>
        </w:rPr>
        <w:t>市县两级医保经办机构要适应职工医保门诊共济保障机制改革新形势新任务，围绕基金监管、医保支付、待遇报销及药品配送等内容，及时修订医保服务协议或签订补充协议。要针对门诊统筹特点完善医保经办规程，细化优化各项医保管理措施。要加强对门诊统筹定点零售药店的监督考核，开展年度考核评价，健全退出机制，实现“有进有出”动态管理。</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黑体" w:hAnsi="黑体" w:eastAsia="黑体" w:cs="黑体"/>
          <w:b/>
          <w:bCs w:val="0"/>
          <w:kern w:val="2"/>
          <w:sz w:val="32"/>
          <w:szCs w:val="32"/>
          <w:lang w:val="en-US" w:eastAsia="zh-CN" w:bidi="ar-SA"/>
        </w:rPr>
      </w:pPr>
      <w:r>
        <w:rPr>
          <w:rFonts w:hint="eastAsia" w:ascii="黑体" w:hAnsi="黑体" w:eastAsia="黑体" w:cs="黑体"/>
          <w:b/>
          <w:bCs w:val="0"/>
          <w:kern w:val="2"/>
          <w:sz w:val="32"/>
          <w:szCs w:val="32"/>
          <w:lang w:val="en-US" w:eastAsia="zh-CN" w:bidi="ar-SA"/>
        </w:rPr>
        <w:t>四、加强门诊统筹药店购药管理与费用审核结算</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b/>
          <w:bCs w:val="0"/>
          <w:kern w:val="2"/>
          <w:sz w:val="32"/>
          <w:szCs w:val="32"/>
          <w:lang w:val="en-US" w:eastAsia="zh-CN" w:bidi="ar-SA"/>
        </w:rPr>
      </w:pPr>
      <w:r>
        <w:rPr>
          <w:rFonts w:hint="eastAsia" w:ascii="楷体" w:hAnsi="楷体" w:eastAsia="楷体" w:cs="楷体"/>
          <w:b/>
          <w:bCs w:val="0"/>
          <w:kern w:val="2"/>
          <w:sz w:val="32"/>
          <w:szCs w:val="32"/>
          <w:lang w:val="en-US" w:eastAsia="zh-CN" w:bidi="ar-SA"/>
        </w:rPr>
        <w:t>（一）规范购药行为。</w:t>
      </w:r>
      <w:r>
        <w:rPr>
          <w:rFonts w:hint="eastAsia" w:ascii="仿宋" w:hAnsi="仿宋" w:eastAsia="仿宋" w:cs="仿宋"/>
          <w:b/>
          <w:bCs w:val="0"/>
          <w:kern w:val="2"/>
          <w:sz w:val="32"/>
          <w:szCs w:val="32"/>
          <w:lang w:val="en-US" w:eastAsia="zh-CN" w:bidi="ar-SA"/>
        </w:rPr>
        <w:t>门诊统筹药店为参保人员提供门诊统筹用药保障服务时应严格执行实名购药，认真核对参保人员有效身份凭证，做到人证相符。特殊情况由他人代购药品的应出示参保人员本人和代购人身份证件，门诊统筹药店要做好登记备案。</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b/>
          <w:bCs w:val="0"/>
          <w:kern w:val="2"/>
          <w:sz w:val="32"/>
          <w:szCs w:val="32"/>
          <w:lang w:val="en-US" w:eastAsia="zh-CN" w:bidi="ar-SA"/>
        </w:rPr>
      </w:pPr>
      <w:r>
        <w:rPr>
          <w:rFonts w:hint="eastAsia" w:ascii="楷体" w:hAnsi="楷体" w:eastAsia="楷体" w:cs="楷体"/>
          <w:b/>
          <w:bCs w:val="0"/>
          <w:kern w:val="2"/>
          <w:sz w:val="32"/>
          <w:szCs w:val="32"/>
          <w:lang w:val="en-US" w:eastAsia="zh-CN" w:bidi="ar-SA"/>
        </w:rPr>
        <w:t>（二）加强处方审核。</w:t>
      </w:r>
      <w:r>
        <w:rPr>
          <w:rFonts w:hint="eastAsia" w:ascii="仿宋" w:hAnsi="仿宋" w:eastAsia="仿宋" w:cs="仿宋"/>
          <w:b/>
          <w:bCs w:val="0"/>
          <w:kern w:val="2"/>
          <w:sz w:val="32"/>
          <w:szCs w:val="32"/>
          <w:lang w:val="en-US" w:eastAsia="zh-CN" w:bidi="ar-SA"/>
        </w:rPr>
        <w:t>参保人员购药时，门诊统筹药店应对开具处方的定点医疗机构名称、医保医师、药品名称、剂型、剂量等相关信息进行核验，由执业药师按照处方规范配药，参保人员或代购人在购药结算单上签字确认后，门诊统筹药店方可供药。</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b/>
          <w:bCs w:val="0"/>
          <w:sz w:val="32"/>
          <w:szCs w:val="32"/>
          <w:lang w:val="en-US" w:eastAsia="zh-CN"/>
        </w:rPr>
      </w:pPr>
      <w:r>
        <w:rPr>
          <w:rFonts w:hint="eastAsia" w:ascii="楷体" w:hAnsi="楷体" w:eastAsia="楷体" w:cs="楷体"/>
          <w:b/>
          <w:bCs w:val="0"/>
          <w:kern w:val="2"/>
          <w:sz w:val="32"/>
          <w:szCs w:val="32"/>
          <w:lang w:val="en-US" w:eastAsia="zh-CN" w:bidi="ar-SA"/>
        </w:rPr>
        <w:t>（三）做好费用审核结算。</w:t>
      </w:r>
      <w:r>
        <w:rPr>
          <w:rFonts w:hint="eastAsia" w:ascii="仿宋" w:hAnsi="仿宋" w:eastAsia="仿宋" w:cs="仿宋"/>
          <w:b/>
          <w:bCs w:val="0"/>
          <w:sz w:val="32"/>
          <w:szCs w:val="32"/>
          <w:lang w:val="en-US" w:eastAsia="zh-CN"/>
        </w:rPr>
        <w:t>参保人员在门诊统筹药店购药凭社会保障卡或医保电子凭证等参保有效身份凭证实行联网即时结算，参保人员只需支付应由个人负担的费用，应由统筹基金支付的费用由医保经办机构与门诊统筹药店结算。医保经办机构要加强日常管理，充分运用信息化、智能化和现场检查等手段做好门诊统筹费用审核，确保基金规范支出。门诊统筹医保基金对门诊统筹药店发生的门诊统筹费用实行据实结算，按照属地结算管理原则，门诊统筹医保基金拨付和管理实行全市统一政策，市、县分级负责。市级医保经办机构负责市本级管理的门诊统筹药店费用结算和全市清算，县级医保经办机构负责本辖区内门诊统筹药店费用结算。门诊统筹药店应按要求向医保部门上传药品“进销存”数据和医保费用支出明细等有关结算材料，确保上传数据全面、准确、及时，医保经办机构严格审核门诊统筹医疗费用，按月及时拨付门诊统筹医保基金。</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val="0"/>
          <w:sz w:val="32"/>
          <w:szCs w:val="32"/>
          <w:lang w:val="en-US" w:eastAsia="zh-CN"/>
        </w:rPr>
      </w:pPr>
      <w:r>
        <w:rPr>
          <w:rFonts w:hint="eastAsia" w:ascii="Times New Roman" w:hAnsi="Times New Roman" w:eastAsia="方正仿宋简体" w:cs="Times New Roman"/>
          <w:b/>
          <w:bCs w:val="0"/>
          <w:sz w:val="32"/>
          <w:szCs w:val="32"/>
          <w:lang w:val="en-US" w:eastAsia="zh-CN"/>
        </w:rPr>
        <w:t xml:space="preserve">    </w:t>
      </w:r>
      <w:r>
        <w:rPr>
          <w:rFonts w:hint="eastAsia" w:ascii="楷体" w:hAnsi="楷体" w:eastAsia="楷体" w:cs="楷体"/>
          <w:b/>
          <w:bCs w:val="0"/>
          <w:kern w:val="2"/>
          <w:sz w:val="32"/>
          <w:szCs w:val="32"/>
          <w:lang w:val="en-US" w:eastAsia="zh-CN" w:bidi="ar-SA"/>
        </w:rPr>
        <w:t>（四）做好药品配送服务。</w:t>
      </w:r>
      <w:r>
        <w:rPr>
          <w:rFonts w:hint="eastAsia" w:ascii="仿宋" w:hAnsi="仿宋" w:eastAsia="仿宋" w:cs="仿宋"/>
          <w:b/>
          <w:bCs w:val="0"/>
          <w:sz w:val="32"/>
          <w:szCs w:val="32"/>
          <w:lang w:val="en-US" w:eastAsia="zh-CN"/>
        </w:rPr>
        <w:t>鼓励门诊统筹药店在确保用药安全的前提下，根据参保人员需要提供相应药品配送服务。门诊统筹药店要建立药品配送登记管理制度，确保配送药品可查询、可追溯。配送费用不纳入医保支付范围。</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黑体" w:hAnsi="黑体" w:eastAsia="黑体" w:cs="黑体"/>
          <w:b/>
          <w:bCs w:val="0"/>
          <w:kern w:val="2"/>
          <w:sz w:val="32"/>
          <w:szCs w:val="32"/>
          <w:lang w:val="en-US" w:eastAsia="zh-CN" w:bidi="ar-SA"/>
        </w:rPr>
      </w:pPr>
      <w:r>
        <w:rPr>
          <w:rFonts w:hint="eastAsia" w:ascii="黑体" w:hAnsi="黑体" w:eastAsia="黑体" w:cs="黑体"/>
          <w:b/>
          <w:bCs w:val="0"/>
          <w:kern w:val="2"/>
          <w:sz w:val="32"/>
          <w:szCs w:val="32"/>
          <w:lang w:val="en-US" w:eastAsia="zh-CN" w:bidi="ar-SA"/>
        </w:rPr>
        <w:t>五、配套措施</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Times New Roman"/>
          <w:b/>
          <w:bCs w:val="0"/>
          <w:kern w:val="2"/>
          <w:sz w:val="32"/>
          <w:szCs w:val="32"/>
          <w:lang w:val="en-US" w:eastAsia="zh-CN" w:bidi="ar-SA"/>
        </w:rPr>
      </w:pPr>
      <w:r>
        <w:rPr>
          <w:rFonts w:hint="eastAsia" w:ascii="楷体" w:hAnsi="楷体" w:eastAsia="楷体" w:cs="楷体"/>
          <w:b/>
          <w:bCs w:val="0"/>
          <w:kern w:val="2"/>
          <w:sz w:val="32"/>
          <w:szCs w:val="32"/>
          <w:lang w:val="en-US" w:eastAsia="zh-CN" w:bidi="ar-SA"/>
        </w:rPr>
        <w:t>（一）加强药品价格协同。</w:t>
      </w:r>
      <w:r>
        <w:rPr>
          <w:rFonts w:hint="eastAsia" w:ascii="仿宋" w:hAnsi="仿宋" w:eastAsia="仿宋" w:cs="仿宋"/>
          <w:b/>
          <w:bCs w:val="0"/>
          <w:kern w:val="2"/>
          <w:sz w:val="32"/>
          <w:szCs w:val="32"/>
          <w:lang w:val="en-US" w:eastAsia="zh-CN" w:bidi="ar-SA"/>
        </w:rPr>
        <w:t>门诊统筹药店应当遵循公平合法、诚实信用和质价相符原则，为参保人员提供价格适宜的药品，既要尊重市场机制又要坚持承担好定点属性，加强自律。支持通过山东省药械集中采购平台采购药品，鼓励自愿参与药品集中带量采购。医保目录内药品销售价格按医保经办机构和门诊统筹药店签订的医保服务协议执行。</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val="0"/>
          <w:kern w:val="2"/>
          <w:sz w:val="32"/>
          <w:szCs w:val="32"/>
          <w:lang w:val="en-US" w:eastAsia="zh-CN" w:bidi="ar-SA"/>
        </w:rPr>
      </w:pPr>
      <w:r>
        <w:rPr>
          <w:rFonts w:hint="eastAsia" w:ascii="楷体" w:hAnsi="楷体" w:eastAsia="楷体" w:cs="楷体"/>
          <w:b/>
          <w:bCs w:val="0"/>
          <w:kern w:val="2"/>
          <w:sz w:val="32"/>
          <w:szCs w:val="32"/>
          <w:lang w:val="en-US" w:eastAsia="zh-CN" w:bidi="ar-SA"/>
        </w:rPr>
        <w:t>（二）严格执行医保支付标准。</w:t>
      </w:r>
      <w:r>
        <w:rPr>
          <w:rFonts w:hint="eastAsia" w:ascii="仿宋" w:hAnsi="仿宋" w:eastAsia="仿宋" w:cs="仿宋"/>
          <w:b/>
          <w:bCs w:val="0"/>
          <w:kern w:val="2"/>
          <w:sz w:val="32"/>
          <w:szCs w:val="32"/>
          <w:lang w:val="en-US" w:eastAsia="zh-CN" w:bidi="ar-SA"/>
        </w:rPr>
        <w:t>对于协议期内国家医保谈判药品（含竞价药品）、医保支付标准试点药品，执行国家和省统一制定的医保支付标准。门诊统筹药店实际销售价格低于医保支付标准的，以实际销售价格作为该药品的医保支付标准。国家和省药品集中带量采购药品按现行医保支付政策执行。</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val="0"/>
          <w:kern w:val="2"/>
          <w:sz w:val="32"/>
          <w:szCs w:val="32"/>
          <w:lang w:val="en-US" w:eastAsia="zh-CN" w:bidi="ar-SA"/>
        </w:rPr>
      </w:pPr>
      <w:r>
        <w:rPr>
          <w:rFonts w:hint="eastAsia" w:ascii="楷体" w:hAnsi="楷体" w:eastAsia="楷体" w:cs="楷体"/>
          <w:b/>
          <w:bCs w:val="0"/>
          <w:kern w:val="2"/>
          <w:sz w:val="32"/>
          <w:szCs w:val="32"/>
          <w:lang w:val="en-US" w:eastAsia="zh-CN" w:bidi="ar-SA"/>
        </w:rPr>
        <w:t>（三）加强实际销售价格监测。</w:t>
      </w:r>
      <w:r>
        <w:rPr>
          <w:rFonts w:hint="eastAsia" w:ascii="仿宋" w:hAnsi="仿宋" w:eastAsia="仿宋" w:cs="仿宋"/>
          <w:b/>
          <w:bCs w:val="0"/>
          <w:kern w:val="2"/>
          <w:sz w:val="32"/>
          <w:szCs w:val="32"/>
          <w:lang w:val="en-US" w:eastAsia="zh-CN" w:bidi="ar-SA"/>
        </w:rPr>
        <w:t>加强门诊统筹药店医保目录内药品实际销售价格监测，加强定点零售药店之间、定点零售药店与公立医疗机构之间价格对比分析，对实际销售价格明显偏高的定点零售药店及时予以提醒。建立完善信息化监测平台，为开展价格监测提供技术支撑。适时探索建立定点零售药店价格信息公示制度。</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Times New Roman"/>
          <w:b/>
          <w:bCs w:val="0"/>
          <w:kern w:val="2"/>
          <w:sz w:val="32"/>
          <w:szCs w:val="32"/>
          <w:lang w:val="en-US" w:eastAsia="zh-CN" w:bidi="ar-SA"/>
        </w:rPr>
      </w:pPr>
      <w:r>
        <w:rPr>
          <w:rFonts w:hint="eastAsia" w:ascii="楷体" w:hAnsi="楷体" w:eastAsia="楷体" w:cs="楷体"/>
          <w:b/>
          <w:bCs w:val="0"/>
          <w:kern w:val="2"/>
          <w:sz w:val="32"/>
          <w:szCs w:val="32"/>
          <w:lang w:val="en-US" w:eastAsia="zh-CN" w:bidi="ar-SA"/>
        </w:rPr>
        <w:t>（四）加强处方流转管理。</w:t>
      </w:r>
      <w:r>
        <w:rPr>
          <w:rFonts w:hint="eastAsia" w:ascii="仿宋" w:hAnsi="仿宋" w:eastAsia="仿宋" w:cs="仿宋"/>
          <w:b/>
          <w:bCs w:val="0"/>
          <w:kern w:val="2"/>
          <w:sz w:val="32"/>
          <w:szCs w:val="32"/>
          <w:lang w:val="en-US" w:eastAsia="zh-CN" w:bidi="ar-SA"/>
        </w:rPr>
        <w:t>依托全国统一的医保信息平台，加快电子处方流转中心落地应用，实现定点医疗机构电子处方顺畅流转到门诊统筹药店。在电子处方流转实现前，参保人员可持纸质外配处方到门诊统筹药店购药结算。推动门诊统筹药店尽快实现与医保电子凭证、医保电子处方中心、医保移动支付、医保智能监控等系统对接，并通过医保定点医药机构动态管理系统完成核验。定点医药机构可为符合条件的患者开具长期处方，最长可开具12周。</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Times New Roman"/>
          <w:b/>
          <w:bCs w:val="0"/>
          <w:kern w:val="2"/>
          <w:sz w:val="32"/>
          <w:szCs w:val="32"/>
          <w:lang w:val="en-US" w:eastAsia="zh-CN" w:bidi="ar-SA"/>
        </w:rPr>
      </w:pPr>
      <w:r>
        <w:rPr>
          <w:rFonts w:hint="eastAsia" w:ascii="楷体" w:hAnsi="楷体" w:eastAsia="楷体" w:cs="楷体"/>
          <w:b/>
          <w:bCs w:val="0"/>
          <w:kern w:val="2"/>
          <w:sz w:val="32"/>
          <w:szCs w:val="32"/>
          <w:lang w:val="en-US" w:eastAsia="zh-CN" w:bidi="ar-SA"/>
        </w:rPr>
        <w:t>（五）加强信息系统建设。</w:t>
      </w:r>
      <w:r>
        <w:rPr>
          <w:rFonts w:hint="eastAsia" w:ascii="仿宋" w:hAnsi="仿宋" w:eastAsia="仿宋" w:cs="仿宋"/>
          <w:b/>
          <w:bCs w:val="0"/>
          <w:kern w:val="2"/>
          <w:sz w:val="32"/>
          <w:szCs w:val="32"/>
          <w:lang w:val="en-US" w:eastAsia="zh-CN" w:bidi="ar-SA"/>
        </w:rPr>
        <w:t>按照国家医保局《全国医疗保障系统核心业务区骨干网络建设指南》网络接入标准实现门诊统筹药店网络实时接入医保核心业务区；按照国家医保局《医保信息平台定点医药机构接口规范》和《山东省医保定点零售药店纳入门诊统筹技术实施规范》等要求，完成门诊统筹药店结算系统和药店进销存系统升级改造工作，完成与电子处方中心、医保电子凭证、移动支付中心、智能监控系统对接应用；完成门诊统筹药店、医保药师、药品、耗材等信息业务编码贯标工作；实现医保协议全流程电子化管理、电子处方在线流转、移动支付、医保实时联网结算和具备完善的医保费用审核结算系统和进销存系统，能够真实、全面、准确、实时上传医保费用支出明细和进销存数据等。</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val="0"/>
          <w:kern w:val="2"/>
          <w:sz w:val="32"/>
          <w:szCs w:val="32"/>
          <w:lang w:val="en-US" w:eastAsia="zh-CN" w:bidi="ar-SA"/>
        </w:rPr>
      </w:pPr>
      <w:r>
        <w:rPr>
          <w:rFonts w:hint="eastAsia" w:ascii="楷体" w:hAnsi="楷体" w:eastAsia="楷体" w:cs="楷体"/>
          <w:b/>
          <w:bCs w:val="0"/>
          <w:kern w:val="2"/>
          <w:sz w:val="32"/>
          <w:szCs w:val="32"/>
          <w:lang w:val="en-US" w:eastAsia="zh-CN" w:bidi="ar-SA"/>
        </w:rPr>
        <w:t>（六）加强基金监管。</w:t>
      </w:r>
      <w:r>
        <w:rPr>
          <w:rFonts w:hint="eastAsia" w:ascii="仿宋" w:hAnsi="仿宋" w:eastAsia="仿宋" w:cs="仿宋"/>
          <w:b/>
          <w:bCs w:val="0"/>
          <w:kern w:val="2"/>
          <w:sz w:val="32"/>
          <w:szCs w:val="32"/>
          <w:lang w:val="en-US" w:eastAsia="zh-CN" w:bidi="ar-SA"/>
        </w:rPr>
        <w:t>各级医保部门要通过日常监管、智能监控、稽核检查、飞行检查等多种方式，严厉打击伪造处方、虚假购药、串换倒卖药品、出租出借医疗保障凭证等违法违规行为。对违反医保服务协议的门诊统筹药店，按照协议约定严肃处理，情节严重的取消医保门诊统筹定点资格和零售药店定点资格；对违反有关法律法规，造成医保基金损失的，要追回医保基金，依法实施行政处罚，涉嫌犯罪的移交司法机关，法定代表人、主要负责人、实际控制人列入失信人员名单。</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val="0"/>
          <w:kern w:val="2"/>
          <w:sz w:val="32"/>
          <w:szCs w:val="32"/>
          <w:lang w:val="en-US" w:eastAsia="zh-CN" w:bidi="ar-SA"/>
        </w:rPr>
      </w:pPr>
      <w:r>
        <w:rPr>
          <w:rFonts w:hint="eastAsia" w:ascii="黑体" w:hAnsi="黑体" w:eastAsia="黑体" w:cs="黑体"/>
          <w:b/>
          <w:bCs w:val="0"/>
          <w:kern w:val="2"/>
          <w:sz w:val="32"/>
          <w:szCs w:val="32"/>
          <w:lang w:val="en-US" w:eastAsia="zh-CN" w:bidi="ar-SA"/>
        </w:rPr>
        <w:t>六、工作要求</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val="0"/>
          <w:kern w:val="2"/>
          <w:sz w:val="32"/>
          <w:szCs w:val="32"/>
          <w:lang w:val="en-US" w:eastAsia="zh-CN" w:bidi="ar-SA"/>
        </w:rPr>
      </w:pPr>
      <w:r>
        <w:rPr>
          <w:rFonts w:hint="eastAsia" w:ascii="楷体" w:hAnsi="楷体" w:eastAsia="楷体" w:cs="楷体"/>
          <w:b/>
          <w:bCs w:val="0"/>
          <w:kern w:val="2"/>
          <w:sz w:val="32"/>
          <w:szCs w:val="32"/>
          <w:lang w:val="en-US" w:eastAsia="zh-CN" w:bidi="ar-SA"/>
        </w:rPr>
        <w:t>（一）加强组织领导。</w:t>
      </w:r>
      <w:r>
        <w:rPr>
          <w:rFonts w:hint="eastAsia" w:ascii="仿宋" w:hAnsi="仿宋" w:eastAsia="仿宋" w:cs="仿宋"/>
          <w:b/>
          <w:bCs w:val="0"/>
          <w:kern w:val="2"/>
          <w:sz w:val="32"/>
          <w:szCs w:val="32"/>
          <w:lang w:val="en-US" w:eastAsia="zh-CN" w:bidi="ar-SA"/>
        </w:rPr>
        <w:t>各县市区医保部门要加强组织领导和统筹谋划，制定定点零售药店纳入门诊统筹管理的实施方案。要切实承担主体责任，及时将符合条件的定点零售药店纳入门诊统筹管理，完善相关配套措施，确保各项政策平稳有序衔接。各县市区门诊统筹药店工作开展情况纳入《2023年度全市医疗保障系统业务评价指标》。市医保经办机构要做好各县市区医保经办机构门诊统筹药店申报、验收工作的组织和指导，确保统一标准，统一尺度，做到公平公正。在执行中遇有重大情况和问题，要及时向市医保局报告。为确保政策落地见效，市医保局将开展专项工作调度督导。</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val="0"/>
          <w:kern w:val="2"/>
          <w:sz w:val="32"/>
          <w:szCs w:val="32"/>
          <w:lang w:val="en-US" w:eastAsia="zh-CN" w:bidi="ar-SA"/>
        </w:rPr>
      </w:pPr>
      <w:r>
        <w:rPr>
          <w:rFonts w:hint="eastAsia" w:ascii="楷体" w:hAnsi="楷体" w:eastAsia="楷体" w:cs="楷体"/>
          <w:b/>
          <w:bCs w:val="0"/>
          <w:kern w:val="2"/>
          <w:sz w:val="32"/>
          <w:szCs w:val="32"/>
          <w:lang w:val="en-US" w:eastAsia="zh-CN" w:bidi="ar-SA"/>
        </w:rPr>
        <w:t>（二）加强政策培训。</w:t>
      </w:r>
      <w:r>
        <w:rPr>
          <w:rFonts w:hint="eastAsia" w:ascii="仿宋" w:hAnsi="仿宋" w:eastAsia="仿宋" w:cs="仿宋"/>
          <w:b/>
          <w:bCs w:val="0"/>
          <w:kern w:val="2"/>
          <w:sz w:val="32"/>
          <w:szCs w:val="32"/>
          <w:lang w:val="en-US" w:eastAsia="zh-CN" w:bidi="ar-SA"/>
        </w:rPr>
        <w:t>各门诊统筹药店要加强政策培训，组织员工认真学习《济宁市人民政府办公室关于印发济宁市建立健全职工基本医疗保险门诊共济保障机制实施细则的通知》（济政办发〔2022〕13号）、《关于加快推进建立健全职工门诊共济保障机制工作有关问题的通知》（济医保发〔2022〕27号）和医保服务协议等政策规定，加强门诊统筹结算相关业务培训，制定门诊统筹服务管理制度，规范服务行为，正确引导参保人员合理购药，杜绝虚假宣传和诱导参保人员突击购药，切实为参保人员提供优质服务。</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val="0"/>
          <w:kern w:val="2"/>
          <w:sz w:val="32"/>
          <w:szCs w:val="32"/>
          <w:lang w:val="en-US" w:eastAsia="zh-CN" w:bidi="ar-SA"/>
        </w:rPr>
      </w:pPr>
      <w:r>
        <w:rPr>
          <w:rFonts w:hint="eastAsia" w:ascii="楷体" w:hAnsi="楷体" w:eastAsia="楷体" w:cs="楷体"/>
          <w:b/>
          <w:bCs w:val="0"/>
          <w:kern w:val="2"/>
          <w:sz w:val="32"/>
          <w:szCs w:val="32"/>
          <w:lang w:val="en-US" w:eastAsia="zh-CN" w:bidi="ar-SA"/>
        </w:rPr>
        <w:t>（三）</w:t>
      </w:r>
      <w:r>
        <w:rPr>
          <w:rFonts w:hint="default" w:ascii="楷体" w:hAnsi="楷体" w:eastAsia="楷体" w:cs="楷体"/>
          <w:b/>
          <w:bCs w:val="0"/>
          <w:kern w:val="2"/>
          <w:sz w:val="32"/>
          <w:szCs w:val="32"/>
          <w:lang w:val="en-US" w:eastAsia="zh-CN" w:bidi="ar-SA"/>
        </w:rPr>
        <w:t>做好政策宣传。</w:t>
      </w:r>
      <w:r>
        <w:rPr>
          <w:rFonts w:hint="eastAsia" w:ascii="仿宋" w:hAnsi="仿宋" w:eastAsia="仿宋" w:cs="仿宋"/>
          <w:b/>
          <w:bCs w:val="0"/>
          <w:kern w:val="2"/>
          <w:sz w:val="32"/>
          <w:szCs w:val="32"/>
          <w:lang w:val="en-US" w:eastAsia="zh-CN" w:bidi="ar-SA"/>
        </w:rPr>
        <w:t>各级医保部门要加大宣传力度，创新宣传方式，丰富宣传手段，围绕门诊统筹药店管理工作安排部署，统一宣传口径，增强政策宣传的针对性、时效性，加强政策分析解读，提高参保人员的政策知晓度。通过官方网站、微信公众号等渠道，及时对外发布和更新门诊统筹定点零售药店名单、地址、联系方式等详细信息，方便参保人员查询。坚持正确舆论导向，积极回应社会关切，引导参保人员合理购药，营造良好环境氛围。</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val="0"/>
          <w:kern w:val="2"/>
          <w:sz w:val="32"/>
          <w:szCs w:val="32"/>
          <w:lang w:val="en-US" w:eastAsia="zh-CN" w:bidi="ar-SA"/>
        </w:rPr>
      </w:pPr>
      <w:r>
        <w:rPr>
          <w:rFonts w:hint="eastAsia" w:ascii="楷体" w:hAnsi="楷体" w:eastAsia="楷体" w:cs="楷体"/>
          <w:b/>
          <w:bCs w:val="0"/>
          <w:kern w:val="2"/>
          <w:sz w:val="32"/>
          <w:szCs w:val="32"/>
          <w:lang w:val="en-US" w:eastAsia="zh-CN" w:bidi="ar-SA"/>
        </w:rPr>
        <w:t>（四）</w:t>
      </w:r>
      <w:r>
        <w:rPr>
          <w:rFonts w:hint="default" w:ascii="楷体" w:hAnsi="楷体" w:eastAsia="楷体" w:cs="楷体"/>
          <w:b/>
          <w:bCs w:val="0"/>
          <w:kern w:val="2"/>
          <w:sz w:val="32"/>
          <w:szCs w:val="32"/>
          <w:lang w:val="en-US" w:eastAsia="zh-CN" w:bidi="ar-SA"/>
        </w:rPr>
        <w:t>强化部门协同。</w:t>
      </w:r>
      <w:r>
        <w:rPr>
          <w:rFonts w:hint="eastAsia" w:ascii="仿宋" w:hAnsi="仿宋" w:eastAsia="仿宋" w:cs="仿宋"/>
          <w:b/>
          <w:bCs w:val="0"/>
          <w:kern w:val="2"/>
          <w:sz w:val="32"/>
          <w:szCs w:val="32"/>
          <w:lang w:val="en-US" w:eastAsia="zh-CN" w:bidi="ar-SA"/>
        </w:rPr>
        <w:t>各级医保部门要主动加强与相关部门的政策协调配合，完善处方流转、药品配备、数据衔接、规范行为等政策措施，打通落地环节，形成工作合力，稳步提高参保人员就医用药保障水平。</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val="0"/>
          <w:kern w:val="2"/>
          <w:sz w:val="32"/>
          <w:szCs w:val="32"/>
          <w:lang w:val="en-US" w:eastAsia="zh-CN" w:bidi="ar-SA"/>
        </w:rPr>
      </w:pPr>
      <w:r>
        <w:rPr>
          <w:rFonts w:hint="eastAsia" w:ascii="仿宋" w:hAnsi="仿宋" w:eastAsia="仿宋" w:cs="仿宋"/>
          <w:b/>
          <w:bCs w:val="0"/>
          <w:kern w:val="2"/>
          <w:sz w:val="32"/>
          <w:szCs w:val="32"/>
          <w:lang w:val="en-US" w:eastAsia="zh-CN" w:bidi="ar-SA"/>
        </w:rPr>
        <w:t>本实施意见从2023年3月31日起施行，上级出台新的政策后，与本意见不一致的按上级规定执行。</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r>
        <w:rPr>
          <w:rFonts w:hint="eastAsia" w:ascii="仿宋" w:hAnsi="仿宋" w:eastAsia="仿宋" w:cs="Times New Roman"/>
          <w:b/>
          <w:bCs/>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简体" w:cs="Times New Roman"/>
          <w:b/>
          <w:bCs w:val="0"/>
          <w:kern w:val="2"/>
          <w:sz w:val="32"/>
          <w:szCs w:val="32"/>
          <w:lang w:val="en-US" w:eastAsia="zh-CN" w:bidi="ar-SA"/>
        </w:rPr>
        <w:sectPr>
          <w:footerReference r:id="rId3" w:type="default"/>
          <w:pgSz w:w="11906" w:h="16838"/>
          <w:pgMar w:top="1327" w:right="1800" w:bottom="1440" w:left="1800" w:header="851" w:footer="992" w:gutter="0"/>
          <w:pgNumType w:fmt="decimal"/>
          <w:cols w:space="0" w:num="1"/>
          <w:rtlGutter w:val="0"/>
          <w:docGrid w:type="lines" w:linePitch="312" w:charSpace="0"/>
        </w:sect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kern w:val="2"/>
          <w:sz w:val="32"/>
          <w:szCs w:val="32"/>
          <w:lang w:val="en-US" w:eastAsia="zh-CN" w:bidi="ar-SA"/>
        </w:rPr>
      </w:pPr>
    </w:p>
    <w:tbl>
      <w:tblPr>
        <w:tblStyle w:val="5"/>
        <w:tblpPr w:leftFromText="180" w:rightFromText="180" w:vertAnchor="text" w:horzAnchor="page" w:tblpXSpec="center" w:tblpY="632"/>
        <w:tblOverlap w:val="never"/>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left w:val="nil"/>
              <w:right w:val="nil"/>
            </w:tcBorders>
            <w:noWrap w:val="0"/>
            <w:vAlign w:val="top"/>
          </w:tcPr>
          <w:p>
            <w:pPr>
              <w:ind w:firstLine="281" w:firstLineChars="100"/>
              <w:rPr>
                <w:rFonts w:hint="eastAsia" w:ascii="仿宋_GB2312" w:hAnsi="仿宋_GB2312" w:eastAsia="仿宋_GB2312"/>
                <w:b/>
                <w:bCs/>
                <w:sz w:val="28"/>
                <w:szCs w:val="28"/>
              </w:rPr>
            </w:pPr>
            <w:r>
              <w:rPr>
                <w:rFonts w:hint="eastAsia" w:ascii="仿宋_GB2312" w:hAnsi="仿宋_GB2312" w:eastAsia="仿宋_GB2312"/>
                <w:b/>
                <w:bCs/>
                <w:sz w:val="28"/>
                <w:szCs w:val="28"/>
              </w:rPr>
              <w:t>济宁市医疗保障局</w:t>
            </w:r>
            <w:r>
              <w:rPr>
                <w:rFonts w:hint="eastAsia" w:ascii="仿宋_GB2312" w:hAnsi="仿宋_GB2312" w:eastAsia="仿宋_GB2312"/>
                <w:b/>
                <w:bCs/>
                <w:sz w:val="28"/>
                <w:szCs w:val="28"/>
                <w:lang w:eastAsia="zh-CN"/>
              </w:rPr>
              <w:t>办公室</w:t>
            </w:r>
            <w:r>
              <w:rPr>
                <w:rFonts w:hint="eastAsia" w:ascii="仿宋_GB2312" w:hAnsi="仿宋_GB2312" w:eastAsia="仿宋_GB2312"/>
                <w:b/>
                <w:bCs/>
                <w:sz w:val="28"/>
                <w:szCs w:val="28"/>
              </w:rPr>
              <w:t xml:space="preserve">          </w:t>
            </w:r>
            <w:r>
              <w:rPr>
                <w:rFonts w:hint="eastAsia" w:ascii="仿宋_GB2312" w:hAnsi="仿宋_GB2312" w:eastAsia="仿宋_GB2312"/>
                <w:b/>
                <w:bCs/>
                <w:sz w:val="28"/>
                <w:szCs w:val="28"/>
                <w:lang w:val="en-US" w:eastAsia="zh-CN"/>
              </w:rPr>
              <w:t xml:space="preserve">    </w:t>
            </w:r>
            <w:r>
              <w:rPr>
                <w:rFonts w:hint="eastAsia" w:ascii="仿宋_GB2312" w:hAnsi="仿宋_GB2312" w:eastAsia="仿宋_GB2312"/>
                <w:b/>
                <w:bCs/>
                <w:sz w:val="28"/>
                <w:szCs w:val="28"/>
              </w:rPr>
              <w:t xml:space="preserve"> 20</w:t>
            </w:r>
            <w:r>
              <w:rPr>
                <w:rFonts w:hint="eastAsia" w:ascii="仿宋_GB2312" w:hAnsi="仿宋_GB2312" w:eastAsia="仿宋_GB2312"/>
                <w:b/>
                <w:bCs/>
                <w:sz w:val="28"/>
                <w:szCs w:val="28"/>
                <w:lang w:val="en-US" w:eastAsia="zh-CN"/>
              </w:rPr>
              <w:t>23</w:t>
            </w:r>
            <w:r>
              <w:rPr>
                <w:rFonts w:hint="eastAsia" w:ascii="仿宋_GB2312" w:hAnsi="仿宋_GB2312" w:eastAsia="仿宋_GB2312"/>
                <w:b/>
                <w:bCs/>
                <w:sz w:val="28"/>
                <w:szCs w:val="28"/>
              </w:rPr>
              <w:t>年</w:t>
            </w:r>
            <w:r>
              <w:rPr>
                <w:rFonts w:hint="eastAsia" w:ascii="仿宋_GB2312" w:hAnsi="仿宋_GB2312" w:eastAsia="仿宋_GB2312"/>
                <w:b/>
                <w:bCs/>
                <w:sz w:val="28"/>
                <w:szCs w:val="28"/>
                <w:lang w:val="en-US" w:eastAsia="zh-CN"/>
              </w:rPr>
              <w:t>4</w:t>
            </w:r>
            <w:r>
              <w:rPr>
                <w:rFonts w:hint="eastAsia" w:ascii="仿宋_GB2312" w:hAnsi="仿宋_GB2312" w:eastAsia="仿宋_GB2312"/>
                <w:b/>
                <w:bCs/>
                <w:sz w:val="28"/>
                <w:szCs w:val="28"/>
              </w:rPr>
              <w:t>月</w:t>
            </w:r>
            <w:r>
              <w:rPr>
                <w:rFonts w:hint="eastAsia" w:ascii="仿宋_GB2312" w:hAnsi="仿宋_GB2312" w:eastAsia="仿宋_GB2312"/>
                <w:b/>
                <w:bCs/>
                <w:sz w:val="28"/>
                <w:szCs w:val="28"/>
                <w:lang w:val="en-US" w:eastAsia="zh-CN"/>
              </w:rPr>
              <w:t>3</w:t>
            </w:r>
            <w:r>
              <w:rPr>
                <w:rFonts w:hint="eastAsia" w:ascii="仿宋_GB2312" w:hAnsi="仿宋_GB2312" w:eastAsia="仿宋_GB2312"/>
                <w:b/>
                <w:bCs/>
                <w:sz w:val="28"/>
                <w:szCs w:val="28"/>
              </w:rPr>
              <w:t>日印发</w:t>
            </w:r>
          </w:p>
        </w:tc>
      </w:tr>
    </w:tbl>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25361C-B0E5-4977-81D6-CA1AA199625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F4C2DC9-6B2B-4824-BCD8-677D375A4858}"/>
  </w:font>
  <w:font w:name="方正黑体简体">
    <w:altName w:val="微软雅黑"/>
    <w:panose1 w:val="02010601030101010101"/>
    <w:charset w:val="86"/>
    <w:family w:val="script"/>
    <w:pitch w:val="default"/>
    <w:sig w:usb0="00000000" w:usb1="00000000" w:usb2="00000000" w:usb3="00000000" w:csb0="00040000" w:csb1="00000000"/>
    <w:embedRegular r:id="rId3" w:fontKey="{36A46BB5-D839-41F1-90B6-4255E590E346}"/>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4" w:fontKey="{4BF2E747-6DF0-4C14-8DA9-AC23D066F523}"/>
  </w:font>
  <w:font w:name="仿宋">
    <w:panose1 w:val="02010609060101010101"/>
    <w:charset w:val="86"/>
    <w:family w:val="auto"/>
    <w:pitch w:val="default"/>
    <w:sig w:usb0="800002BF" w:usb1="38CF7CFA" w:usb2="00000016" w:usb3="00000000" w:csb0="00040001" w:csb1="00000000"/>
    <w:embedRegular r:id="rId5" w:fontKey="{3DA92372-59EF-4524-BA07-AD8D8D6CD354}"/>
  </w:font>
  <w:font w:name="方正小标宋简体">
    <w:panose1 w:val="02000000000000000000"/>
    <w:charset w:val="86"/>
    <w:family w:val="auto"/>
    <w:pitch w:val="default"/>
    <w:sig w:usb0="00000001" w:usb1="08000000" w:usb2="00000000" w:usb3="00000000" w:csb0="00040000" w:csb1="00000000"/>
    <w:embedRegular r:id="rId6" w:fontKey="{19E9145F-E7C8-4BE9-98E9-78C4E3C77445}"/>
  </w:font>
  <w:font w:name="方正仿宋简体">
    <w:panose1 w:val="02000000000000000000"/>
    <w:charset w:val="86"/>
    <w:family w:val="auto"/>
    <w:pitch w:val="default"/>
    <w:sig w:usb0="A00002BF" w:usb1="184F6CFA" w:usb2="00000012" w:usb3="00000000" w:csb0="00040001" w:csb1="00000000"/>
    <w:embedRegular r:id="rId7" w:fontKey="{D403E1DB-88E6-4374-A3C3-A953D4E655B3}"/>
  </w:font>
  <w:font w:name="方正楷体简体">
    <w:altName w:val="宋体"/>
    <w:panose1 w:val="02010601030101010101"/>
    <w:charset w:val="86"/>
    <w:family w:val="auto"/>
    <w:pitch w:val="default"/>
    <w:sig w:usb0="00000000" w:usb1="00000000" w:usb2="00000000" w:usb3="00000000" w:csb0="00040000" w:csb1="00000000"/>
    <w:embedRegular r:id="rId8" w:fontKey="{F6E0BB57-C093-4D85-AE59-A3ADD6510FA8}"/>
  </w:font>
  <w:font w:name="楷体">
    <w:panose1 w:val="02010609060101010101"/>
    <w:charset w:val="86"/>
    <w:family w:val="auto"/>
    <w:pitch w:val="default"/>
    <w:sig w:usb0="800002BF" w:usb1="38CF7CFA" w:usb2="00000016" w:usb3="00000000" w:csb0="00040001" w:csb1="00000000"/>
    <w:embedRegular r:id="rId9" w:fontKey="{EE19914F-D426-4A55-AA91-4CAFBCE82C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YjUyZGIyZDI3YjQ3MzVhYTc4N2VkNTAwOThmMDcifQ=="/>
  </w:docVars>
  <w:rsids>
    <w:rsidRoot w:val="53CF4B88"/>
    <w:rsid w:val="02237F98"/>
    <w:rsid w:val="048B5D7E"/>
    <w:rsid w:val="07F01302"/>
    <w:rsid w:val="082A25AF"/>
    <w:rsid w:val="0E4C5706"/>
    <w:rsid w:val="11E65ADB"/>
    <w:rsid w:val="1387052A"/>
    <w:rsid w:val="17BD131F"/>
    <w:rsid w:val="1A873C82"/>
    <w:rsid w:val="1C5E178B"/>
    <w:rsid w:val="1DD5777A"/>
    <w:rsid w:val="25B5201D"/>
    <w:rsid w:val="29973CE6"/>
    <w:rsid w:val="2AAA717E"/>
    <w:rsid w:val="2E473E2C"/>
    <w:rsid w:val="39897C3B"/>
    <w:rsid w:val="3E9D67C6"/>
    <w:rsid w:val="41286936"/>
    <w:rsid w:val="44772133"/>
    <w:rsid w:val="45ED574C"/>
    <w:rsid w:val="46AA1E88"/>
    <w:rsid w:val="479D293E"/>
    <w:rsid w:val="47BE587A"/>
    <w:rsid w:val="499C1F1D"/>
    <w:rsid w:val="4AAB6BF6"/>
    <w:rsid w:val="4DB73A11"/>
    <w:rsid w:val="51B915D4"/>
    <w:rsid w:val="53CF4B88"/>
    <w:rsid w:val="58FE5594"/>
    <w:rsid w:val="5F137C8C"/>
    <w:rsid w:val="60F10AD3"/>
    <w:rsid w:val="63E836B2"/>
    <w:rsid w:val="69512D57"/>
    <w:rsid w:val="6BF70F39"/>
    <w:rsid w:val="6D883BD3"/>
    <w:rsid w:val="75605948"/>
    <w:rsid w:val="78CD017F"/>
    <w:rsid w:val="79CE060F"/>
    <w:rsid w:val="7B3F2F12"/>
    <w:rsid w:val="7C906E6C"/>
    <w:rsid w:val="7CF07907"/>
    <w:rsid w:val="7F6E3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4277</Words>
  <Characters>4320</Characters>
  <Lines>0</Lines>
  <Paragraphs>0</Paragraphs>
  <TotalTime>51</TotalTime>
  <ScaleCrop>false</ScaleCrop>
  <LinksUpToDate>false</LinksUpToDate>
  <CharactersWithSpaces>4452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2023-04-04T03:22:00Z</dcterms:created>
  <dc:creator>张申峰</dc:creator>
  <cp:lastModifiedBy>吴静</cp:lastModifiedBy>
  <cp:lastPrinted>2023-04-06T08:41:55Z</cp:lastPrinted>
  <dcterms:modified xsi:type="dcterms:W3CDTF">2023-04-06T08:43:28Z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46FFBE6601A54139B50F09B1219B3B17</vt:lpwstr>
  </property>
</Properties>
</file>