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sz w:val="44"/>
        </w:rPr>
      </w:pPr>
      <w:bookmarkStart w:id="3" w:name="_GoBack"/>
      <w:bookmarkEnd w:id="3"/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JNCR-2018-049000</w:t>
      </w:r>
      <w:r>
        <w:rPr>
          <w:rFonts w:hint="eastAsia" w:cs="Times New Roman"/>
          <w:sz w:val="32"/>
          <w:szCs w:val="32"/>
          <w:lang w:val="en-US" w:eastAsia="zh-CN"/>
        </w:rPr>
        <w:t>4</w:t>
      </w:r>
    </w:p>
    <w:p>
      <w:pPr>
        <w:spacing w:line="500" w:lineRule="exact"/>
        <w:jc w:val="center"/>
        <w:rPr>
          <w:sz w:val="44"/>
        </w:rPr>
      </w:pPr>
    </w:p>
    <w:p>
      <w:pPr>
        <w:spacing w:line="2000" w:lineRule="exact"/>
        <w:jc w:val="center"/>
        <w:rPr>
          <w:rFonts w:eastAsia="方正小标宋简体"/>
          <w:color w:val="FF0000"/>
          <w:w w:val="42"/>
          <w:sz w:val="150"/>
          <w:szCs w:val="150"/>
        </w:rPr>
      </w:pPr>
      <w:r>
        <w:rPr>
          <w:rFonts w:hint="eastAsia" w:eastAsia="方正小标宋简体"/>
          <w:color w:val="FF0000"/>
          <w:w w:val="42"/>
          <w:sz w:val="150"/>
          <w:szCs w:val="150"/>
        </w:rPr>
        <w:t>济宁市住房公积金管理中心文件</w:t>
      </w:r>
    </w:p>
    <w:p>
      <w:pPr>
        <w:spacing w:after="200" w:line="640" w:lineRule="exact"/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济住字〔</w:t>
      </w:r>
      <w:r>
        <w:rPr>
          <w:rFonts w:eastAsia="仿宋_GB2312"/>
          <w:sz w:val="32"/>
          <w:szCs w:val="32"/>
        </w:rPr>
        <w:t>2018</w:t>
      </w:r>
      <w:r>
        <w:rPr>
          <w:rFonts w:hint="eastAsia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64</w:t>
      </w:r>
      <w:r>
        <w:rPr>
          <w:rFonts w:hint="eastAsia" w:eastAsia="仿宋_GB2312"/>
          <w:sz w:val="32"/>
          <w:szCs w:val="32"/>
        </w:rPr>
        <w:t>号</w:t>
      </w:r>
    </w:p>
    <w:p>
      <w:pPr>
        <w:widowControl/>
        <w:adjustRightInd w:val="0"/>
        <w:snapToGrid w:val="0"/>
        <w:spacing w:line="400" w:lineRule="exact"/>
        <w:jc w:val="center"/>
        <w:rPr>
          <w:rFonts w:eastAsia="方正小标宋简体"/>
          <w:sz w:val="44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8255</wp:posOffset>
                </wp:positionV>
                <wp:extent cx="561594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5pt;margin-top:0.65pt;height:0.05pt;width:442.2pt;z-index:251656192;mso-width-relative:page;mso-height-relative:page;" filled="f" stroked="t" coordsize="21600,21600" o:gfxdata="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i6IktMAAAAFAQAADwAA&#10;AAAAAAABACAAAAAiAAAAZHJzL2Rvd25yZXYueG1sUEsBAhQAFAAAAAgAh07iQHW3/0PiAQAApwMA&#10;AA4AAAAAAAAAAQAgAAAAIgEAAGRycy9lMm9Eb2MueG1sUEsFBgAAAAAGAAYAWQEAAHY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spacing w:line="400" w:lineRule="exact"/>
        <w:jc w:val="center"/>
        <w:rPr>
          <w:rFonts w:eastAsia="方正小标宋简体"/>
          <w:sz w:val="44"/>
        </w:rPr>
      </w:pPr>
    </w:p>
    <w:p>
      <w:pPr>
        <w:pStyle w:val="2"/>
        <w:widowControl w:val="0"/>
        <w:spacing w:before="0" w:beforeAutospacing="0" w:after="0" w:afterAutospacing="0" w:line="660" w:lineRule="exact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济宁市住房公积金管理中心</w:t>
      </w:r>
    </w:p>
    <w:p>
      <w:pPr>
        <w:pStyle w:val="2"/>
        <w:widowControl w:val="0"/>
        <w:spacing w:before="0" w:beforeAutospacing="0" w:after="0" w:afterAutospacing="0" w:line="660" w:lineRule="exact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OLE_LINK8"/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关于印发</w:t>
      </w:r>
      <w:bookmarkStart w:id="1" w:name="OLE_LINK9"/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《济宁市住房公积金提取</w:t>
      </w:r>
    </w:p>
    <w:p>
      <w:pPr>
        <w:pStyle w:val="2"/>
        <w:widowControl w:val="0"/>
        <w:spacing w:before="0" w:beforeAutospacing="0" w:after="0" w:afterAutospacing="0" w:line="660" w:lineRule="exact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管理办法》</w:t>
      </w:r>
      <w:bookmarkEnd w:id="1"/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的通知</w:t>
      </w:r>
      <w:bookmarkEnd w:id="0"/>
    </w:p>
    <w:p>
      <w:pPr>
        <w:pStyle w:val="2"/>
        <w:widowControl w:val="0"/>
        <w:spacing w:before="0" w:beforeAutospacing="0" w:after="0" w:afterAutospacing="0" w:line="576" w:lineRule="exact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pStyle w:val="2"/>
        <w:widowControl w:val="0"/>
        <w:spacing w:before="0" w:beforeAutospacing="0" w:after="0" w:afterAutospacing="0" w:line="580" w:lineRule="exact"/>
        <w:jc w:val="both"/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</w:pPr>
      <w:bookmarkStart w:id="2" w:name="OLE_LINK10"/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  <w:t>各科室、分支机构：</w:t>
      </w:r>
    </w:p>
    <w:p>
      <w:pPr>
        <w:pStyle w:val="2"/>
        <w:widowControl w:val="0"/>
        <w:spacing w:before="0" w:beforeAutospacing="0" w:after="0" w:afterAutospacing="0" w:line="580" w:lineRule="exact"/>
        <w:ind w:firstLine="640"/>
        <w:jc w:val="both"/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  <w:t>现将《济宁市住房公积金提取管理办法》印发给你们，请认真贯彻执行。</w:t>
      </w:r>
    </w:p>
    <w:p>
      <w:pPr>
        <w:pStyle w:val="2"/>
        <w:widowControl w:val="0"/>
        <w:spacing w:before="0" w:beforeAutospacing="0" w:after="0" w:afterAutospacing="0" w:line="580" w:lineRule="exact"/>
        <w:ind w:firstLine="640"/>
        <w:jc w:val="both"/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</w:pPr>
    </w:p>
    <w:p>
      <w:pPr>
        <w:pStyle w:val="2"/>
        <w:widowControl w:val="0"/>
        <w:spacing w:before="0" w:beforeAutospacing="0" w:after="0" w:afterAutospacing="0" w:line="580" w:lineRule="exact"/>
        <w:jc w:val="center"/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</w:pPr>
    </w:p>
    <w:p>
      <w:pPr>
        <w:pStyle w:val="2"/>
        <w:widowControl w:val="0"/>
        <w:spacing w:before="0" w:beforeAutospacing="0" w:after="0" w:afterAutospacing="0" w:line="580" w:lineRule="exact"/>
        <w:jc w:val="center"/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  <w:t>济宁市住房公积金管理中心</w:t>
      </w:r>
    </w:p>
    <w:p>
      <w:pPr>
        <w:pStyle w:val="2"/>
        <w:widowControl w:val="0"/>
        <w:spacing w:before="0" w:beforeAutospacing="0" w:after="0" w:afterAutospacing="0" w:line="580" w:lineRule="exact"/>
        <w:jc w:val="center"/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 xml:space="preserve">                         2018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  <w:t>年</w:t>
      </w: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9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  <w:t>月</w:t>
      </w: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12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  <w:t>日</w:t>
      </w:r>
      <w:bookmarkEnd w:id="2"/>
    </w:p>
    <w:p>
      <w:pPr>
        <w:rPr>
          <w:rFonts w:eastAsia="楷体_GB2312"/>
          <w:sz w:val="32"/>
          <w:szCs w:val="32"/>
        </w:rPr>
      </w:pPr>
    </w:p>
    <w:p>
      <w:pPr>
        <w:rPr>
          <w:rFonts w:eastAsia="楷体_GB2312"/>
          <w:sz w:val="32"/>
          <w:szCs w:val="32"/>
        </w:rPr>
      </w:pP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济宁市住房公积金提取管理办法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afterLines="100" w:line="58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第一章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黑体"/>
          <w:sz w:val="32"/>
          <w:szCs w:val="32"/>
        </w:rPr>
        <w:t>总</w:t>
      </w:r>
      <w:r>
        <w:rPr>
          <w:rFonts w:hint="eastAsia" w:eastAsia="黑体"/>
          <w:sz w:val="32"/>
          <w:szCs w:val="32"/>
          <w:lang w:val="en-US" w:eastAsia="zh-CN"/>
        </w:rPr>
        <w:t xml:space="preserve"> </w:t>
      </w:r>
      <w:r>
        <w:rPr>
          <w:rFonts w:eastAsia="黑体"/>
          <w:sz w:val="32"/>
          <w:szCs w:val="32"/>
        </w:rPr>
        <w:t xml:space="preserve"> </w:t>
      </w:r>
      <w:r>
        <w:rPr>
          <w:rFonts w:hint="eastAsia" w:eastAsia="黑体"/>
          <w:sz w:val="32"/>
          <w:szCs w:val="32"/>
        </w:rPr>
        <w:t>则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第一条</w:t>
      </w: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>为进一步完善住房公积金管理制度，维护住房公积金缴存者的合法权益，规范住房公积金提取的管理，根据《住房公积金管理条例》和《济宁市住房公积金管理办法》等文件规定，结合我市实际，制定本办法。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第二条</w:t>
      </w: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>本办法适用于济宁市行政区域内住房公积金的提取管理。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第三条</w:t>
      </w:r>
      <w:r>
        <w:rPr>
          <w:rFonts w:eastAsia="仿宋"/>
          <w:b/>
          <w:bCs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济宁市住房公积金管理中心（以下简称</w:t>
      </w:r>
      <w:r>
        <w:rPr>
          <w:rFonts w:eastAsia="仿宋"/>
          <w:sz w:val="32"/>
          <w:szCs w:val="32"/>
        </w:rPr>
        <w:t>“</w:t>
      </w:r>
      <w:r>
        <w:rPr>
          <w:rFonts w:hint="eastAsia" w:eastAsia="仿宋"/>
          <w:sz w:val="32"/>
          <w:szCs w:val="32"/>
        </w:rPr>
        <w:t>公积金中心</w:t>
      </w:r>
      <w:r>
        <w:rPr>
          <w:rFonts w:eastAsia="仿宋"/>
          <w:sz w:val="32"/>
          <w:szCs w:val="32"/>
        </w:rPr>
        <w:t>”</w:t>
      </w:r>
      <w:r>
        <w:rPr>
          <w:rFonts w:hint="eastAsia" w:eastAsia="仿宋"/>
          <w:sz w:val="32"/>
          <w:szCs w:val="32"/>
        </w:rPr>
        <w:t>）负责本市住房公积金提取的管理。</w:t>
      </w:r>
    </w:p>
    <w:p>
      <w:pPr>
        <w:spacing w:beforeLines="100" w:afterLines="100" w:line="58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第二章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黑体"/>
          <w:sz w:val="32"/>
          <w:szCs w:val="32"/>
        </w:rPr>
        <w:t>提取条件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第四条</w:t>
      </w: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>职工有下列情形之一的，可以提取住房公积金账户内的存储余额。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（一）购买、建造、翻建、大修具有自主产权的自住住房的；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（二）偿还购买自住住房贷款本息的；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（三）租住本市住房的；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（四）因患有重大疾病造成生活严重困难的；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（五）享受城镇最低生活保障待遇或绿卡救助的；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（六）退休的；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（七）在职期间死亡或被宣告死亡的；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（八）与原单位解除或终止劳动关系满半年未就业，或已纳入托管户管理满半年的；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（九）调动工作并户口迁出济宁行政区域的；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（十）完全丧失劳动能力，并与单位终止劳动关系的；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（十一）出境定居的。</w:t>
      </w:r>
    </w:p>
    <w:p>
      <w:pPr>
        <w:spacing w:beforeLines="100" w:afterLines="100" w:line="58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第三章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黑体"/>
          <w:sz w:val="32"/>
          <w:szCs w:val="32"/>
        </w:rPr>
        <w:t>提取额度及相关规定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第五条</w:t>
      </w: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>符合本办法第四条（一）、（四）、（五）项提取条件的，可提取配偶、未婚子女住房公积金账户内的存储余额，未婚子女可提取父母住房公积金账户内的存储余额。夫妻关系提供结婚证，父母、子女关系提供户口簿，未婚子女填写《个人婚姻诚信声明》。提取金额不得超过实际支付的费用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第六条</w:t>
      </w: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>符合本办法第四条（六）、（七）、（八）、（九）、（十）、（十一）项提取条件的，职工可以提取本人住房公积金账户内的全部存储余额，同时办理住房公积金销户手续。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第七条</w:t>
      </w: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>非销户类提取金额起点为拾元整数。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第八条</w:t>
      </w:r>
      <w:r>
        <w:rPr>
          <w:rFonts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职工购买、建造、翻建、大修具有自主产权的自住住房，未在本办法第十五条规定的时限内提取住房公积金的，可提取取得有效购房凭证当月前的住房公积金账户存储余额。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第九条</w:t>
      </w: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>偿还购买自住住房贷款本息的，可提取借款人及共同借款人住房公积金账户内的存储余额，提取金额合计不超过最近</w:t>
      </w:r>
      <w:r>
        <w:rPr>
          <w:rFonts w:eastAsia="仿宋"/>
          <w:sz w:val="32"/>
          <w:szCs w:val="32"/>
        </w:rPr>
        <w:t>12</w:t>
      </w:r>
      <w:r>
        <w:rPr>
          <w:rFonts w:hint="eastAsia" w:eastAsia="仿宋"/>
          <w:sz w:val="32"/>
          <w:szCs w:val="32"/>
        </w:rPr>
        <w:t>个月还款本息。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有当前逾期或</w:t>
      </w:r>
      <w:r>
        <w:rPr>
          <w:rFonts w:eastAsia="仿宋"/>
          <w:sz w:val="32"/>
          <w:szCs w:val="32"/>
        </w:rPr>
        <w:t>12</w:t>
      </w:r>
      <w:r>
        <w:rPr>
          <w:rFonts w:hint="eastAsia" w:eastAsia="仿宋"/>
          <w:sz w:val="32"/>
          <w:szCs w:val="32"/>
        </w:rPr>
        <w:t>个月内贷款逾期次数超过</w:t>
      </w: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</w:rPr>
        <w:t>期的，不得提取住房公积金账户内的存储余额</w:t>
      </w:r>
      <w:r>
        <w:rPr>
          <w:rFonts w:hint="eastAsia" w:eastAsia="仿宋"/>
          <w:sz w:val="32"/>
          <w:szCs w:val="32"/>
          <w:lang w:eastAsia="zh-CN"/>
        </w:rPr>
        <w:t>，</w:t>
      </w:r>
      <w:r>
        <w:rPr>
          <w:rFonts w:hint="eastAsia" w:eastAsia="仿宋"/>
          <w:sz w:val="32"/>
          <w:szCs w:val="32"/>
        </w:rPr>
        <w:t>可冲减其个人住房公积金贷款本息，冲减金额不得超过住房公积金贷款余额。住房公积金不得用于提前偿还个人商业住房贷款</w:t>
      </w:r>
      <w:r>
        <w:rPr>
          <w:rFonts w:hint="eastAsia" w:eastAsia="仿宋"/>
          <w:sz w:val="32"/>
          <w:szCs w:val="32"/>
          <w:lang w:eastAsia="zh-CN"/>
        </w:rPr>
        <w:t>、本市住房公积金贴息贷款及</w:t>
      </w:r>
      <w:r>
        <w:rPr>
          <w:rFonts w:hint="eastAsia" w:eastAsia="仿宋"/>
          <w:sz w:val="32"/>
          <w:szCs w:val="32"/>
        </w:rPr>
        <w:t>异地住房公积金贷款。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已办理本市住房公积金贷款的借款人及共同借款人，在住房公积金贷款未结清前，除以同套住房申请购房提取及偿还本市住房公积金贷款提取外，不得以其他条件提取住房公积金。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第十条</w:t>
      </w: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>职工连续足额缴存住房公积金满</w:t>
      </w:r>
      <w:r>
        <w:rPr>
          <w:rFonts w:eastAsia="仿宋"/>
          <w:sz w:val="32"/>
          <w:szCs w:val="32"/>
        </w:rPr>
        <w:t>3</w:t>
      </w:r>
      <w:r>
        <w:rPr>
          <w:rFonts w:hint="eastAsia" w:eastAsia="仿宋"/>
          <w:sz w:val="32"/>
          <w:szCs w:val="32"/>
        </w:rPr>
        <w:t>个月，本人及配偶在缴存地均无自有住房并在当地租赁住房的，可提取夫妻双方的住房公积金支付房租。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40"/>
        </w:rPr>
      </w:pPr>
      <w:r>
        <w:rPr>
          <w:rFonts w:hint="eastAsia" w:hAnsi="仿宋" w:eastAsia="仿宋"/>
          <w:sz w:val="32"/>
          <w:szCs w:val="32"/>
        </w:rPr>
        <w:t>租住本市商品住房的，职工本人及配偶每月最高提取额度合计为</w:t>
      </w:r>
      <w:r>
        <w:rPr>
          <w:rFonts w:eastAsia="仿宋"/>
          <w:sz w:val="32"/>
          <w:szCs w:val="32"/>
        </w:rPr>
        <w:t>1000</w:t>
      </w:r>
      <w:r>
        <w:rPr>
          <w:rFonts w:hint="eastAsia" w:hAnsi="仿宋" w:eastAsia="仿宋"/>
          <w:sz w:val="32"/>
          <w:szCs w:val="32"/>
        </w:rPr>
        <w:t>元；租住本市公共租赁住房等保障性住房的，按照实</w:t>
      </w:r>
      <w:r>
        <w:rPr>
          <w:rFonts w:hint="eastAsia" w:hAnsi="仿宋" w:eastAsia="仿宋"/>
          <w:sz w:val="32"/>
          <w:szCs w:val="40"/>
        </w:rPr>
        <w:t>际房租支出全额提取。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40"/>
        </w:rPr>
      </w:pPr>
      <w:r>
        <w:rPr>
          <w:rFonts w:hint="eastAsia" w:ascii="黑体" w:eastAsia="黑体"/>
          <w:bCs/>
          <w:sz w:val="32"/>
          <w:szCs w:val="32"/>
        </w:rPr>
        <w:t>第十一条</w:t>
      </w:r>
      <w:r>
        <w:rPr>
          <w:rFonts w:eastAsia="仿宋"/>
          <w:b/>
          <w:bCs/>
          <w:sz w:val="32"/>
          <w:szCs w:val="32"/>
        </w:rPr>
        <w:t xml:space="preserve"> </w:t>
      </w:r>
      <w:r>
        <w:rPr>
          <w:rFonts w:eastAsia="仿宋_GB2312"/>
          <w:sz w:val="32"/>
          <w:szCs w:val="40"/>
        </w:rPr>
        <w:t xml:space="preserve"> </w:t>
      </w:r>
      <w:r>
        <w:rPr>
          <w:rFonts w:hint="eastAsia" w:ascii="仿宋" w:hAnsi="仿宋" w:eastAsia="仿宋"/>
          <w:sz w:val="32"/>
          <w:szCs w:val="40"/>
        </w:rPr>
        <w:t>重大疾病包括慢性肾衰、恶性肿瘤、再生障碍性贫血、慢性重型肝炎、心脏瓣膜置换手术、冠状动脉旁路移植术、颅内肿瘤摘除手术、重大器官移植手术、冠状动脉主动脉手术。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40"/>
        </w:rPr>
      </w:pPr>
      <w:r>
        <w:rPr>
          <w:rFonts w:hint="eastAsia" w:ascii="黑体" w:eastAsia="黑体"/>
          <w:bCs/>
          <w:sz w:val="32"/>
          <w:szCs w:val="32"/>
        </w:rPr>
        <w:t>第十二条</w:t>
      </w:r>
      <w:r>
        <w:rPr>
          <w:rFonts w:eastAsia="仿宋_GB2312"/>
          <w:sz w:val="32"/>
          <w:szCs w:val="40"/>
        </w:rPr>
        <w:t xml:space="preserve">  </w:t>
      </w:r>
      <w:r>
        <w:rPr>
          <w:rFonts w:hint="eastAsia" w:ascii="仿宋" w:hAnsi="仿宋" w:eastAsia="仿宋"/>
          <w:sz w:val="32"/>
          <w:szCs w:val="40"/>
        </w:rPr>
        <w:t>享受城镇最低生活保障待遇或绿卡救助的，提取额度不超过家庭成员当年最低生活标准。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40"/>
        </w:rPr>
      </w:pPr>
      <w:r>
        <w:rPr>
          <w:rFonts w:hint="eastAsia" w:ascii="黑体" w:eastAsia="黑体"/>
          <w:bCs/>
          <w:sz w:val="32"/>
          <w:szCs w:val="32"/>
        </w:rPr>
        <w:t>第十三条</w:t>
      </w:r>
      <w:r>
        <w:rPr>
          <w:rFonts w:eastAsia="仿宋_GB2312"/>
          <w:sz w:val="32"/>
          <w:szCs w:val="40"/>
        </w:rPr>
        <w:t xml:space="preserve">  </w:t>
      </w:r>
      <w:r>
        <w:rPr>
          <w:rFonts w:hint="eastAsia" w:ascii="仿宋" w:hAnsi="仿宋" w:eastAsia="仿宋"/>
          <w:sz w:val="32"/>
          <w:szCs w:val="40"/>
        </w:rPr>
        <w:t>职工与原单位解除或终止劳动关系的，先办理个人账户封存。账户封存期间，在异地开立住房公积金账户并稳定缴存半年以上的，办理异地转移接续手续。未在异地继续缴存的，封存满半年后可提取。</w:t>
      </w:r>
    </w:p>
    <w:p>
      <w:pPr>
        <w:spacing w:beforeLines="100" w:afterLines="100" w:line="58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第四章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黑体"/>
          <w:sz w:val="32"/>
          <w:szCs w:val="32"/>
        </w:rPr>
        <w:t>提取材料及时限要求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第十四条</w:t>
      </w: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>职工提取住房公积金，需提供提取人身份证原件、借记卡原件和复印件，及以下证明材料的原件和复印件（通过联网核查能获取所需信息或证照的，无需提供相关纸质证照）。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第十五条</w:t>
      </w:r>
      <w:r>
        <w:rPr>
          <w:rFonts w:ascii="黑体" w:eastAsia="黑体"/>
          <w:bCs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职工购买、建造、翻建、大修具有自主产权的自住住房的，一套住房仅限提取一次。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（一）购买商品住房的，应提供房屋产权登记部门出具的网上备案确认书、购房合同、交款票据。在取得购房合同三年内办理提取。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（二）购买二手房的，应提供房屋买卖协议（原件或复印件）、过户后的《不动产权证》和契税凭证。在取得契税凭证三年内办理提取。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（三）购买征收住房的，应提供政府部门出具的房屋征收公告、《房屋征收补偿安置协议》、补交差价款收据。在取得补交差价款收据三年内办理提取。</w:t>
      </w:r>
    </w:p>
    <w:p>
      <w:pPr>
        <w:pStyle w:val="6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（四）翻建、建造自住住房的，城镇的应提供《建设用地规划许可证》、《建设工程规划许可证》、《不动产权证》、购买建筑材料的发票；农村的应提供《宅基地使用证》及与《宅基地使用证》所在地一致的户口簿、购买建筑材料的发票。在取得建筑材料发票三年内办理提取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（五）大修自住住房的，应提供有资质机构出具的《房屋安全鉴定书》、《房屋所有权证》或《不动产权证》、工程决算书及购买建筑材料的发票。在取得建筑材料发票三年内办理提取。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第十六条</w:t>
      </w: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>偿还购买自住住房贷款本息的，每个自然年度提取一次。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（一）偿还本市个人住房公积金贷款（含贴息贷款）本息的，不需要提供其他材料。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职工满足《济宁市委托提取住房公积金归还个人住房公积金贷款管理办法》条件的，可与公积金中心签订《委托还款协议书》，委托公积金中心每月冲减贷款本息或每年提取住房公积金。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（二）偿还商业住房贷款本息及异地住房公积金贷款本息的，提供借款合同（仅需第一次提取时提供）、加盖银行印鉴的最近</w:t>
      </w:r>
      <w:r>
        <w:rPr>
          <w:rFonts w:eastAsia="仿宋"/>
          <w:sz w:val="32"/>
          <w:szCs w:val="32"/>
        </w:rPr>
        <w:t>12</w:t>
      </w:r>
      <w:r>
        <w:rPr>
          <w:rFonts w:hint="eastAsia" w:eastAsia="仿宋"/>
          <w:sz w:val="32"/>
          <w:szCs w:val="32"/>
        </w:rPr>
        <w:t>个月的还款流水明细表。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第十七条</w:t>
      </w:r>
      <w:r>
        <w:rPr>
          <w:rFonts w:ascii="黑体" w:eastAsia="黑体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租住本市商品住房的，应提供夫妻双方身份证、夫妻双方无房证明、结婚证。单身的，提供职工本人身份证、无房证明，并现场签订《个人婚姻诚信声明》。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租住本市公共租赁住房等保障性住房的，应提供房屋租赁合同、租金缴纳票据。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职工租住本市住房的，</w:t>
      </w:r>
      <w:r>
        <w:rPr>
          <w:rFonts w:eastAsia="仿宋"/>
          <w:sz w:val="32"/>
          <w:szCs w:val="32"/>
        </w:rPr>
        <w:t>12</w:t>
      </w:r>
      <w:r>
        <w:rPr>
          <w:rFonts w:hint="eastAsia" w:eastAsia="仿宋"/>
          <w:sz w:val="32"/>
          <w:szCs w:val="32"/>
        </w:rPr>
        <w:t>个月提取一次。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第十八条</w:t>
      </w:r>
      <w:r>
        <w:rPr>
          <w:rFonts w:eastAsia="仿宋"/>
          <w:b/>
          <w:bCs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患有重大疾病的，应提供二级及以上医院盖章的住院病例、诊断报告、医疗费用结算单。在取得医疗费用结算单</w:t>
      </w:r>
      <w:r>
        <w:rPr>
          <w:rFonts w:eastAsia="仿宋"/>
          <w:sz w:val="32"/>
          <w:szCs w:val="32"/>
        </w:rPr>
        <w:t>12</w:t>
      </w:r>
      <w:r>
        <w:rPr>
          <w:rFonts w:hint="eastAsia" w:eastAsia="仿宋"/>
          <w:sz w:val="32"/>
          <w:szCs w:val="32"/>
        </w:rPr>
        <w:t>个月内办理提取。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第十九条</w:t>
      </w: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>享受</w:t>
      </w:r>
      <w:r>
        <w:rPr>
          <w:rFonts w:hint="eastAsia" w:eastAsia="仿宋"/>
          <w:sz w:val="32"/>
          <w:szCs w:val="32"/>
          <w:lang w:eastAsia="zh-CN"/>
        </w:rPr>
        <w:t>城镇</w:t>
      </w:r>
      <w:r>
        <w:rPr>
          <w:rFonts w:hint="eastAsia" w:eastAsia="仿宋"/>
          <w:sz w:val="32"/>
          <w:szCs w:val="32"/>
        </w:rPr>
        <w:t>居民最低生活保障或绿卡救助的，应提供有效的低保证或绿卡证，</w:t>
      </w:r>
      <w:r>
        <w:rPr>
          <w:rFonts w:eastAsia="仿宋"/>
          <w:sz w:val="32"/>
          <w:szCs w:val="32"/>
        </w:rPr>
        <w:t>12</w:t>
      </w:r>
      <w:r>
        <w:rPr>
          <w:rFonts w:hint="eastAsia" w:eastAsia="仿宋"/>
          <w:sz w:val="32"/>
          <w:szCs w:val="32"/>
        </w:rPr>
        <w:t>个月提取一次。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第二十条</w:t>
      </w: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>职工退休的，住房公积金账户须为封存状态，男性满</w:t>
      </w:r>
      <w:r>
        <w:rPr>
          <w:rFonts w:eastAsia="仿宋"/>
          <w:sz w:val="32"/>
          <w:szCs w:val="32"/>
        </w:rPr>
        <w:t>60</w:t>
      </w:r>
      <w:r>
        <w:rPr>
          <w:rFonts w:hint="eastAsia" w:eastAsia="仿宋"/>
          <w:sz w:val="32"/>
          <w:szCs w:val="32"/>
        </w:rPr>
        <w:t>周岁、女性满</w:t>
      </w:r>
      <w:r>
        <w:rPr>
          <w:rFonts w:eastAsia="仿宋"/>
          <w:sz w:val="32"/>
          <w:szCs w:val="32"/>
        </w:rPr>
        <w:t>50</w:t>
      </w:r>
      <w:r>
        <w:rPr>
          <w:rFonts w:hint="eastAsia" w:eastAsia="仿宋"/>
          <w:sz w:val="32"/>
          <w:szCs w:val="32"/>
        </w:rPr>
        <w:t>周岁的（年龄认定以身份证为准），不需要提供其他证明材料。提前或延迟退休的，应提供人社部门审批的离退休证或离退休审批表。</w:t>
      </w:r>
    </w:p>
    <w:p>
      <w:pPr>
        <w:pStyle w:val="6"/>
        <w:widowControl/>
        <w:autoSpaceDE w:val="0"/>
        <w:spacing w:before="0" w:beforeAutospacing="0" w:after="0" w:afterAutospacing="0" w:line="580" w:lineRule="exact"/>
        <w:ind w:firstLine="640" w:firstLineChars="200"/>
        <w:jc w:val="both"/>
        <w:rPr>
          <w:rFonts w:eastAsia="仿宋"/>
          <w:kern w:val="2"/>
          <w:sz w:val="32"/>
          <w:szCs w:val="32"/>
        </w:rPr>
      </w:pPr>
      <w:r>
        <w:rPr>
          <w:rFonts w:hint="eastAsia" w:ascii="黑体" w:eastAsia="黑体"/>
          <w:bCs/>
          <w:kern w:val="2"/>
          <w:sz w:val="32"/>
          <w:szCs w:val="32"/>
        </w:rPr>
        <w:t>第二十一条</w:t>
      </w:r>
      <w:r>
        <w:rPr>
          <w:rFonts w:eastAsia="仿宋"/>
          <w:kern w:val="2"/>
          <w:sz w:val="32"/>
          <w:szCs w:val="32"/>
        </w:rPr>
        <w:t xml:space="preserve">  </w:t>
      </w:r>
      <w:r>
        <w:rPr>
          <w:rFonts w:hint="eastAsia" w:eastAsia="仿宋"/>
          <w:kern w:val="2"/>
          <w:sz w:val="32"/>
          <w:szCs w:val="32"/>
        </w:rPr>
        <w:t>职工在职期间死亡或被宣告死亡的，应提供殡仪馆火化证明或医院、当地公安机关、法院出具的死亡证明，继承人或受遗赠人的身份证，经公证的住房公积金继承书或经公证的遗赠书。有多个继承人或受遗赠人的，继承人或受遗赠人应同时到场；不能同时到场的，还应提供经公证的其他继承人或受遗赠人的授权委托书。对继承或遗赠有争议的，还应提供生效的法院判决书、裁定书或调解书等法律文书。</w:t>
      </w:r>
    </w:p>
    <w:p>
      <w:pPr>
        <w:pStyle w:val="6"/>
        <w:widowControl/>
        <w:autoSpaceDE w:val="0"/>
        <w:spacing w:before="0" w:beforeAutospacing="0" w:after="0" w:afterAutospacing="0" w:line="580" w:lineRule="exact"/>
        <w:ind w:firstLine="643" w:firstLineChars="200"/>
        <w:jc w:val="both"/>
        <w:rPr>
          <w:rFonts w:eastAsia="仿宋_GB2312"/>
          <w:sz w:val="32"/>
          <w:szCs w:val="40"/>
        </w:rPr>
      </w:pPr>
      <w:r>
        <w:rPr>
          <w:rFonts w:hint="eastAsia" w:ascii="黑体" w:eastAsia="黑体"/>
          <w:b/>
          <w:bCs/>
          <w:sz w:val="32"/>
          <w:szCs w:val="32"/>
        </w:rPr>
        <w:t>第二十二条</w:t>
      </w:r>
      <w:r>
        <w:rPr>
          <w:rFonts w:eastAsia="仿宋"/>
          <w:b/>
          <w:bCs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40"/>
        </w:rPr>
        <w:t>职工与原单位解除或终止劳动关系满半年未就业，或已纳入托管户管</w:t>
      </w:r>
      <w:r>
        <w:rPr>
          <w:rFonts w:hint="eastAsia" w:ascii="仿宋" w:hAnsi="仿宋" w:eastAsia="仿宋"/>
          <w:sz w:val="32"/>
          <w:szCs w:val="32"/>
        </w:rPr>
        <w:t>理满半年的，以系统封存时间为准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40"/>
        </w:rPr>
        <w:t>提取时不需要提供其他资料。</w:t>
      </w: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40"/>
        </w:rPr>
      </w:pPr>
      <w:r>
        <w:rPr>
          <w:rFonts w:hint="eastAsia" w:ascii="黑体" w:eastAsia="黑体"/>
          <w:bCs/>
          <w:sz w:val="32"/>
          <w:szCs w:val="32"/>
        </w:rPr>
        <w:t>第二十三条</w:t>
      </w:r>
      <w:r>
        <w:rPr>
          <w:rFonts w:ascii="黑体" w:eastAsia="黑体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职工调动工作并户口迁出济宁行政区域的，应</w:t>
      </w:r>
      <w:r>
        <w:rPr>
          <w:rFonts w:hint="eastAsia" w:ascii="仿宋" w:hAnsi="仿宋" w:eastAsia="仿宋"/>
          <w:kern w:val="0"/>
          <w:sz w:val="32"/>
          <w:szCs w:val="40"/>
        </w:rPr>
        <w:t>提供就职通知书或与新调入单位签订的劳动合同、调入地户口簿。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第二十四条</w:t>
      </w: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>完全丧失劳动能力并与单位终止劳动关系的，应提供县（市）以上劳动鉴定委员会出具的劳动能力鉴定（</w:t>
      </w:r>
      <w:r>
        <w:rPr>
          <w:rFonts w:eastAsia="仿宋"/>
          <w:sz w:val="32"/>
          <w:szCs w:val="32"/>
        </w:rPr>
        <w:t>1—4</w:t>
      </w:r>
      <w:r>
        <w:rPr>
          <w:rFonts w:hint="eastAsia" w:eastAsia="仿宋"/>
          <w:sz w:val="32"/>
          <w:szCs w:val="32"/>
        </w:rPr>
        <w:t>级）、与原单位终止劳动关系证明。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第二十五条</w:t>
      </w: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>出境定居的，应提供其移民批准文件或定居国</w:t>
      </w:r>
      <w:r>
        <w:rPr>
          <w:rFonts w:hint="eastAsia" w:eastAsia="仿宋"/>
          <w:sz w:val="32"/>
          <w:szCs w:val="32"/>
          <w:lang w:eastAsia="zh-CN"/>
        </w:rPr>
        <w:t>（</w:t>
      </w:r>
      <w:r>
        <w:rPr>
          <w:rFonts w:hint="eastAsia" w:eastAsia="仿宋"/>
          <w:sz w:val="32"/>
          <w:szCs w:val="32"/>
        </w:rPr>
        <w:t>地区</w:t>
      </w:r>
      <w:r>
        <w:rPr>
          <w:rFonts w:hint="eastAsia" w:eastAsia="仿宋"/>
          <w:sz w:val="32"/>
          <w:szCs w:val="32"/>
          <w:lang w:eastAsia="zh-CN"/>
        </w:rPr>
        <w:t>）</w:t>
      </w:r>
      <w:r>
        <w:rPr>
          <w:rFonts w:hint="eastAsia" w:eastAsia="仿宋"/>
          <w:sz w:val="32"/>
          <w:szCs w:val="32"/>
        </w:rPr>
        <w:t>长期居住证。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第二十六条</w:t>
      </w: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>如委托他人办理的，代办人须为直系亲属，并提供代办人身份证原件、关系证明。</w:t>
      </w:r>
    </w:p>
    <w:p>
      <w:pPr>
        <w:spacing w:beforeLines="100" w:afterLines="100" w:line="58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第五章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黑体"/>
          <w:sz w:val="32"/>
          <w:szCs w:val="32"/>
        </w:rPr>
        <w:t>提取程序及监督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第二十七条</w:t>
      </w: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>符合本办法提取条件的，职工持相关材料向公积金中心提出申请，公积金中心自受理申请之日起</w:t>
      </w:r>
      <w:r>
        <w:rPr>
          <w:rFonts w:eastAsia="仿宋"/>
          <w:sz w:val="32"/>
          <w:szCs w:val="32"/>
        </w:rPr>
        <w:t>3</w:t>
      </w:r>
      <w:r>
        <w:rPr>
          <w:rFonts w:hint="eastAsia" w:eastAsia="仿宋"/>
          <w:sz w:val="32"/>
          <w:szCs w:val="32"/>
        </w:rPr>
        <w:t>个工作日内进行审核，作出准予提取或者不准提取的决定。经审核符合提取条件的，公积金中心将提取金额划入职工本人名下的借记卡中。</w:t>
      </w:r>
    </w:p>
    <w:p>
      <w:pPr>
        <w:spacing w:line="58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hint="eastAsia" w:ascii="黑体" w:eastAsia="黑体"/>
          <w:bCs/>
          <w:sz w:val="32"/>
          <w:szCs w:val="32"/>
        </w:rPr>
        <w:t>第二十八条</w:t>
      </w:r>
      <w:r>
        <w:rPr>
          <w:rFonts w:eastAsia="仿宋"/>
          <w:b/>
          <w:bCs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>单位或职工违反本办法规定提取住房公积金的，根据《济宁市住房公积金诚信黑名单管理办法》有关规定将其纳入黑名单管理。</w:t>
      </w:r>
    </w:p>
    <w:p>
      <w:pPr>
        <w:spacing w:beforeLines="100" w:afterLines="100" w:line="58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第六章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黑体"/>
          <w:sz w:val="32"/>
          <w:szCs w:val="32"/>
        </w:rPr>
        <w:t>附</w:t>
      </w:r>
      <w:r>
        <w:rPr>
          <w:rFonts w:hint="eastAsia" w:eastAsia="黑体"/>
          <w:sz w:val="32"/>
          <w:szCs w:val="32"/>
          <w:lang w:val="en-US" w:eastAsia="zh-CN"/>
        </w:rPr>
        <w:t xml:space="preserve"> </w:t>
      </w:r>
      <w:r>
        <w:rPr>
          <w:rFonts w:eastAsia="黑体"/>
          <w:sz w:val="32"/>
          <w:szCs w:val="32"/>
        </w:rPr>
        <w:t xml:space="preserve"> </w:t>
      </w:r>
      <w:r>
        <w:rPr>
          <w:rFonts w:hint="eastAsia" w:eastAsia="黑体"/>
          <w:sz w:val="32"/>
          <w:szCs w:val="32"/>
        </w:rPr>
        <w:t>则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第二十九条</w:t>
      </w: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>个体工商户、自由职业者提取住房公积金参照本办法执行。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第三十条</w:t>
      </w:r>
      <w:r>
        <w:rPr>
          <w:rFonts w:eastAsia="仿宋"/>
          <w:b/>
          <w:bCs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>本办法由公积金中心负责解释。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第三十一条</w:t>
      </w:r>
      <w:r>
        <w:rPr>
          <w:rFonts w:ascii="黑体" w:eastAsia="黑体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本办法自</w:t>
      </w:r>
      <w:r>
        <w:rPr>
          <w:rFonts w:eastAsia="仿宋"/>
          <w:sz w:val="32"/>
          <w:szCs w:val="32"/>
        </w:rPr>
        <w:t>2018</w:t>
      </w:r>
      <w:r>
        <w:rPr>
          <w:rFonts w:hint="eastAsia"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>10</w:t>
      </w:r>
      <w:r>
        <w:rPr>
          <w:rFonts w:hint="eastAsia"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>12</w:t>
      </w:r>
      <w:r>
        <w:rPr>
          <w:rFonts w:hint="eastAsia" w:eastAsia="仿宋"/>
          <w:sz w:val="32"/>
          <w:szCs w:val="32"/>
        </w:rPr>
        <w:t>日起施行，有效期至</w:t>
      </w:r>
      <w:r>
        <w:rPr>
          <w:rFonts w:eastAsia="仿宋"/>
          <w:sz w:val="32"/>
          <w:szCs w:val="32"/>
        </w:rPr>
        <w:t>2023</w:t>
      </w:r>
      <w:r>
        <w:rPr>
          <w:rFonts w:hint="eastAsia"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>10</w:t>
      </w:r>
      <w:r>
        <w:rPr>
          <w:rFonts w:hint="eastAsia"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>11</w:t>
      </w:r>
      <w:r>
        <w:rPr>
          <w:rFonts w:hint="eastAsia" w:eastAsia="仿宋"/>
          <w:sz w:val="32"/>
          <w:szCs w:val="32"/>
        </w:rPr>
        <w:t>日。提取政策与本办法不一致的，以本办法为准。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beforeLines="50" w:line="576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00" w:lineRule="exact"/>
        <w:rPr>
          <w:rFonts w:eastAsia="仿宋"/>
          <w:sz w:val="32"/>
          <w:szCs w:val="28"/>
        </w:rPr>
      </w:pPr>
    </w:p>
    <w:p>
      <w:pPr>
        <w:spacing w:line="580" w:lineRule="exact"/>
        <w:rPr>
          <w:rFonts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31115</wp:posOffset>
                </wp:positionV>
                <wp:extent cx="5579745" cy="635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3.3pt;margin-top:2.45pt;height:0.05pt;width:439.35pt;z-index:251658240;mso-width-relative:page;mso-height-relative:page;" filled="f" stroked="t" coordsize="21600,21600" o:gfxdata="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tWnkT1gAAAAUBAAAPAAAAAAAAAAEAIAAAACIA&#10;AABkcnMvZG93bnJldi54bWxQSwECFAAUAAAACACHTuJASksc9tIBAACQAwAADgAAAAAAAAABACAA&#10;AAAlAQAAZHJzL2Uyb0RvYy54bWxQSwUGAAAAAAYABgBZAQAAa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421005</wp:posOffset>
                </wp:positionV>
                <wp:extent cx="5579745" cy="8255"/>
                <wp:effectExtent l="0" t="0" r="0" b="0"/>
                <wp:wrapNone/>
                <wp:docPr id="1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825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3pt;margin-top:33.15pt;height:0.65pt;width:439.35pt;z-index:251657216;mso-width-relative:page;mso-height-relative:page;" filled="f" stroked="t" coordsize="21600,21600" o:gfxdata="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iWUkNUAAAAHAQAADwAAAAAAAAABACAA&#10;AAAiAAAAZHJzL2Rvd25yZXYueG1sUEsBAhQAFAAAAAgAh07iQKSBnlDXAQAAmwMAAA4AAAAAAAAA&#10;AQAgAAAAJAEAAGRycy9lMm9Eb2MueG1sUEsFBgAAAAAGAAYAWQEAAG0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hAnsi="仿宋" w:eastAsia="仿宋"/>
          <w:sz w:val="28"/>
          <w:szCs w:val="28"/>
        </w:rPr>
        <w:t>济宁市住房公积金管理中心</w:t>
      </w:r>
      <w:r>
        <w:rPr>
          <w:rFonts w:eastAsia="仿宋"/>
          <w:sz w:val="28"/>
          <w:szCs w:val="28"/>
        </w:rPr>
        <w:t xml:space="preserve">               2018</w:t>
      </w:r>
      <w:r>
        <w:rPr>
          <w:rFonts w:hint="eastAsia" w:hAnsi="仿宋"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>9</w:t>
      </w:r>
      <w:r>
        <w:rPr>
          <w:rFonts w:hint="eastAsia" w:hAnsi="仿宋"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>12</w:t>
      </w:r>
      <w:r>
        <w:rPr>
          <w:rFonts w:hint="eastAsia" w:hAnsi="仿宋" w:eastAsia="仿宋"/>
          <w:sz w:val="28"/>
          <w:szCs w:val="28"/>
        </w:rPr>
        <w:t>日印发</w:t>
      </w:r>
    </w:p>
    <w:sectPr>
      <w:footerReference r:id="rId3" w:type="default"/>
      <w:pgSz w:w="11906" w:h="16838"/>
      <w:pgMar w:top="1928" w:right="1531" w:bottom="1871" w:left="1531" w:header="851" w:footer="1474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hpgkvTAAAABQEAAA8AAAAAAAAAAQAgAAAAIgAAAGRycy9kb3ducmV2LnhtbFBLAQIUABQA&#10;AAAIAIdO4kBiaDVcvAEAAGMDAAAOAAAAAAAAAAEAIAAAACIBAABkcnMvZTJvRG9jLnhtbFBLBQYA&#10;AAAABgAGAFkBAABQ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F014A"/>
    <w:rsid w:val="000335EA"/>
    <w:rsid w:val="000B5B5A"/>
    <w:rsid w:val="00180370"/>
    <w:rsid w:val="00182DEE"/>
    <w:rsid w:val="00190BDA"/>
    <w:rsid w:val="00287BF7"/>
    <w:rsid w:val="00387216"/>
    <w:rsid w:val="006643E6"/>
    <w:rsid w:val="00694588"/>
    <w:rsid w:val="007D6F2B"/>
    <w:rsid w:val="007F5695"/>
    <w:rsid w:val="00822853"/>
    <w:rsid w:val="00870383"/>
    <w:rsid w:val="00923660"/>
    <w:rsid w:val="00A04DEF"/>
    <w:rsid w:val="00AE5603"/>
    <w:rsid w:val="00B47BB2"/>
    <w:rsid w:val="00B67A31"/>
    <w:rsid w:val="00B76839"/>
    <w:rsid w:val="00BC77A9"/>
    <w:rsid w:val="00C23E45"/>
    <w:rsid w:val="00DA638E"/>
    <w:rsid w:val="00EC4C5D"/>
    <w:rsid w:val="00EF6101"/>
    <w:rsid w:val="00F2377F"/>
    <w:rsid w:val="01316CE4"/>
    <w:rsid w:val="01820881"/>
    <w:rsid w:val="01D12E0F"/>
    <w:rsid w:val="03AA4DAA"/>
    <w:rsid w:val="04693AA5"/>
    <w:rsid w:val="064F2583"/>
    <w:rsid w:val="069C414A"/>
    <w:rsid w:val="0869390D"/>
    <w:rsid w:val="09602A96"/>
    <w:rsid w:val="09907D01"/>
    <w:rsid w:val="099E2E26"/>
    <w:rsid w:val="09BD7C5E"/>
    <w:rsid w:val="0A2233E7"/>
    <w:rsid w:val="0AA72AD2"/>
    <w:rsid w:val="0B47025C"/>
    <w:rsid w:val="0B9E663B"/>
    <w:rsid w:val="0BAC39FD"/>
    <w:rsid w:val="0BB07CB6"/>
    <w:rsid w:val="0CBF1AD0"/>
    <w:rsid w:val="0CCA2300"/>
    <w:rsid w:val="0D2429FA"/>
    <w:rsid w:val="0D3A10B0"/>
    <w:rsid w:val="0E493E08"/>
    <w:rsid w:val="0E4B57D0"/>
    <w:rsid w:val="0E60585B"/>
    <w:rsid w:val="1126703B"/>
    <w:rsid w:val="11CB1AAC"/>
    <w:rsid w:val="12457FFB"/>
    <w:rsid w:val="12D27D03"/>
    <w:rsid w:val="139131DE"/>
    <w:rsid w:val="14832C86"/>
    <w:rsid w:val="15373031"/>
    <w:rsid w:val="16825BF5"/>
    <w:rsid w:val="16906E1F"/>
    <w:rsid w:val="17431B15"/>
    <w:rsid w:val="176575A0"/>
    <w:rsid w:val="17BD4FC9"/>
    <w:rsid w:val="18520726"/>
    <w:rsid w:val="18C25FF1"/>
    <w:rsid w:val="19474AD5"/>
    <w:rsid w:val="1AEE48B6"/>
    <w:rsid w:val="1B576511"/>
    <w:rsid w:val="1B611630"/>
    <w:rsid w:val="1C5F4607"/>
    <w:rsid w:val="1CC1160E"/>
    <w:rsid w:val="1CE46C62"/>
    <w:rsid w:val="1CFF0297"/>
    <w:rsid w:val="1EBA3062"/>
    <w:rsid w:val="1FF97B78"/>
    <w:rsid w:val="20E33D4F"/>
    <w:rsid w:val="21AA21FA"/>
    <w:rsid w:val="234F014A"/>
    <w:rsid w:val="245C1777"/>
    <w:rsid w:val="24843A71"/>
    <w:rsid w:val="25282469"/>
    <w:rsid w:val="25582ADF"/>
    <w:rsid w:val="2579562D"/>
    <w:rsid w:val="268A293E"/>
    <w:rsid w:val="26D2497A"/>
    <w:rsid w:val="27C83CF3"/>
    <w:rsid w:val="298B639F"/>
    <w:rsid w:val="2BC440A0"/>
    <w:rsid w:val="2C317E46"/>
    <w:rsid w:val="2D147FE8"/>
    <w:rsid w:val="2E557A88"/>
    <w:rsid w:val="2E6938FC"/>
    <w:rsid w:val="2FAE4F3C"/>
    <w:rsid w:val="305A7027"/>
    <w:rsid w:val="31A27F99"/>
    <w:rsid w:val="32270B6D"/>
    <w:rsid w:val="339F5397"/>
    <w:rsid w:val="33CF0756"/>
    <w:rsid w:val="345E3D13"/>
    <w:rsid w:val="38B809BA"/>
    <w:rsid w:val="397A11FC"/>
    <w:rsid w:val="39E077E0"/>
    <w:rsid w:val="39F46E45"/>
    <w:rsid w:val="3A1D5E7A"/>
    <w:rsid w:val="3B3864E9"/>
    <w:rsid w:val="3C79656A"/>
    <w:rsid w:val="3F256126"/>
    <w:rsid w:val="3F833065"/>
    <w:rsid w:val="3F8D1EBC"/>
    <w:rsid w:val="3FD86AFB"/>
    <w:rsid w:val="3FDB77D1"/>
    <w:rsid w:val="407B25D5"/>
    <w:rsid w:val="41277DA7"/>
    <w:rsid w:val="417D793B"/>
    <w:rsid w:val="4219282E"/>
    <w:rsid w:val="42615091"/>
    <w:rsid w:val="43395F78"/>
    <w:rsid w:val="435E4E58"/>
    <w:rsid w:val="438D32F9"/>
    <w:rsid w:val="464D2533"/>
    <w:rsid w:val="46583662"/>
    <w:rsid w:val="471B2549"/>
    <w:rsid w:val="47414A0B"/>
    <w:rsid w:val="47AE2F88"/>
    <w:rsid w:val="482C14BE"/>
    <w:rsid w:val="486702F5"/>
    <w:rsid w:val="4A2B10E3"/>
    <w:rsid w:val="4A7E124F"/>
    <w:rsid w:val="4AB52EA0"/>
    <w:rsid w:val="4AF14345"/>
    <w:rsid w:val="4C811926"/>
    <w:rsid w:val="4CD358AF"/>
    <w:rsid w:val="4D2F7179"/>
    <w:rsid w:val="4D9332EF"/>
    <w:rsid w:val="4E9078A8"/>
    <w:rsid w:val="4F830FF7"/>
    <w:rsid w:val="4FB71B41"/>
    <w:rsid w:val="4FCA41DC"/>
    <w:rsid w:val="4FCD3AA0"/>
    <w:rsid w:val="4FEF5BD9"/>
    <w:rsid w:val="50AC3DA6"/>
    <w:rsid w:val="50B27F3D"/>
    <w:rsid w:val="50BE01A0"/>
    <w:rsid w:val="50D34A79"/>
    <w:rsid w:val="51503DDC"/>
    <w:rsid w:val="51AA724C"/>
    <w:rsid w:val="51B65F0E"/>
    <w:rsid w:val="525D1207"/>
    <w:rsid w:val="558D1C8B"/>
    <w:rsid w:val="562018DC"/>
    <w:rsid w:val="56364451"/>
    <w:rsid w:val="56A07E64"/>
    <w:rsid w:val="574B48E3"/>
    <w:rsid w:val="579E792A"/>
    <w:rsid w:val="57ED0966"/>
    <w:rsid w:val="58C3348C"/>
    <w:rsid w:val="58F42A75"/>
    <w:rsid w:val="5A3D3452"/>
    <w:rsid w:val="5A614DB2"/>
    <w:rsid w:val="5AE549B3"/>
    <w:rsid w:val="5BA56D7E"/>
    <w:rsid w:val="5BDF1B5B"/>
    <w:rsid w:val="5C1643FD"/>
    <w:rsid w:val="5C6907DA"/>
    <w:rsid w:val="5CB14F32"/>
    <w:rsid w:val="5D533C3B"/>
    <w:rsid w:val="5D9533C7"/>
    <w:rsid w:val="5E86467A"/>
    <w:rsid w:val="5EC95CCA"/>
    <w:rsid w:val="5F6B33F4"/>
    <w:rsid w:val="5FA14F48"/>
    <w:rsid w:val="5FA1723B"/>
    <w:rsid w:val="5FB6092D"/>
    <w:rsid w:val="6014502E"/>
    <w:rsid w:val="609752BF"/>
    <w:rsid w:val="61474E93"/>
    <w:rsid w:val="63E846D9"/>
    <w:rsid w:val="64840ACE"/>
    <w:rsid w:val="64D95456"/>
    <w:rsid w:val="67246D49"/>
    <w:rsid w:val="681B1245"/>
    <w:rsid w:val="68984D1D"/>
    <w:rsid w:val="68B92E46"/>
    <w:rsid w:val="692311F4"/>
    <w:rsid w:val="6A442E42"/>
    <w:rsid w:val="6A5776CB"/>
    <w:rsid w:val="6B023FFB"/>
    <w:rsid w:val="6BF42F3F"/>
    <w:rsid w:val="6C4E6749"/>
    <w:rsid w:val="6D535020"/>
    <w:rsid w:val="6E8F4328"/>
    <w:rsid w:val="6EB65D50"/>
    <w:rsid w:val="701E2059"/>
    <w:rsid w:val="71693522"/>
    <w:rsid w:val="71F54C6F"/>
    <w:rsid w:val="72790BB3"/>
    <w:rsid w:val="72E867A7"/>
    <w:rsid w:val="73A17D1F"/>
    <w:rsid w:val="747730D2"/>
    <w:rsid w:val="74AB1ACA"/>
    <w:rsid w:val="75660043"/>
    <w:rsid w:val="758F60FD"/>
    <w:rsid w:val="769C7BF6"/>
    <w:rsid w:val="7742279D"/>
    <w:rsid w:val="78F858B0"/>
    <w:rsid w:val="79670B51"/>
    <w:rsid w:val="79CE27D8"/>
    <w:rsid w:val="7A0B018B"/>
    <w:rsid w:val="7A764B2D"/>
    <w:rsid w:val="7A8B21C0"/>
    <w:rsid w:val="7B3A1229"/>
    <w:rsid w:val="7DBF736D"/>
    <w:rsid w:val="7DCA4AA9"/>
    <w:rsid w:val="7DE673DE"/>
    <w:rsid w:val="7EA862C0"/>
    <w:rsid w:val="7F02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qFormat/>
    <w:uiPriority w:val="99"/>
    <w:pPr>
      <w:jc w:val="left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10">
    <w:name w:val="Heading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Comment Text Char"/>
    <w:basedOn w:val="7"/>
    <w:link w:val="3"/>
    <w:semiHidden/>
    <w:qFormat/>
    <w:uiPriority w:val="99"/>
    <w:rPr>
      <w:szCs w:val="20"/>
    </w:rPr>
  </w:style>
  <w:style w:type="character" w:customStyle="1" w:styleId="12">
    <w:name w:val="Footer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7"/>
    <w:link w:val="5"/>
    <w:semiHidden/>
    <w:qFormat/>
    <w:uiPriority w:val="99"/>
    <w:rPr>
      <w:sz w:val="18"/>
      <w:szCs w:val="18"/>
    </w:rPr>
  </w:style>
  <w:style w:type="paragraph" w:customStyle="1" w:styleId="14">
    <w:name w:val="Char Char"/>
    <w:basedOn w:val="1"/>
    <w:qFormat/>
    <w:uiPriority w:val="99"/>
    <w:pPr>
      <w:widowControl/>
      <w:spacing w:line="240" w:lineRule="exact"/>
      <w:jc w:val="left"/>
    </w:pPr>
    <w:rPr>
      <w:rFonts w:ascii="Verdana" w:hAnsi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10</Pages>
  <Words>3294</Words>
  <Characters>3343</Characters>
  <Lines>0</Lines>
  <Paragraphs>0</Paragraphs>
  <TotalTime>1</TotalTime>
  <ScaleCrop>false</ScaleCrop>
  <LinksUpToDate>false</LinksUpToDate>
  <CharactersWithSpaces>3492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2018-08-27T03:26:00Z</dcterms:created>
  <dc:creator>WPS_121043591</dc:creator>
  <cp:lastModifiedBy>WPS_121043591</cp:lastModifiedBy>
  <cp:lastPrinted>2018-09-25T09:35:00Z</cp:lastPrinted>
  <dcterms:modified xsi:type="dcterms:W3CDTF">2018-09-27T08:37:52Z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