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eastAsia" w:ascii="Times New Roman" w:hAnsi="Times New Roman" w:eastAsia="仿宋_GB2312" w:cs="Times New Roman"/>
          <w:b/>
          <w:bCs/>
          <w:color w:val="auto"/>
          <w:kern w:val="2"/>
          <w:sz w:val="32"/>
          <w:szCs w:val="32"/>
          <w:highlight w:val="none"/>
          <w:lang w:val="en-US" w:eastAsia="zh-CN" w:bidi="zh-TW"/>
        </w:rPr>
        <w:t>附件2</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Times New Roman"/>
          <w:b/>
          <w:bCs/>
          <w:kern w:val="2"/>
          <w:sz w:val="44"/>
          <w:szCs w:val="44"/>
          <w:highlight w:val="none"/>
          <w:lang w:val="en-US" w:eastAsia="zh-CN" w:bidi="zh-TW"/>
        </w:rPr>
      </w:pPr>
      <w:r>
        <w:rPr>
          <w:rFonts w:hint="eastAsia" w:ascii="Times New Roman" w:hAnsi="Times New Roman" w:eastAsia="方正小标宋简体" w:cs="Times New Roman"/>
          <w:b/>
          <w:bCs/>
          <w:kern w:val="2"/>
          <w:sz w:val="44"/>
          <w:szCs w:val="44"/>
          <w:highlight w:val="none"/>
          <w:lang w:val="en-US" w:eastAsia="zh-CN" w:bidi="zh-TW"/>
        </w:rPr>
        <w:t>济宁市医保支付特殊病例的范围</w:t>
      </w:r>
    </w:p>
    <w:p>
      <w:pPr>
        <w:keepNext w:val="0"/>
        <w:keepLines w:val="0"/>
        <w:pageBreakBefore w:val="0"/>
        <w:widowControl w:val="0"/>
        <w:kinsoku/>
        <w:wordWrap/>
        <w:overflowPunct/>
        <w:topLinePunct w:val="0"/>
        <w:autoSpaceDE/>
        <w:autoSpaceDN/>
        <w:bidi w:val="0"/>
        <w:adjustRightInd/>
        <w:snapToGrid/>
        <w:spacing w:line="520" w:lineRule="exact"/>
        <w:ind w:firstLine="632" w:firstLineChars="200"/>
        <w:textAlignment w:val="auto"/>
        <w:rPr>
          <w:rFonts w:hint="eastAsia" w:ascii="黑体" w:hAnsi="黑体" w:eastAsia="黑体" w:cs="黑体"/>
          <w:b/>
          <w:bCs/>
          <w:color w:val="auto"/>
          <w:kern w:val="2"/>
          <w:sz w:val="32"/>
          <w:szCs w:val="32"/>
          <w:highlight w:val="none"/>
          <w:lang w:val="en-US" w:eastAsia="zh-CN" w:bidi="zh-TW"/>
        </w:rPr>
      </w:pPr>
      <w:r>
        <w:rPr>
          <w:rFonts w:hint="eastAsia" w:ascii="黑体" w:hAnsi="黑体" w:eastAsia="黑体" w:cs="黑体"/>
          <w:b/>
          <w:bCs/>
          <w:color w:val="auto"/>
          <w:kern w:val="2"/>
          <w:sz w:val="32"/>
          <w:szCs w:val="32"/>
          <w:highlight w:val="none"/>
          <w:lang w:val="en-US" w:eastAsia="zh-CN" w:bidi="zh-TW"/>
        </w:rPr>
        <w:t>一、特殊病例的范围</w:t>
      </w:r>
    </w:p>
    <w:p>
      <w:pPr>
        <w:keepNext w:val="0"/>
        <w:keepLines w:val="0"/>
        <w:pageBreakBefore w:val="0"/>
        <w:widowControl w:val="0"/>
        <w:kinsoku/>
        <w:wordWrap/>
        <w:overflowPunct/>
        <w:topLinePunct w:val="0"/>
        <w:autoSpaceDE/>
        <w:autoSpaceDN/>
        <w:bidi w:val="0"/>
        <w:adjustRightInd/>
        <w:snapToGrid/>
        <w:spacing w:line="520" w:lineRule="exact"/>
        <w:ind w:firstLine="632" w:firstLineChars="20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eastAsia" w:ascii="Times New Roman" w:hAnsi="Times New Roman" w:eastAsia="仿宋_GB2312" w:cs="Times New Roman"/>
          <w:b/>
          <w:bCs/>
          <w:color w:val="auto"/>
          <w:kern w:val="2"/>
          <w:sz w:val="32"/>
          <w:szCs w:val="32"/>
          <w:highlight w:val="none"/>
          <w:lang w:val="en-US" w:eastAsia="zh-CN" w:bidi="zh-TW"/>
        </w:rPr>
        <w:t>符合以下条件之一的病例，可申请按特殊病例结算：</w:t>
      </w:r>
    </w:p>
    <w:p>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firstLine="632" w:firstLineChars="20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eastAsia" w:ascii="Times New Roman" w:hAnsi="Times New Roman" w:eastAsia="仿宋_GB2312" w:cs="Times New Roman"/>
          <w:b/>
          <w:bCs/>
          <w:color w:val="auto"/>
          <w:sz w:val="32"/>
          <w:szCs w:val="32"/>
          <w:highlight w:val="none"/>
          <w:lang w:val="en-US" w:eastAsia="zh-CN"/>
        </w:rPr>
        <w:t>费用极端异常病例及空白病组病例；</w:t>
      </w:r>
    </w:p>
    <w:p>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firstLine="632" w:firstLineChars="20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eastAsia" w:ascii="Times New Roman" w:hAnsi="Times New Roman" w:eastAsia="仿宋_GB2312" w:cs="Times New Roman"/>
          <w:b/>
          <w:bCs/>
          <w:color w:val="auto"/>
          <w:kern w:val="2"/>
          <w:sz w:val="32"/>
          <w:szCs w:val="32"/>
          <w:highlight w:val="none"/>
          <w:lang w:val="en-US" w:eastAsia="zh-CN" w:bidi="zh-TW"/>
        </w:rPr>
        <w:t>病例住院天数大于该定点医疗机构当年度平均住院天数5倍以上；</w:t>
      </w:r>
    </w:p>
    <w:p>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firstLine="632" w:firstLineChars="200"/>
        <w:textAlignment w:val="auto"/>
        <w:rPr>
          <w:rFonts w:hint="default" w:ascii="Times New Roman" w:hAnsi="Times New Roman" w:eastAsia="仿宋_GB2312" w:cs="Times New Roman"/>
          <w:b/>
          <w:bCs/>
          <w:color w:val="auto"/>
          <w:kern w:val="2"/>
          <w:sz w:val="32"/>
          <w:szCs w:val="32"/>
          <w:highlight w:val="none"/>
          <w:lang w:val="en-US" w:eastAsia="zh-CN" w:bidi="zh-TW"/>
        </w:rPr>
      </w:pPr>
      <w:r>
        <w:rPr>
          <w:rFonts w:hint="eastAsia" w:ascii="Times New Roman" w:hAnsi="Times New Roman" w:eastAsia="仿宋_GB2312" w:cs="Times New Roman"/>
          <w:b/>
          <w:bCs/>
          <w:color w:val="auto"/>
          <w:kern w:val="2"/>
          <w:sz w:val="32"/>
          <w:szCs w:val="32"/>
          <w:highlight w:val="none"/>
          <w:lang w:val="en-US" w:eastAsia="zh-CN" w:bidi="zh-TW"/>
        </w:rPr>
        <w:t>病例实际医疗费用超出该病例实际分值与上上年度病种每分值费用、基本系数的乘积，且超出金额为该定点医疗机构当年度前10位；</w:t>
      </w:r>
    </w:p>
    <w:p>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firstLine="632" w:firstLineChars="200"/>
        <w:textAlignment w:val="auto"/>
        <w:rPr>
          <w:rFonts w:hint="default" w:ascii="Times New Roman" w:hAnsi="Times New Roman" w:eastAsia="仿宋_GB2312" w:cs="Times New Roman"/>
          <w:b/>
          <w:bCs/>
          <w:color w:val="auto"/>
          <w:kern w:val="2"/>
          <w:sz w:val="32"/>
          <w:szCs w:val="32"/>
          <w:highlight w:val="none"/>
          <w:lang w:val="en-US" w:eastAsia="zh-CN" w:bidi="zh-TW"/>
        </w:rPr>
      </w:pPr>
      <w:r>
        <w:rPr>
          <w:rFonts w:hint="eastAsia" w:ascii="Times New Roman" w:hAnsi="Times New Roman" w:eastAsia="仿宋_GB2312" w:cs="Times New Roman"/>
          <w:b/>
          <w:bCs/>
          <w:color w:val="auto"/>
          <w:kern w:val="2"/>
          <w:sz w:val="32"/>
          <w:szCs w:val="32"/>
          <w:highlight w:val="none"/>
          <w:lang w:val="en-US" w:eastAsia="zh-CN" w:bidi="zh-TW"/>
        </w:rPr>
        <w:t>病例的监护病房床位使用天数不小于该病例住院床位使用总天数的60%；</w:t>
      </w:r>
    </w:p>
    <w:p>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firstLine="632" w:firstLineChars="200"/>
        <w:textAlignment w:val="auto"/>
        <w:rPr>
          <w:rFonts w:hint="default" w:ascii="Times New Roman" w:hAnsi="Times New Roman" w:eastAsia="仿宋_GB2312" w:cs="Times New Roman"/>
          <w:b/>
          <w:bCs/>
          <w:color w:val="auto"/>
          <w:kern w:val="2"/>
          <w:sz w:val="32"/>
          <w:szCs w:val="32"/>
          <w:highlight w:val="none"/>
          <w:lang w:val="en-US" w:eastAsia="zh-CN" w:bidi="zh-TW"/>
        </w:rPr>
      </w:pPr>
      <w:r>
        <w:rPr>
          <w:rFonts w:hint="eastAsia" w:ascii="Times New Roman" w:hAnsi="Times New Roman" w:eastAsia="仿宋_GB2312" w:cs="Times New Roman"/>
          <w:b/>
          <w:bCs/>
          <w:color w:val="auto"/>
          <w:kern w:val="2"/>
          <w:sz w:val="32"/>
          <w:szCs w:val="32"/>
          <w:highlight w:val="none"/>
          <w:lang w:val="en-US" w:eastAsia="zh-CN" w:bidi="zh-TW"/>
        </w:rPr>
        <w:t>运用创新医疗技术（指3年内获得国家、省自然科学奖、技术发明奖、科学进步奖的医疗技术或者治疗手段）的病例；</w:t>
      </w:r>
    </w:p>
    <w:p>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firstLine="632" w:firstLineChars="200"/>
        <w:textAlignment w:val="auto"/>
        <w:rPr>
          <w:rFonts w:hint="default" w:ascii="Times New Roman" w:hAnsi="Times New Roman" w:eastAsia="仿宋_GB2312" w:cs="Times New Roman"/>
          <w:b/>
          <w:bCs/>
          <w:color w:val="auto"/>
          <w:kern w:val="2"/>
          <w:sz w:val="32"/>
          <w:szCs w:val="32"/>
          <w:highlight w:val="none"/>
          <w:lang w:val="en-US" w:eastAsia="zh-CN" w:bidi="zh-TW"/>
        </w:rPr>
      </w:pPr>
      <w:r>
        <w:rPr>
          <w:rFonts w:hint="eastAsia" w:ascii="Times New Roman" w:hAnsi="Times New Roman" w:eastAsia="仿宋_GB2312" w:cs="Times New Roman"/>
          <w:b/>
          <w:bCs/>
          <w:color w:val="auto"/>
          <w:kern w:val="2"/>
          <w:sz w:val="32"/>
          <w:szCs w:val="32"/>
          <w:highlight w:val="none"/>
          <w:lang w:val="en-US" w:eastAsia="zh-CN" w:bidi="zh-TW"/>
        </w:rPr>
        <w:t>运用经国家、省、市卫生健康行政部门评审认定并公布的临床高新技术、临床重大技术或者临床特色技术的病例。</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textAlignment w:val="auto"/>
        <w:rPr>
          <w:rFonts w:hint="eastAsia" w:ascii="黑体" w:hAnsi="黑体" w:eastAsia="黑体" w:cs="黑体"/>
          <w:b/>
          <w:bCs/>
          <w:color w:val="auto"/>
          <w:kern w:val="2"/>
          <w:sz w:val="32"/>
          <w:szCs w:val="32"/>
          <w:highlight w:val="none"/>
          <w:lang w:val="en-US" w:eastAsia="zh-CN" w:bidi="zh-TW"/>
        </w:rPr>
      </w:pPr>
      <w:r>
        <w:rPr>
          <w:rFonts w:hint="eastAsia" w:ascii="黑体" w:hAnsi="黑体" w:eastAsia="黑体" w:cs="黑体"/>
          <w:b/>
          <w:bCs/>
          <w:color w:val="auto"/>
          <w:kern w:val="2"/>
          <w:sz w:val="32"/>
          <w:szCs w:val="32"/>
          <w:highlight w:val="none"/>
          <w:lang w:val="en-US" w:eastAsia="zh-CN" w:bidi="zh-TW"/>
        </w:rPr>
        <w:t>二、特殊病例的数量</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eastAsia" w:ascii="Times New Roman" w:hAnsi="Times New Roman" w:eastAsia="仿宋_GB2312" w:cs="Times New Roman"/>
          <w:b/>
          <w:bCs/>
          <w:color w:val="auto"/>
          <w:kern w:val="2"/>
          <w:sz w:val="32"/>
          <w:szCs w:val="32"/>
          <w:highlight w:val="none"/>
          <w:lang w:val="en-US" w:eastAsia="zh-CN" w:bidi="zh-TW"/>
        </w:rPr>
        <w:t>定点医疗机构向市医保经办机构提出按特殊病例结算的申请，申请病例数不超过该定点医疗机构当年度按病种分值付费人次的千分之五（视情况适时调整，调整程序按照有关规定执行）。申请病例数计算结果四舍五入至个位。</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textAlignment w:val="auto"/>
        <w:rPr>
          <w:rFonts w:hint="eastAsia" w:ascii="黑体" w:hAnsi="黑体" w:eastAsia="黑体" w:cs="黑体"/>
          <w:b/>
          <w:bCs/>
          <w:color w:val="auto"/>
          <w:kern w:val="2"/>
          <w:sz w:val="32"/>
          <w:szCs w:val="32"/>
          <w:highlight w:val="none"/>
          <w:lang w:val="en-US" w:eastAsia="zh-CN" w:bidi="zh-TW"/>
        </w:rPr>
      </w:pPr>
      <w:r>
        <w:rPr>
          <w:rFonts w:hint="eastAsia" w:ascii="黑体" w:hAnsi="黑体" w:eastAsia="黑体" w:cs="黑体"/>
          <w:b/>
          <w:bCs/>
          <w:color w:val="auto"/>
          <w:kern w:val="2"/>
          <w:sz w:val="32"/>
          <w:szCs w:val="32"/>
          <w:highlight w:val="none"/>
          <w:lang w:val="en-US" w:eastAsia="zh-CN" w:bidi="zh-TW"/>
        </w:rPr>
        <w:t>三、特殊病例的评议</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eastAsia" w:ascii="Times New Roman" w:hAnsi="Times New Roman" w:eastAsia="仿宋_GB2312" w:cs="Times New Roman"/>
          <w:b/>
          <w:bCs/>
          <w:color w:val="auto"/>
          <w:kern w:val="2"/>
          <w:sz w:val="32"/>
          <w:szCs w:val="32"/>
          <w:highlight w:val="none"/>
          <w:lang w:val="en-US" w:eastAsia="zh-CN" w:bidi="zh-TW"/>
        </w:rPr>
        <w:t>市医保经办机构组织专家进行评议，对评议通过、经审核后符合医保规定的特殊病例费用参照空白病种分值计算支付。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Times New Roman" w:hAnsi="Times New Roman" w:eastAsia="仿宋_GB2312" w:cs="Times New Roman"/>
          <w:b/>
          <w:bCs/>
          <w:color w:val="auto"/>
          <w:kern w:val="2"/>
          <w:sz w:val="32"/>
          <w:szCs w:val="32"/>
          <w:highlight w:val="none"/>
          <w:lang w:val="en-US" w:eastAsia="zh-CN" w:bidi="zh-TW"/>
        </w:rPr>
      </w:pPr>
    </w:p>
    <w:p>
      <w:pPr>
        <w:keepNext w:val="0"/>
        <w:keepLines w:val="0"/>
        <w:pageBreakBefore w:val="0"/>
        <w:widowControl w:val="0"/>
        <w:kinsoku/>
        <w:wordWrap/>
        <w:overflowPunct/>
        <w:topLinePunct w:val="0"/>
        <w:autoSpaceDE/>
        <w:autoSpaceDN/>
        <w:bidi w:val="0"/>
        <w:adjustRightInd/>
        <w:snapToGrid/>
        <w:spacing w:line="560" w:lineRule="exact"/>
        <w:ind w:firstLine="276" w:firstLineChars="100"/>
        <w:textAlignment w:val="auto"/>
        <w:rPr>
          <w:rFonts w:hint="eastAsia" w:ascii="仿宋" w:hAnsi="仿宋" w:eastAsia="仿宋" w:cs="仿宋"/>
          <w:b/>
          <w:bCs/>
          <w:color w:val="000000"/>
          <w:sz w:val="28"/>
          <w:szCs w:val="28"/>
        </w:rPr>
      </w:pPr>
      <w:bookmarkStart w:id="0" w:name="_GoBack"/>
      <w:bookmarkEnd w:id="0"/>
    </w:p>
    <w:sectPr>
      <w:footerReference r:id="rId3" w:type="default"/>
      <w:pgSz w:w="11906" w:h="16838"/>
      <w:pgMar w:top="2098" w:right="1531" w:bottom="1531" w:left="1531" w:header="851" w:footer="1134" w:gutter="0"/>
      <w:pgNumType w:fmt="numberInDash" w:start="1"/>
      <w:cols w:space="720" w:num="1"/>
      <w:docGrid w:type="linesAndChars" w:linePitch="587"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简体">
    <w:altName w:val="微软雅黑"/>
    <w:panose1 w:val="03000509000000000000"/>
    <w:charset w:val="86"/>
    <w:family w:val="script"/>
    <w:pitch w:val="default"/>
    <w:sig w:usb0="00000000" w:usb1="00000000" w:usb2="00000000" w:usb3="00000000" w:csb0="00040000" w:csb1="00000000"/>
  </w:font>
  <w:font w:name="方正黑体简体">
    <w:altName w:val="微软雅黑"/>
    <w:panose1 w:val="03000509000000000000"/>
    <w:charset w:val="86"/>
    <w:family w:val="auto"/>
    <w:pitch w:val="default"/>
    <w:sig w:usb0="00000000" w:usb1="00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Cambria Math">
    <w:panose1 w:val="02040503050406030204"/>
    <w:charset w:val="00"/>
    <w:family w:val="auto"/>
    <w:pitch w:val="default"/>
    <w:sig w:usb0="E00002FF" w:usb1="420024FF" w:usb2="00000000" w:usb3="00000000" w:csb0="2000019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rPr>
        <w:rFonts w:ascii="宋体" w:hAnsi="宋体"/>
        <w:sz w:val="28"/>
        <w:szCs w:val="28"/>
      </w:rPr>
    </w:pPr>
  </w:p>
  <w:p>
    <w:pPr>
      <w:pStyle w:val="8"/>
      <w:tabs>
        <w:tab w:val="left" w:pos="5484"/>
        <w:tab w:val="clear" w:pos="4153"/>
        <w:tab w:val="clear" w:pos="8306"/>
      </w:tabs>
    </w:pPr>
    <w:r>
      <w:tab/>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0C10AA"/>
    <w:multiLevelType w:val="singleLevel"/>
    <w:tmpl w:val="8D0C10AA"/>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0"/>
  <w:embedSystemFonts/>
  <w:bordersDoNotSurroundHeader w:val="0"/>
  <w:bordersDoNotSurroundFooter w:val="0"/>
  <w:documentProtection w:enforcement="0"/>
  <w:defaultTabStop w:val="420"/>
  <w:drawingGridVerticalSpacing w:val="161"/>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EzYjUyZGIyZDI3YjQ3MzVhYTc4N2VkNTAwOThmMDcifQ=="/>
    <w:docVar w:name="KSO_WPS_MARK_KEY" w:val="c1cbc7fc-5b27-4a76-804b-16d4b1f86d73"/>
  </w:docVars>
  <w:rsids>
    <w:rsidRoot w:val="00000000"/>
    <w:rsid w:val="0087167F"/>
    <w:rsid w:val="00C44682"/>
    <w:rsid w:val="010745E4"/>
    <w:rsid w:val="029E162E"/>
    <w:rsid w:val="03977E2B"/>
    <w:rsid w:val="040E27E3"/>
    <w:rsid w:val="0410030A"/>
    <w:rsid w:val="042A2A2B"/>
    <w:rsid w:val="0526590B"/>
    <w:rsid w:val="06A905A2"/>
    <w:rsid w:val="07AD5E6F"/>
    <w:rsid w:val="08153599"/>
    <w:rsid w:val="089D7C92"/>
    <w:rsid w:val="08B671DF"/>
    <w:rsid w:val="09C474A0"/>
    <w:rsid w:val="0A0855DF"/>
    <w:rsid w:val="0A4837C0"/>
    <w:rsid w:val="0A8E01DA"/>
    <w:rsid w:val="0ABC66D8"/>
    <w:rsid w:val="0B6C2B40"/>
    <w:rsid w:val="0B9422E6"/>
    <w:rsid w:val="0BC155B2"/>
    <w:rsid w:val="0BF16E09"/>
    <w:rsid w:val="0C2D57D1"/>
    <w:rsid w:val="0CA041F5"/>
    <w:rsid w:val="0D6671EC"/>
    <w:rsid w:val="0DD426BC"/>
    <w:rsid w:val="0E11685A"/>
    <w:rsid w:val="0E990EFC"/>
    <w:rsid w:val="0EB21FBD"/>
    <w:rsid w:val="0F557518"/>
    <w:rsid w:val="0F916077"/>
    <w:rsid w:val="0FD541B5"/>
    <w:rsid w:val="10FC5772"/>
    <w:rsid w:val="115B2DE0"/>
    <w:rsid w:val="11AB0077"/>
    <w:rsid w:val="11BF6ECB"/>
    <w:rsid w:val="120E7A5C"/>
    <w:rsid w:val="12E45729"/>
    <w:rsid w:val="13410312"/>
    <w:rsid w:val="13DB70B0"/>
    <w:rsid w:val="148E02C6"/>
    <w:rsid w:val="14DE1B64"/>
    <w:rsid w:val="15095DCB"/>
    <w:rsid w:val="151A266A"/>
    <w:rsid w:val="153037FC"/>
    <w:rsid w:val="157A76D4"/>
    <w:rsid w:val="15E92769"/>
    <w:rsid w:val="15EC7D22"/>
    <w:rsid w:val="16492D73"/>
    <w:rsid w:val="16C136E5"/>
    <w:rsid w:val="16DD6CC3"/>
    <w:rsid w:val="174A5489"/>
    <w:rsid w:val="174D6D27"/>
    <w:rsid w:val="175E6D98"/>
    <w:rsid w:val="17E56F60"/>
    <w:rsid w:val="17F9280D"/>
    <w:rsid w:val="18B0756E"/>
    <w:rsid w:val="19001098"/>
    <w:rsid w:val="195070D3"/>
    <w:rsid w:val="196343A0"/>
    <w:rsid w:val="198F1879"/>
    <w:rsid w:val="19A414DD"/>
    <w:rsid w:val="1A2151BD"/>
    <w:rsid w:val="1A3E118F"/>
    <w:rsid w:val="1ACD08AB"/>
    <w:rsid w:val="1B035ED2"/>
    <w:rsid w:val="1B083691"/>
    <w:rsid w:val="1C682DBC"/>
    <w:rsid w:val="1CD51C99"/>
    <w:rsid w:val="1D1125A5"/>
    <w:rsid w:val="1EA46E3F"/>
    <w:rsid w:val="1F2C36C6"/>
    <w:rsid w:val="1F9574BD"/>
    <w:rsid w:val="1FBC7140"/>
    <w:rsid w:val="223E208E"/>
    <w:rsid w:val="22986272"/>
    <w:rsid w:val="245925FC"/>
    <w:rsid w:val="24E43E99"/>
    <w:rsid w:val="25457290"/>
    <w:rsid w:val="26306192"/>
    <w:rsid w:val="26CD39E1"/>
    <w:rsid w:val="270C275B"/>
    <w:rsid w:val="282E04AF"/>
    <w:rsid w:val="28321D4D"/>
    <w:rsid w:val="290C6A42"/>
    <w:rsid w:val="29915199"/>
    <w:rsid w:val="2B8337CB"/>
    <w:rsid w:val="2C0734F1"/>
    <w:rsid w:val="2CC403B5"/>
    <w:rsid w:val="2CC72FAE"/>
    <w:rsid w:val="2CD94796"/>
    <w:rsid w:val="2E641BD7"/>
    <w:rsid w:val="2E8D23D3"/>
    <w:rsid w:val="2EC26644"/>
    <w:rsid w:val="2EE4E1E9"/>
    <w:rsid w:val="2F934E01"/>
    <w:rsid w:val="303625F7"/>
    <w:rsid w:val="30701B1A"/>
    <w:rsid w:val="31172428"/>
    <w:rsid w:val="31D273D2"/>
    <w:rsid w:val="320F75A3"/>
    <w:rsid w:val="323A58E7"/>
    <w:rsid w:val="323D1A1A"/>
    <w:rsid w:val="32564843"/>
    <w:rsid w:val="32593271"/>
    <w:rsid w:val="32D85BE7"/>
    <w:rsid w:val="331B58FD"/>
    <w:rsid w:val="3350577D"/>
    <w:rsid w:val="33884F17"/>
    <w:rsid w:val="33E365F1"/>
    <w:rsid w:val="343D03F7"/>
    <w:rsid w:val="343F6B4F"/>
    <w:rsid w:val="35304FF1"/>
    <w:rsid w:val="35F965A0"/>
    <w:rsid w:val="373B04F2"/>
    <w:rsid w:val="374101FF"/>
    <w:rsid w:val="37637985"/>
    <w:rsid w:val="379278E2"/>
    <w:rsid w:val="37D72911"/>
    <w:rsid w:val="37D83F93"/>
    <w:rsid w:val="388A5BFC"/>
    <w:rsid w:val="38BF6019"/>
    <w:rsid w:val="39180AEB"/>
    <w:rsid w:val="39D013C6"/>
    <w:rsid w:val="39E91D09"/>
    <w:rsid w:val="3AD4138A"/>
    <w:rsid w:val="3B092074"/>
    <w:rsid w:val="3C065968"/>
    <w:rsid w:val="3C720E5A"/>
    <w:rsid w:val="3CA32DC2"/>
    <w:rsid w:val="3CD770EF"/>
    <w:rsid w:val="3CDE204C"/>
    <w:rsid w:val="3CFC24D2"/>
    <w:rsid w:val="3D70539A"/>
    <w:rsid w:val="3E73490D"/>
    <w:rsid w:val="3EA70168"/>
    <w:rsid w:val="3F270877"/>
    <w:rsid w:val="3F3947F3"/>
    <w:rsid w:val="3FEC4A80"/>
    <w:rsid w:val="40541885"/>
    <w:rsid w:val="40814698"/>
    <w:rsid w:val="40F40090"/>
    <w:rsid w:val="40F57964"/>
    <w:rsid w:val="41555735"/>
    <w:rsid w:val="41BE41FA"/>
    <w:rsid w:val="41DD0B24"/>
    <w:rsid w:val="42177E0D"/>
    <w:rsid w:val="421A3B26"/>
    <w:rsid w:val="423E0495"/>
    <w:rsid w:val="42984A4B"/>
    <w:rsid w:val="42A87384"/>
    <w:rsid w:val="4340494B"/>
    <w:rsid w:val="441427F7"/>
    <w:rsid w:val="442D7C51"/>
    <w:rsid w:val="459736E0"/>
    <w:rsid w:val="45E12478"/>
    <w:rsid w:val="461B4024"/>
    <w:rsid w:val="461C2F2F"/>
    <w:rsid w:val="467C1644"/>
    <w:rsid w:val="47356D0C"/>
    <w:rsid w:val="47B75973"/>
    <w:rsid w:val="47D149F2"/>
    <w:rsid w:val="48B62409"/>
    <w:rsid w:val="48DB641D"/>
    <w:rsid w:val="499E3420"/>
    <w:rsid w:val="49E3549E"/>
    <w:rsid w:val="4A770C16"/>
    <w:rsid w:val="4A8F4985"/>
    <w:rsid w:val="4B895879"/>
    <w:rsid w:val="4B9F1B8C"/>
    <w:rsid w:val="4BF453E8"/>
    <w:rsid w:val="4CC20A8E"/>
    <w:rsid w:val="4D225F85"/>
    <w:rsid w:val="4E191136"/>
    <w:rsid w:val="4E1F24C4"/>
    <w:rsid w:val="4FA9473B"/>
    <w:rsid w:val="4FB54E8E"/>
    <w:rsid w:val="4FB861DA"/>
    <w:rsid w:val="502E1187"/>
    <w:rsid w:val="50A56CB1"/>
    <w:rsid w:val="50FD41F2"/>
    <w:rsid w:val="51125B99"/>
    <w:rsid w:val="511C0AFF"/>
    <w:rsid w:val="514A7858"/>
    <w:rsid w:val="52457769"/>
    <w:rsid w:val="537E1A3B"/>
    <w:rsid w:val="55436A98"/>
    <w:rsid w:val="558E30E2"/>
    <w:rsid w:val="55B63C57"/>
    <w:rsid w:val="562674D7"/>
    <w:rsid w:val="577D745D"/>
    <w:rsid w:val="581D7A74"/>
    <w:rsid w:val="58366D88"/>
    <w:rsid w:val="58550FBC"/>
    <w:rsid w:val="589870FB"/>
    <w:rsid w:val="58EC1C59"/>
    <w:rsid w:val="59941A1B"/>
    <w:rsid w:val="5ACC12DE"/>
    <w:rsid w:val="5B01367D"/>
    <w:rsid w:val="5B996054"/>
    <w:rsid w:val="5BDC37A3"/>
    <w:rsid w:val="5BFD51BD"/>
    <w:rsid w:val="5C0D1BAE"/>
    <w:rsid w:val="5C862449"/>
    <w:rsid w:val="5D5B1C5B"/>
    <w:rsid w:val="5DCE21D9"/>
    <w:rsid w:val="5EB241AB"/>
    <w:rsid w:val="5EDD61AF"/>
    <w:rsid w:val="5EF93C97"/>
    <w:rsid w:val="5F2E5FDF"/>
    <w:rsid w:val="5F444FB4"/>
    <w:rsid w:val="5F5024DD"/>
    <w:rsid w:val="5F7E34EF"/>
    <w:rsid w:val="60A9669C"/>
    <w:rsid w:val="611640E3"/>
    <w:rsid w:val="617454FA"/>
    <w:rsid w:val="62B677D8"/>
    <w:rsid w:val="630006A9"/>
    <w:rsid w:val="6300421A"/>
    <w:rsid w:val="63B559A6"/>
    <w:rsid w:val="63FF3D72"/>
    <w:rsid w:val="651D1D20"/>
    <w:rsid w:val="663B1FB8"/>
    <w:rsid w:val="665054B9"/>
    <w:rsid w:val="67650AF0"/>
    <w:rsid w:val="67BB4C0B"/>
    <w:rsid w:val="67DB0DB2"/>
    <w:rsid w:val="67E06114"/>
    <w:rsid w:val="684F3C7A"/>
    <w:rsid w:val="68975621"/>
    <w:rsid w:val="69074DC1"/>
    <w:rsid w:val="695E5F52"/>
    <w:rsid w:val="6A27181E"/>
    <w:rsid w:val="6A2B4273"/>
    <w:rsid w:val="6A6E23B2"/>
    <w:rsid w:val="6B0019A2"/>
    <w:rsid w:val="6B71128A"/>
    <w:rsid w:val="6B8A6D77"/>
    <w:rsid w:val="6BC609A6"/>
    <w:rsid w:val="6C661592"/>
    <w:rsid w:val="6CF7610F"/>
    <w:rsid w:val="6D145444"/>
    <w:rsid w:val="6DA71E62"/>
    <w:rsid w:val="6DD864C0"/>
    <w:rsid w:val="6E1B015A"/>
    <w:rsid w:val="6EB0796A"/>
    <w:rsid w:val="6F12155D"/>
    <w:rsid w:val="6F92269E"/>
    <w:rsid w:val="6FEE603A"/>
    <w:rsid w:val="6FFFB53C"/>
    <w:rsid w:val="70B8309D"/>
    <w:rsid w:val="70CD6084"/>
    <w:rsid w:val="71600CA6"/>
    <w:rsid w:val="721455EC"/>
    <w:rsid w:val="725262A7"/>
    <w:rsid w:val="728E0DB7"/>
    <w:rsid w:val="73102258"/>
    <w:rsid w:val="736B748E"/>
    <w:rsid w:val="741B5358"/>
    <w:rsid w:val="74343D24"/>
    <w:rsid w:val="7440116A"/>
    <w:rsid w:val="74F75AEF"/>
    <w:rsid w:val="74FE0BCF"/>
    <w:rsid w:val="75EB48B6"/>
    <w:rsid w:val="75FE4DC7"/>
    <w:rsid w:val="7614520D"/>
    <w:rsid w:val="76EB6C2F"/>
    <w:rsid w:val="772027E8"/>
    <w:rsid w:val="773D3837"/>
    <w:rsid w:val="775729BF"/>
    <w:rsid w:val="7764259A"/>
    <w:rsid w:val="776E2782"/>
    <w:rsid w:val="782B3690"/>
    <w:rsid w:val="78B20B05"/>
    <w:rsid w:val="78F041FE"/>
    <w:rsid w:val="7A392094"/>
    <w:rsid w:val="7A540C7C"/>
    <w:rsid w:val="7A6277AD"/>
    <w:rsid w:val="7A7D4063"/>
    <w:rsid w:val="7AB93293"/>
    <w:rsid w:val="7AC56465"/>
    <w:rsid w:val="7B5F08D5"/>
    <w:rsid w:val="7B5F3D7C"/>
    <w:rsid w:val="7B6672A0"/>
    <w:rsid w:val="7C00029F"/>
    <w:rsid w:val="7C2E5727"/>
    <w:rsid w:val="7CAA1027"/>
    <w:rsid w:val="7CCD4D16"/>
    <w:rsid w:val="7DE6834D"/>
    <w:rsid w:val="7E745D91"/>
    <w:rsid w:val="7EE724A7"/>
    <w:rsid w:val="7EF37DFA"/>
    <w:rsid w:val="7F4D372F"/>
    <w:rsid w:val="7FB761B1"/>
    <w:rsid w:val="7FE5DA33"/>
    <w:rsid w:val="8E1BC473"/>
    <w:rsid w:val="9FCA6F99"/>
    <w:rsid w:val="DEFF824C"/>
    <w:rsid w:val="F6D5C417"/>
    <w:rsid w:val="F7BD6C94"/>
    <w:rsid w:val="FDEEE6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toc 1"/>
    <w:basedOn w:val="1"/>
    <w:next w:val="1"/>
    <w:unhideWhenUsed/>
    <w:qFormat/>
    <w:uiPriority w:val="39"/>
    <w:pPr>
      <w:snapToGrid w:val="0"/>
      <w:spacing w:line="640" w:lineRule="exact"/>
      <w:ind w:firstLine="705"/>
    </w:pPr>
    <w:rPr>
      <w:rFonts w:ascii="仿宋_GB2312" w:hAnsi="Times New Roman" w:eastAsia="仿宋_GB2312" w:cs="仿宋_GB2312"/>
      <w:color w:val="000000"/>
      <w:sz w:val="36"/>
      <w:szCs w:val="36"/>
    </w:rPr>
  </w:style>
  <w:style w:type="paragraph" w:styleId="4">
    <w:name w:val="toa heading"/>
    <w:basedOn w:val="1"/>
    <w:next w:val="1"/>
    <w:qFormat/>
    <w:uiPriority w:val="0"/>
    <w:pPr>
      <w:spacing w:before="120"/>
    </w:pPr>
    <w:rPr>
      <w:rFonts w:ascii="Arial" w:hAnsi="Arial"/>
      <w:sz w:val="24"/>
    </w:rPr>
  </w:style>
  <w:style w:type="paragraph" w:styleId="5">
    <w:name w:val="annotation text"/>
    <w:basedOn w:val="1"/>
    <w:qFormat/>
    <w:uiPriority w:val="0"/>
    <w:pPr>
      <w:jc w:val="left"/>
    </w:pPr>
  </w:style>
  <w:style w:type="paragraph" w:styleId="6">
    <w:name w:val="Body Text"/>
    <w:basedOn w:val="1"/>
    <w:next w:val="1"/>
    <w:qFormat/>
    <w:uiPriority w:val="1"/>
    <w:rPr>
      <w:rFonts w:ascii="仿宋" w:hAnsi="仿宋" w:eastAsia="仿宋" w:cs="仿宋"/>
      <w:sz w:val="32"/>
      <w:szCs w:val="32"/>
      <w:lang w:val="zh-CN" w:eastAsia="zh-CN" w:bidi="zh-CN"/>
    </w:rPr>
  </w:style>
  <w:style w:type="paragraph" w:styleId="7">
    <w:name w:val="Balloon Text"/>
    <w:basedOn w:val="1"/>
    <w:semiHidden/>
    <w:qFormat/>
    <w:uiPriority w:val="0"/>
    <w:rPr>
      <w:sz w:val="18"/>
      <w:szCs w:val="18"/>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1">
    <w:name w:val="Body Text First Indent"/>
    <w:basedOn w:val="6"/>
    <w:qFormat/>
    <w:uiPriority w:val="0"/>
    <w:pPr>
      <w:ind w:firstLine="420" w:firstLineChars="100"/>
    </w:pPr>
    <w:rPr>
      <w:rFonts w:ascii="Calibri" w:hAnsi="Calibri" w:eastAsia="宋体"/>
      <w:sz w:val="21"/>
      <w:szCs w:val="24"/>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5">
    <w:name w:val="Heading #2|1"/>
    <w:basedOn w:val="1"/>
    <w:qFormat/>
    <w:uiPriority w:val="0"/>
    <w:pPr>
      <w:spacing w:after="480" w:line="559" w:lineRule="exact"/>
      <w:ind w:left="140" w:firstLine="30"/>
      <w:jc w:val="center"/>
      <w:outlineLvl w:val="1"/>
    </w:pPr>
    <w:rPr>
      <w:rFonts w:ascii="宋体" w:hAnsi="宋体" w:eastAsia="宋体" w:cs="宋体"/>
      <w:sz w:val="44"/>
      <w:szCs w:val="44"/>
      <w:lang w:val="zh-TW" w:eastAsia="zh-TW" w:bidi="zh-TW"/>
    </w:rPr>
  </w:style>
  <w:style w:type="paragraph" w:customStyle="1" w:styleId="16">
    <w:name w:val="Heading #3|1"/>
    <w:basedOn w:val="1"/>
    <w:qFormat/>
    <w:uiPriority w:val="0"/>
    <w:pPr>
      <w:spacing w:after="200" w:line="599" w:lineRule="exact"/>
      <w:jc w:val="center"/>
      <w:outlineLvl w:val="2"/>
    </w:pPr>
    <w:rPr>
      <w:rFonts w:ascii="宋体" w:hAnsi="宋体" w:eastAsia="宋体" w:cs="宋体"/>
      <w:sz w:val="36"/>
      <w:szCs w:val="36"/>
      <w:lang w:val="zh-TW" w:eastAsia="zh-TW" w:bidi="zh-TW"/>
    </w:rPr>
  </w:style>
  <w:style w:type="paragraph" w:customStyle="1" w:styleId="17">
    <w:name w:val="Body text|1"/>
    <w:basedOn w:val="1"/>
    <w:qFormat/>
    <w:uiPriority w:val="0"/>
    <w:pPr>
      <w:spacing w:line="451" w:lineRule="auto"/>
      <w:ind w:firstLine="400"/>
    </w:pPr>
    <w:rPr>
      <w:rFonts w:ascii="宋体" w:hAnsi="宋体" w:eastAsia="宋体" w:cs="宋体"/>
      <w:sz w:val="28"/>
      <w:szCs w:val="28"/>
      <w:lang w:val="zh-TW" w:eastAsia="zh-TW" w:bidi="zh-TW"/>
    </w:rPr>
  </w:style>
  <w:style w:type="paragraph" w:customStyle="1" w:styleId="18">
    <w:name w:val="仿宋正文"/>
    <w:basedOn w:val="1"/>
    <w:qFormat/>
    <w:uiPriority w:val="0"/>
    <w:pPr>
      <w:suppressAutoHyphens/>
      <w:spacing w:line="600" w:lineRule="exact"/>
      <w:ind w:firstLine="420"/>
      <w:jc w:val="both"/>
    </w:pPr>
    <w:rPr>
      <w:rFonts w:ascii="Calibri" w:hAnsi="Calibri" w:eastAsia="方正仿宋简体" w:cs="宋体"/>
      <w:color w:val="auto"/>
      <w:kern w:val="2"/>
      <w:sz w:val="21"/>
      <w:szCs w:val="21"/>
      <w:lang w:eastAsia="zh-CN" w:bidi="ar-SA"/>
    </w:rPr>
  </w:style>
  <w:style w:type="paragraph" w:customStyle="1" w:styleId="19">
    <w:name w:val="正文格式"/>
    <w:basedOn w:val="1"/>
    <w:qFormat/>
    <w:uiPriority w:val="0"/>
    <w:pPr>
      <w:widowControl/>
      <w:adjustRightInd w:val="0"/>
      <w:snapToGrid w:val="0"/>
      <w:spacing w:line="400" w:lineRule="atLeast"/>
      <w:ind w:firstLine="482"/>
      <w:textAlignment w:val="baseline"/>
    </w:pPr>
    <w:rPr>
      <w:rFonts w:ascii="Times New Roman" w:hAnsi="Times New Roman" w:cs="Times New Roman"/>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7822</Words>
  <Characters>9231</Characters>
  <Lines>0</Lines>
  <Paragraphs>0</Paragraphs>
  <TotalTime>40</TotalTime>
  <ScaleCrop>false</ScaleCrop>
  <LinksUpToDate>false</LinksUpToDate>
  <CharactersWithSpaces>9412</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2023-05-28T01:38:00Z</dcterms:created>
  <dc:creator>86150</dc:creator>
  <cp:lastModifiedBy>吴静</cp:lastModifiedBy>
  <cp:lastPrinted>2023-09-06T02:10:00Z</cp:lastPrinted>
  <dcterms:modified xsi:type="dcterms:W3CDTF">2024-01-09T01:28:34Z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EE7D5648BB0E4745A210573AD34B194A_12</vt:lpwstr>
  </property>
</Properties>
</file>