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sz w:val="44"/>
          <w:szCs w:val="44"/>
        </w:rPr>
      </w:pPr>
      <w:bookmarkStart w:id="0" w:name="OLE_LINK1"/>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济宁市医疗保障事业发展“十四五”规划</w:t>
      </w:r>
    </w:p>
    <w:p>
      <w:pPr>
        <w:pStyle w:val="2"/>
        <w:jc w:val="center"/>
        <w:rPr>
          <w:rFonts w:hint="eastAsia" w:eastAsia="方正小标宋简体"/>
          <w:lang w:eastAsia="zh-CN"/>
        </w:rPr>
      </w:pPr>
      <w:r>
        <w:rPr>
          <w:rFonts w:hint="eastAsia" w:ascii="方正小标宋简体" w:hAnsi="方正小标宋简体" w:eastAsia="方正小标宋简体" w:cs="方正小标宋简体"/>
          <w:color w:val="000000"/>
          <w:sz w:val="44"/>
          <w:szCs w:val="44"/>
          <w:lang w:eastAsia="zh-CN"/>
        </w:rPr>
        <w:t>（草案）</w:t>
      </w:r>
    </w:p>
    <w:bookmarkEnd w:id="0"/>
    <w:p>
      <w:pPr>
        <w:spacing w:line="560" w:lineRule="exact"/>
        <w:jc w:val="center"/>
        <w:rPr>
          <w:rFonts w:ascii="黑体" w:hAnsi="黑体" w:eastAsia="黑体"/>
          <w:color w:val="000000"/>
          <w:kern w:val="0"/>
          <w:szCs w:val="32"/>
        </w:rPr>
      </w:pPr>
    </w:p>
    <w:p>
      <w:pPr>
        <w:spacing w:line="540" w:lineRule="exact"/>
        <w:ind w:firstLine="632" w:firstLineChars="200"/>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为服务我市改革发展稳定大局，着力保障和改善民生，促进全市医疗保障事业高质量发展，根据《山东省医疗保障事业发展“十四五”规划》和</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济宁市</w:t>
      </w:r>
      <w:r>
        <w:rPr>
          <w:rFonts w:ascii="仿宋_GB2312" w:hAnsi="宋体" w:eastAsia="仿宋_GB2312" w:cs="仿宋_GB2312"/>
          <w:color w:val="000000"/>
          <w:kern w:val="0"/>
          <w:szCs w:val="32"/>
        </w:rPr>
        <w:t>国民经济和社会发展第十四个五年规划和</w:t>
      </w:r>
      <w:r>
        <w:rPr>
          <w:rFonts w:hint="eastAsia" w:ascii="仿宋_GB2312" w:hAnsi="宋体" w:eastAsia="仿宋_GB2312" w:cs="仿宋_GB2312"/>
          <w:color w:val="000000"/>
          <w:kern w:val="0"/>
          <w:szCs w:val="32"/>
          <w:lang w:val="en-US" w:eastAsia="zh-CN"/>
        </w:rPr>
        <w:t>2035</w:t>
      </w:r>
      <w:r>
        <w:rPr>
          <w:rFonts w:ascii="仿宋_GB2312" w:hAnsi="宋体" w:eastAsia="仿宋_GB2312" w:cs="仿宋_GB2312"/>
          <w:color w:val="000000"/>
          <w:kern w:val="0"/>
          <w:szCs w:val="32"/>
        </w:rPr>
        <w:t>年远景目标纲要》</w:t>
      </w:r>
      <w:r>
        <w:rPr>
          <w:rFonts w:hint="eastAsia" w:ascii="仿宋_GB2312" w:hAnsi="宋体" w:eastAsia="仿宋_GB2312" w:cs="仿宋_GB2312"/>
          <w:color w:val="000000"/>
          <w:kern w:val="0"/>
          <w:szCs w:val="32"/>
        </w:rPr>
        <w:t>的要求，并结合我市工作实际，制定本规划。</w:t>
      </w:r>
    </w:p>
    <w:p>
      <w:pPr>
        <w:spacing w:line="540" w:lineRule="exact"/>
        <w:ind w:firstLine="632" w:firstLineChars="200"/>
        <w:rPr>
          <w:rFonts w:hint="eastAsia" w:ascii="仿宋_GB2312" w:hAnsi="宋体" w:eastAsia="黑体"/>
          <w:color w:val="000000"/>
          <w:kern w:val="0"/>
          <w:szCs w:val="32"/>
        </w:rPr>
      </w:pPr>
      <w:r>
        <w:rPr>
          <w:rFonts w:hint="eastAsia" w:ascii="黑体" w:hAnsi="黑体" w:eastAsia="黑体" w:cs="黑体"/>
          <w:color w:val="000000"/>
          <w:szCs w:val="32"/>
        </w:rPr>
        <w:t>一、规划背景</w:t>
      </w:r>
    </w:p>
    <w:p>
      <w:pPr>
        <w:spacing w:line="540" w:lineRule="exact"/>
        <w:ind w:firstLine="632" w:firstLineChars="200"/>
        <w:rPr>
          <w:rFonts w:ascii="仿宋_GB2312" w:hAnsi="宋体" w:eastAsia="仿宋_GB2312"/>
          <w:color w:val="000000"/>
          <w:kern w:val="0"/>
          <w:szCs w:val="32"/>
        </w:rPr>
      </w:pPr>
      <w:r>
        <w:rPr>
          <w:rFonts w:hint="eastAsia" w:ascii="仿宋_GB2312" w:hAnsi="宋体" w:eastAsia="仿宋_GB2312" w:cs="仿宋_GB2312"/>
          <w:color w:val="000000"/>
          <w:kern w:val="0"/>
          <w:szCs w:val="32"/>
        </w:rPr>
        <w:t>习近平总书记指出，社会保障是促进经济社会发展、实现广大人民群众共享改革成果的重要制度安排，是治国安邦的大问题。医疗保障作为社会保障的重要组成部分，关乎人民群众最关心最直接最现实的利益，是减轻群众就医负担、增进民生福祉、维护社会和谐稳定、推动共同富裕的重大制度安排和基本制度保障，是解除全体人民疾病后顾之忧的民生安全网、社会稳定器。</w:t>
      </w:r>
    </w:p>
    <w:p>
      <w:pPr>
        <w:spacing w:line="540" w:lineRule="exact"/>
        <w:ind w:firstLine="632" w:firstLineChars="200"/>
        <w:rPr>
          <w:rFonts w:hint="eastAsia" w:ascii="楷体_GB2312" w:hAnsi="宋体" w:eastAsia="楷体_GB2312"/>
          <w:color w:val="000000"/>
          <w:kern w:val="0"/>
          <w:szCs w:val="32"/>
          <w:highlight w:val="red"/>
        </w:rPr>
      </w:pPr>
      <w:r>
        <w:rPr>
          <w:rFonts w:hint="eastAsia" w:ascii="楷体_GB2312" w:hAnsi="楷体" w:eastAsia="楷体_GB2312" w:cs="楷体_GB2312"/>
          <w:bCs/>
          <w:color w:val="000000"/>
          <w:szCs w:val="32"/>
        </w:rPr>
        <w:t>（一）现实基础</w:t>
      </w:r>
    </w:p>
    <w:p>
      <w:pPr>
        <w:spacing w:line="540" w:lineRule="exact"/>
        <w:ind w:firstLine="632" w:firstLineChars="200"/>
        <w:rPr>
          <w:rFonts w:ascii="仿宋_GB2312" w:hAnsi="仿宋_GB2312" w:eastAsia="仿宋_GB2312"/>
          <w:color w:val="000000"/>
          <w:szCs w:val="32"/>
        </w:rPr>
      </w:pPr>
      <w:r>
        <w:rPr>
          <w:rFonts w:hint="eastAsia" w:ascii="仿宋_GB2312" w:hAnsi="宋体" w:eastAsia="仿宋_GB2312" w:cs="仿宋_GB2312"/>
          <w:color w:val="000000"/>
          <w:szCs w:val="32"/>
        </w:rPr>
        <w:t>“十</w:t>
      </w:r>
      <w:r>
        <w:rPr>
          <w:rFonts w:hint="eastAsia" w:ascii="仿宋_GB2312" w:hAnsi="宋体" w:eastAsia="仿宋_GB2312" w:cs="仿宋_GB2312"/>
          <w:color w:val="000000"/>
          <w:kern w:val="0"/>
          <w:szCs w:val="32"/>
        </w:rPr>
        <w:t>三五”期间，市委、市政府高度重视医疗保障工作，全面推进全市医疗保障事业改革发展，</w:t>
      </w:r>
      <w:r>
        <w:rPr>
          <w:rFonts w:hint="eastAsia" w:ascii="仿宋_GB2312" w:hAnsi="仿宋" w:eastAsia="仿宋_GB2312" w:cs="仿宋_GB2312"/>
          <w:color w:val="000000"/>
          <w:szCs w:val="32"/>
        </w:rPr>
        <w:t>重点领域改革取得创新突破，医疗保障待遇和管理服务水平显著提升。</w:t>
      </w:r>
    </w:p>
    <w:p>
      <w:pPr>
        <w:spacing w:line="540" w:lineRule="exact"/>
        <w:ind w:firstLine="632" w:firstLineChars="200"/>
        <w:rPr>
          <w:rFonts w:ascii="仿宋_GB2312" w:hAnsi="仿宋" w:eastAsia="仿宋_GB2312"/>
          <w:color w:val="000000"/>
          <w:szCs w:val="32"/>
          <w:highlight w:val="yellow"/>
        </w:rPr>
      </w:pPr>
      <w:r>
        <w:rPr>
          <w:rFonts w:hint="eastAsia" w:ascii="楷体" w:hAnsi="楷体" w:eastAsia="楷体" w:cs="楷体"/>
          <w:kern w:val="2"/>
          <w:sz w:val="32"/>
          <w:szCs w:val="32"/>
        </w:rPr>
        <w:t>——</w:t>
      </w:r>
      <w:r>
        <w:rPr>
          <w:rFonts w:hint="eastAsia" w:ascii="仿宋_GB2312" w:hAnsi="仿宋_GB2312" w:eastAsia="仿宋_GB2312" w:cs="仿宋_GB2312"/>
          <w:b/>
          <w:bCs/>
          <w:color w:val="000000"/>
          <w:szCs w:val="32"/>
          <w:lang w:eastAsia="zh-CN"/>
        </w:rPr>
        <w:t>体制机制</w:t>
      </w:r>
      <w:r>
        <w:rPr>
          <w:rFonts w:hint="eastAsia" w:ascii="仿宋_GB2312" w:hAnsi="仿宋_GB2312" w:eastAsia="仿宋_GB2312" w:cs="仿宋_GB2312"/>
          <w:b/>
          <w:bCs/>
          <w:color w:val="000000"/>
          <w:szCs w:val="32"/>
        </w:rPr>
        <w:t>进一步完善。</w:t>
      </w:r>
      <w:r>
        <w:rPr>
          <w:rFonts w:hint="eastAsia" w:ascii="Times New Roman" w:hAnsi="Times New Roman" w:eastAsia="仿宋"/>
          <w:szCs w:val="32"/>
        </w:rPr>
        <w:t>市县两级均组建成立了医疗保障局，</w:t>
      </w:r>
      <w:r>
        <w:rPr>
          <w:rFonts w:hint="eastAsia" w:ascii="仿宋_GB2312" w:hAnsi="仿宋" w:eastAsia="仿宋_GB2312" w:cs="仿宋_GB2312"/>
          <w:color w:val="000000"/>
          <w:szCs w:val="32"/>
        </w:rPr>
        <w:t>医疗保障工作实现集中统一归口管理</w:t>
      </w:r>
      <w:r>
        <w:rPr>
          <w:rFonts w:hint="eastAsia" w:ascii="仿宋_GB2312" w:hAnsi="黑体" w:eastAsia="仿宋_GB2312" w:cs="仿宋_GB2312"/>
          <w:color w:val="000000"/>
          <w:szCs w:val="32"/>
        </w:rPr>
        <w:t>，“</w:t>
      </w:r>
      <w:r>
        <w:rPr>
          <w:rFonts w:hint="eastAsia" w:ascii="仿宋_GB2312" w:hAnsi="仿宋_GB2312" w:eastAsia="仿宋_GB2312" w:cs="仿宋_GB2312"/>
          <w:color w:val="000000"/>
          <w:szCs w:val="32"/>
        </w:rPr>
        <w:t>大医保、大健康、大民生”的工作格局基本形成。</w:t>
      </w:r>
      <w:r>
        <w:rPr>
          <w:rFonts w:hint="eastAsia" w:ascii="Times New Roman" w:hAnsi="Times New Roman" w:eastAsia="仿宋"/>
          <w:szCs w:val="32"/>
        </w:rPr>
        <w:t>成立了全省首家医疗保障综合执法队伍，</w:t>
      </w:r>
      <w:r>
        <w:rPr>
          <w:rFonts w:hint="eastAsia" w:ascii="华文仿宋" w:hAnsi="华文仿宋" w:eastAsia="华文仿宋" w:cs="华文仿宋"/>
          <w:szCs w:val="32"/>
        </w:rPr>
        <w:t>为我市医保执法提供了机构、人员和机制体制等强有力保障。</w:t>
      </w:r>
      <w:r>
        <w:rPr>
          <w:rFonts w:hint="eastAsia" w:ascii="Times New Roman" w:hAnsi="Times New Roman" w:eastAsia="仿宋"/>
          <w:szCs w:val="32"/>
        </w:rPr>
        <w:t>全面开展职工和居民门诊统筹，实施高血压、糖尿病门诊医疗费报销制度，职工长期护理保险实现全覆盖。健全医保扶贫政策，实现贫困人员应保尽保。实行疫情防控医保基金应急预付，确保患者不因费用问题影响就医、确保收治医院不因支付政策影响救治。实施阶段性降低职工医保费率和缓缴困难中小微企业医保费政策，促进了疫情期间企业复工复产。建立了多层次的全民医保体系，在基本医保基础上，我市相继实施了城镇职工补充医疗保险、城乡居民大病保险和医疗救助，构建以基本医疗保险为主体、大病保险为延伸、公务员医疗补助、企业补充保险、医疗救助为补充的多层次医疗保障体系。</w:t>
      </w:r>
    </w:p>
    <w:p>
      <w:pPr>
        <w:spacing w:line="540" w:lineRule="exact"/>
        <w:ind w:firstLine="632" w:firstLineChars="200"/>
        <w:rPr>
          <w:rFonts w:hint="eastAsia" w:ascii="Times New Roman" w:hAnsi="Times New Roman" w:eastAsia="仿宋" w:cs="Times New Roman"/>
          <w:szCs w:val="32"/>
        </w:rPr>
      </w:pPr>
      <w:r>
        <w:rPr>
          <w:rFonts w:hint="eastAsia" w:ascii="楷体" w:hAnsi="楷体" w:eastAsia="楷体" w:cs="楷体"/>
          <w:kern w:val="2"/>
          <w:sz w:val="32"/>
          <w:szCs w:val="32"/>
        </w:rPr>
        <w:t>——</w:t>
      </w:r>
      <w:r>
        <w:rPr>
          <w:rFonts w:hint="eastAsia" w:ascii="仿宋_GB2312" w:hAnsi="楷体_GB2312" w:eastAsia="仿宋_GB2312" w:cs="仿宋_GB2312"/>
          <w:b/>
          <w:bCs/>
          <w:color w:val="000000"/>
          <w:szCs w:val="32"/>
        </w:rPr>
        <w:t>保障水平进一步提高。</w:t>
      </w:r>
      <w:r>
        <w:rPr>
          <w:rFonts w:hint="eastAsia" w:ascii="Times New Roman" w:hAnsi="Times New Roman" w:eastAsia="仿宋"/>
          <w:szCs w:val="32"/>
        </w:rPr>
        <w:t>“十三五”末，职工医保和居民医保范围内报销比例分别达到80%、70%，最高支付限额分别达到125万元、95万元。大病保险特殊疗效药品费用起付标准以上的部分支付比例由60%提高到80%，一个年度内每人最高支付限额由20万元提高到40万元</w:t>
      </w:r>
      <w:r>
        <w:rPr>
          <w:rFonts w:hint="eastAsia" w:ascii="Times New Roman" w:hAnsi="Times New Roman" w:eastAsia="仿宋" w:cs="Times New Roman"/>
          <w:szCs w:val="32"/>
        </w:rPr>
        <w:t>。</w:t>
      </w:r>
      <w:r>
        <w:rPr>
          <w:rFonts w:hint="default" w:ascii="Times New Roman" w:hAnsi="Times New Roman" w:eastAsia="仿宋" w:cs="Times New Roman"/>
          <w:szCs w:val="32"/>
          <w:lang w:val="en-US" w:eastAsia="zh-CN"/>
        </w:rPr>
        <w:t>将戈谢病、庞贝氏病、法布雷病等罕见病用药纳入大病保险支付范围，最高支付90万元。</w:t>
      </w:r>
    </w:p>
    <w:p>
      <w:pPr>
        <w:spacing w:line="540" w:lineRule="exact"/>
        <w:ind w:firstLine="632" w:firstLineChars="200"/>
        <w:rPr>
          <w:rFonts w:hint="eastAsia" w:ascii="Times New Roman" w:hAnsi="Times New Roman" w:eastAsia="仿宋"/>
          <w:szCs w:val="32"/>
        </w:rPr>
      </w:pPr>
      <w:r>
        <w:rPr>
          <w:rFonts w:hint="eastAsia" w:ascii="楷体" w:hAnsi="楷体" w:eastAsia="楷体" w:cs="楷体"/>
          <w:kern w:val="2"/>
          <w:sz w:val="32"/>
          <w:szCs w:val="32"/>
        </w:rPr>
        <w:t>——</w:t>
      </w:r>
      <w:r>
        <w:rPr>
          <w:rFonts w:hint="eastAsia" w:ascii="仿宋_GB2312" w:hAnsi="楷体_GB2312" w:eastAsia="仿宋_GB2312" w:cs="仿宋_GB2312"/>
          <w:b/>
          <w:bCs/>
          <w:color w:val="000000"/>
          <w:szCs w:val="32"/>
        </w:rPr>
        <w:t>医保改革进一步深化。</w:t>
      </w:r>
      <w:r>
        <w:rPr>
          <w:rFonts w:hint="eastAsia" w:ascii="Times New Roman" w:hAnsi="Times New Roman" w:eastAsia="仿宋"/>
          <w:szCs w:val="32"/>
        </w:rPr>
        <w:t>“十三五”末，按病种付费的病种数量达到了272个（类），日间手术按病种付费达到51个，中医优势病种17个；按时执行国家新版药品目录和谈判药政策。成功申报区域点数法总额预算和按病种分值付费（DIP）国家级试点。全面落实国家和省药品耗材集中带量采购结果，三批112个国家组织集采药品平均降价超过60%，省级集采39个药品平均降价67.3%，5类高值医用耗材平均降价66%。探索构建药品耗材采购新机制。联合枣庄、临沂、菏泽成立了“鲁南经济圈公立医疗机构药品（耗材）采购联盟”，实行市域药品（耗材）集中采购价格政策联动，共联动19种药品和省内地市级所有中标医用耗材，群众就医负担大幅降低。将互联网+医疗服务项目纳入医保支付，印发互联网医院医保定点协议文本。</w:t>
      </w:r>
    </w:p>
    <w:p>
      <w:pPr>
        <w:spacing w:line="540" w:lineRule="exact"/>
        <w:ind w:firstLine="632" w:firstLineChars="200"/>
        <w:rPr>
          <w:rFonts w:hint="eastAsia" w:ascii="Times New Roman" w:hAnsi="Times New Roman" w:eastAsia="仿宋"/>
          <w:szCs w:val="32"/>
        </w:rPr>
      </w:pPr>
      <w:r>
        <w:rPr>
          <w:rFonts w:hint="eastAsia" w:ascii="楷体" w:hAnsi="楷体" w:eastAsia="楷体" w:cs="楷体"/>
          <w:kern w:val="2"/>
          <w:sz w:val="32"/>
          <w:szCs w:val="32"/>
        </w:rPr>
        <w:t>——</w:t>
      </w:r>
      <w:r>
        <w:rPr>
          <w:rFonts w:hint="eastAsia" w:ascii="仿宋_GB2312" w:hAnsi="楷体_GB2312" w:eastAsia="仿宋_GB2312" w:cs="仿宋_GB2312"/>
          <w:b/>
          <w:bCs/>
          <w:color w:val="000000"/>
          <w:szCs w:val="32"/>
        </w:rPr>
        <w:t>经办服务进一步优化。</w:t>
      </w:r>
      <w:r>
        <w:rPr>
          <w:rFonts w:hint="eastAsia" w:ascii="Times New Roman" w:hAnsi="Times New Roman" w:eastAsia="仿宋"/>
          <w:szCs w:val="32"/>
        </w:rPr>
        <w:t>编制《济宁市统一医疗保障经办服务办事指南》，精简服务流程，规范服务标准。全面深化流程再造，大力推行“一窗式受理”、“一站式服务”、“网上办”、“掌上办”等便民服务方式，90%以上医保业务实现线上办理。完善医保信息系统“一站式”结算平台，全市医疗保险协议管理医疗机构实现基本医保、大病保险、医疗救助等住院医疗待遇“一窗式受理、一站式服务、一单制结算”。全市335家协议医疗机构均开通跨省住院就医联网结算，89家医疗机构实现门诊慢性病省内异地联网结算，全面实现跨省住院联网乡镇区域、门诊慢性病县级行政区域“两个全覆盖”。</w:t>
      </w:r>
    </w:p>
    <w:p>
      <w:pPr>
        <w:spacing w:line="540" w:lineRule="exact"/>
        <w:ind w:firstLine="632" w:firstLineChars="200"/>
        <w:rPr>
          <w:rFonts w:hint="eastAsia" w:ascii="Times New Roman" w:hAnsi="Times New Roman" w:eastAsia="仿宋"/>
          <w:szCs w:val="32"/>
        </w:rPr>
      </w:pPr>
      <w:r>
        <w:rPr>
          <w:rFonts w:hint="eastAsia" w:ascii="楷体" w:hAnsi="楷体" w:eastAsia="楷体" w:cs="楷体"/>
          <w:kern w:val="2"/>
          <w:sz w:val="32"/>
          <w:szCs w:val="32"/>
        </w:rPr>
        <w:t>——</w:t>
      </w:r>
      <w:r>
        <w:rPr>
          <w:rFonts w:hint="eastAsia" w:ascii="仿宋_GB2312" w:hAnsi="楷体_GB2312" w:eastAsia="仿宋_GB2312" w:cs="仿宋_GB2312"/>
          <w:b/>
          <w:bCs/>
          <w:color w:val="000000"/>
          <w:szCs w:val="32"/>
        </w:rPr>
        <w:t>监管效能进一步提升</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建立</w:t>
      </w:r>
      <w:r>
        <w:rPr>
          <w:rFonts w:hint="eastAsia" w:ascii="仿宋_GB2312" w:hAnsi="仿宋_GB2312" w:eastAsia="仿宋_GB2312" w:cs="仿宋_GB2312"/>
          <w:color w:val="000000"/>
          <w:szCs w:val="32"/>
          <w:lang w:eastAsia="zh-CN"/>
        </w:rPr>
        <w:t>打击欺诈骗保专项行动</w:t>
      </w:r>
      <w:r>
        <w:rPr>
          <w:rFonts w:hint="eastAsia" w:ascii="仿宋_GB2312" w:hAnsi="仿宋_GB2312" w:eastAsia="仿宋_GB2312" w:cs="仿宋_GB2312"/>
          <w:color w:val="000000"/>
          <w:szCs w:val="32"/>
        </w:rPr>
        <w:t>联席会议机制</w:t>
      </w:r>
      <w:r>
        <w:rPr>
          <w:rFonts w:hint="eastAsia" w:ascii="Times New Roman" w:hAnsi="Times New Roman" w:eastAsia="仿宋"/>
          <w:szCs w:val="32"/>
        </w:rPr>
        <w:t>，我市成功荣获“</w:t>
      </w:r>
      <w:r>
        <w:rPr>
          <w:rFonts w:hint="eastAsia" w:ascii="Times New Roman" w:hAnsi="Times New Roman" w:eastAsia="仿宋"/>
          <w:szCs w:val="32"/>
          <w:lang w:eastAsia="zh-CN"/>
        </w:rPr>
        <w:t>省级医疗保障基金</w:t>
      </w:r>
      <w:r>
        <w:rPr>
          <w:rFonts w:hint="eastAsia" w:ascii="Times New Roman" w:hAnsi="Times New Roman" w:eastAsia="仿宋"/>
          <w:szCs w:val="32"/>
        </w:rPr>
        <w:t>监管</w:t>
      </w:r>
      <w:r>
        <w:rPr>
          <w:rFonts w:hint="eastAsia" w:ascii="Times New Roman" w:hAnsi="Times New Roman" w:eastAsia="仿宋"/>
          <w:szCs w:val="32"/>
          <w:lang w:eastAsia="zh-CN"/>
        </w:rPr>
        <w:t>创新</w:t>
      </w:r>
      <w:r>
        <w:rPr>
          <w:rFonts w:hint="eastAsia" w:ascii="Times New Roman" w:hAnsi="Times New Roman" w:eastAsia="仿宋"/>
          <w:szCs w:val="32"/>
        </w:rPr>
        <w:t>示范市”称号</w:t>
      </w:r>
      <w:r>
        <w:rPr>
          <w:rFonts w:hint="eastAsia" w:ascii="Times New Roman" w:hAnsi="Times New Roman" w:eastAsia="仿宋"/>
          <w:szCs w:val="32"/>
          <w:lang w:eastAsia="zh-CN"/>
        </w:rPr>
        <w:t>，</w:t>
      </w:r>
      <w:r>
        <w:rPr>
          <w:rFonts w:hint="eastAsia" w:ascii="Times New Roman" w:hAnsi="Times New Roman" w:eastAsia="仿宋"/>
          <w:szCs w:val="32"/>
        </w:rPr>
        <w:t>深入开展医保基金使用专项整治行动，累计追回医保基金1.1亿元，有效保障了医保基金安全。</w:t>
      </w:r>
      <w:r>
        <w:rPr>
          <w:rFonts w:hint="eastAsia" w:ascii="Times New Roman" w:hAnsi="Times New Roman" w:eastAsia="仿宋"/>
          <w:szCs w:val="32"/>
          <w:lang w:eastAsia="zh-CN"/>
        </w:rPr>
        <w:t>落实</w:t>
      </w:r>
      <w:r>
        <w:rPr>
          <w:rFonts w:hint="eastAsia" w:ascii="Times New Roman" w:hAnsi="Times New Roman" w:eastAsia="仿宋"/>
          <w:szCs w:val="32"/>
        </w:rPr>
        <w:t>“双随机、一公开”执法检查机制，健全完善抽查事项清单、被查医药机构和执法检查人员“一单两库”。建立市医保综合执法支队行政执法规程，印发执法文书模板，成立支队执法案件初审合议机构，制定初审合议制度。</w:t>
      </w:r>
    </w:p>
    <w:p>
      <w:pPr>
        <w:spacing w:line="540" w:lineRule="exact"/>
        <w:ind w:firstLine="632" w:firstLineChars="200"/>
        <w:rPr>
          <w:rFonts w:hint="eastAsia" w:ascii="楷体_GB2312" w:hAnsi="楷体" w:eastAsia="楷体_GB2312" w:cs="楷体_GB2312"/>
          <w:bCs/>
          <w:color w:val="000000"/>
          <w:szCs w:val="32"/>
        </w:rPr>
      </w:pPr>
      <w:r>
        <w:rPr>
          <w:rFonts w:hint="eastAsia" w:ascii="楷体_GB2312" w:hAnsi="楷体" w:eastAsia="楷体_GB2312" w:cs="楷体_GB2312"/>
          <w:bCs/>
          <w:color w:val="000000"/>
          <w:szCs w:val="32"/>
        </w:rPr>
        <w:t>（二）面临机遇和挑战</w:t>
      </w:r>
    </w:p>
    <w:p>
      <w:pPr>
        <w:keepNext w:val="0"/>
        <w:keepLines w:val="0"/>
        <w:pageBreakBefore w:val="0"/>
        <w:kinsoku/>
        <w:wordWrap/>
        <w:overflowPunct/>
        <w:topLinePunct w:val="0"/>
        <w:autoSpaceDE/>
        <w:autoSpaceDN/>
        <w:bidi w:val="0"/>
        <w:adjustRightInd/>
        <w:snapToGrid/>
        <w:spacing w:line="540" w:lineRule="exact"/>
        <w:ind w:firstLine="632" w:firstLineChars="200"/>
        <w:jc w:val="both"/>
        <w:textAlignment w:val="auto"/>
        <w:rPr>
          <w:rFonts w:ascii="华文仿宋" w:hAnsi="华文仿宋" w:eastAsia="华文仿宋" w:cs="华文仿宋"/>
          <w:szCs w:val="32"/>
        </w:rPr>
      </w:pPr>
      <w:r>
        <w:rPr>
          <w:rFonts w:hint="eastAsia" w:ascii="仿宋_GB2312" w:hAnsi="黑体" w:eastAsia="仿宋_GB2312" w:cs="仿宋_GB2312"/>
          <w:color w:val="000000"/>
          <w:szCs w:val="32"/>
        </w:rPr>
        <w:t>“</w:t>
      </w:r>
      <w:r>
        <w:rPr>
          <w:rFonts w:hint="eastAsia" w:ascii="华文仿宋" w:hAnsi="华文仿宋" w:eastAsia="华文仿宋" w:cs="华文仿宋"/>
          <w:szCs w:val="32"/>
        </w:rPr>
        <w:t>十四五”时期是我国乘势而上开启全面建设社会主义现代化国家新征程、向第二个百年奋斗目标进军的第一个五年。党中央对深化医疗保障制度改革作出了整体性、系统性、战略性安排，为医保改革发展提供了坚强政治保证。省委、省政府坚定落实党中央、国务院决策部署，开创了全省医保领域全面深化改革的新局面。</w:t>
      </w:r>
      <w:r>
        <w:rPr>
          <w:rFonts w:ascii="华文仿宋" w:hAnsi="华文仿宋" w:eastAsia="华文仿宋" w:cs="华文仿宋"/>
          <w:szCs w:val="32"/>
        </w:rPr>
        <w:t>我</w:t>
      </w:r>
      <w:r>
        <w:rPr>
          <w:rFonts w:hint="eastAsia" w:ascii="华文仿宋" w:hAnsi="华文仿宋" w:eastAsia="华文仿宋" w:cs="华文仿宋"/>
          <w:szCs w:val="32"/>
        </w:rPr>
        <w:t>市</w:t>
      </w:r>
      <w:r>
        <w:rPr>
          <w:rFonts w:ascii="华文仿宋" w:hAnsi="华文仿宋" w:eastAsia="华文仿宋" w:cs="华文仿宋"/>
          <w:szCs w:val="32"/>
        </w:rPr>
        <w:t>开启新时代现代化强</w:t>
      </w:r>
      <w:r>
        <w:rPr>
          <w:rFonts w:hint="eastAsia" w:ascii="华文仿宋" w:hAnsi="华文仿宋" w:eastAsia="华文仿宋" w:cs="华文仿宋"/>
          <w:szCs w:val="32"/>
        </w:rPr>
        <w:t>市</w:t>
      </w:r>
      <w:r>
        <w:rPr>
          <w:rFonts w:ascii="华文仿宋" w:hAnsi="华文仿宋" w:eastAsia="华文仿宋" w:cs="华文仿宋"/>
          <w:szCs w:val="32"/>
        </w:rPr>
        <w:t>建设新征程，实现“五个济宁建设”“八个强市突破”，为医疗保障事业持续健康发展提供了强大的内生动力和良好机遇，为医保事业创新发展确立了新方向。</w:t>
      </w:r>
    </w:p>
    <w:p>
      <w:pPr>
        <w:keepNext w:val="0"/>
        <w:keepLines w:val="0"/>
        <w:pageBreakBefore w:val="0"/>
        <w:kinsoku/>
        <w:wordWrap/>
        <w:overflowPunct/>
        <w:topLinePunct w:val="0"/>
        <w:autoSpaceDE/>
        <w:autoSpaceDN/>
        <w:bidi w:val="0"/>
        <w:adjustRightInd/>
        <w:snapToGrid/>
        <w:spacing w:line="540" w:lineRule="exact"/>
        <w:ind w:firstLine="632" w:firstLineChars="200"/>
        <w:jc w:val="both"/>
        <w:textAlignment w:val="auto"/>
        <w:rPr>
          <w:rFonts w:hint="default" w:ascii="华文仿宋" w:hAnsi="华文仿宋" w:eastAsia="华文仿宋" w:cs="华文仿宋"/>
          <w:szCs w:val="32"/>
          <w:lang w:val="en-US" w:eastAsia="zh-CN"/>
        </w:rPr>
      </w:pPr>
      <w:r>
        <w:rPr>
          <w:rFonts w:hint="eastAsia" w:ascii="华文仿宋" w:hAnsi="华文仿宋" w:eastAsia="华文仿宋" w:cs="华文仿宋"/>
          <w:szCs w:val="32"/>
          <w:lang w:eastAsia="zh-CN"/>
        </w:rPr>
        <w:t>同时，我市医疗保障事业发展面临不少挑战。</w:t>
      </w:r>
      <w:r>
        <w:rPr>
          <w:rFonts w:hint="eastAsia" w:ascii="华文仿宋" w:hAnsi="华文仿宋" w:eastAsia="华文仿宋" w:cs="华文仿宋"/>
          <w:szCs w:val="32"/>
        </w:rPr>
        <w:t>随着人民</w:t>
      </w:r>
      <w:r>
        <w:rPr>
          <w:rFonts w:hint="eastAsia" w:ascii="华文仿宋" w:hAnsi="华文仿宋" w:eastAsia="华文仿宋" w:cs="华文仿宋"/>
          <w:szCs w:val="32"/>
          <w:lang w:val="en-US" w:eastAsia="zh-CN"/>
        </w:rPr>
        <w:t>群众</w:t>
      </w:r>
      <w:r>
        <w:rPr>
          <w:rFonts w:hint="eastAsia" w:ascii="华文仿宋" w:hAnsi="华文仿宋" w:eastAsia="华文仿宋" w:cs="华文仿宋"/>
          <w:szCs w:val="32"/>
        </w:rPr>
        <w:t>生活水平的提高，健康意识持续增强，医疗服务和公共卫生服务需求加快升级，对高质量的医疗保障服务有更高的期待。以慢性病发病率上升、呈现年轻化趋势为特征的疾病谱变化，新经济涌现导致的就业形态变化，医疗技术进步导致的医疗费用变化，县域医共体建设带动的医疗卫生资源重新布局，都对医疗保障事业发展提出新的要求。</w:t>
      </w:r>
      <w:r>
        <w:rPr>
          <w:rFonts w:hint="eastAsia" w:ascii="华文仿宋" w:hAnsi="华文仿宋" w:eastAsia="华文仿宋" w:cs="华文仿宋"/>
          <w:szCs w:val="32"/>
          <w:lang w:eastAsia="zh-CN"/>
        </w:rPr>
        <w:t>随着</w:t>
      </w:r>
      <w:r>
        <w:rPr>
          <w:rFonts w:hint="eastAsia" w:ascii="华文仿宋" w:hAnsi="华文仿宋" w:eastAsia="华文仿宋" w:cs="华文仿宋"/>
          <w:szCs w:val="32"/>
        </w:rPr>
        <w:t>经济增长放缓、人口老龄化加速，扩面征缴空间有限，参保人口结构老化，医疗需求不断释放，保障范围进一步扩大，基金支出快速增长</w:t>
      </w:r>
      <w:r>
        <w:rPr>
          <w:rFonts w:hint="eastAsia" w:ascii="华文仿宋" w:hAnsi="华文仿宋" w:eastAsia="华文仿宋" w:cs="华文仿宋"/>
          <w:szCs w:val="32"/>
          <w:lang w:eastAsia="zh-CN"/>
        </w:rPr>
        <w:t>，</w:t>
      </w:r>
      <w:r>
        <w:rPr>
          <w:rFonts w:hint="eastAsia" w:ascii="华文仿宋" w:hAnsi="华文仿宋" w:eastAsia="华文仿宋" w:cs="华文仿宋"/>
          <w:szCs w:val="32"/>
        </w:rPr>
        <w:t>基金</w:t>
      </w:r>
      <w:r>
        <w:rPr>
          <w:rFonts w:hint="eastAsia" w:ascii="华文仿宋" w:hAnsi="华文仿宋" w:eastAsia="华文仿宋" w:cs="华文仿宋"/>
          <w:szCs w:val="32"/>
          <w:lang w:eastAsia="zh-CN"/>
        </w:rPr>
        <w:t>收支平衡</w:t>
      </w:r>
      <w:r>
        <w:rPr>
          <w:rFonts w:hint="eastAsia" w:ascii="华文仿宋" w:hAnsi="华文仿宋" w:eastAsia="华文仿宋" w:cs="华文仿宋"/>
          <w:szCs w:val="32"/>
        </w:rPr>
        <w:t>压力</w:t>
      </w:r>
      <w:r>
        <w:rPr>
          <w:rFonts w:hint="eastAsia" w:ascii="华文仿宋" w:hAnsi="华文仿宋" w:eastAsia="华文仿宋" w:cs="华文仿宋"/>
          <w:szCs w:val="32"/>
          <w:lang w:eastAsia="zh-CN"/>
        </w:rPr>
        <w:t>不断</w:t>
      </w:r>
      <w:r>
        <w:rPr>
          <w:rFonts w:hint="eastAsia" w:ascii="华文仿宋" w:hAnsi="华文仿宋" w:eastAsia="华文仿宋" w:cs="华文仿宋"/>
          <w:szCs w:val="32"/>
        </w:rPr>
        <w:t>加大。</w:t>
      </w:r>
    </w:p>
    <w:p>
      <w:pPr>
        <w:spacing w:line="540" w:lineRule="exact"/>
        <w:ind w:firstLine="632" w:firstLineChars="200"/>
        <w:rPr>
          <w:color w:val="000000"/>
        </w:rPr>
      </w:pPr>
      <w:r>
        <w:rPr>
          <w:rFonts w:hint="eastAsia" w:ascii="黑体" w:hAnsi="黑体" w:eastAsia="黑体" w:cs="黑体"/>
          <w:color w:val="000000"/>
          <w:szCs w:val="32"/>
        </w:rPr>
        <w:t>二、总体要求</w:t>
      </w:r>
    </w:p>
    <w:p>
      <w:pPr>
        <w:spacing w:line="54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（一）指导思想</w:t>
      </w:r>
    </w:p>
    <w:p>
      <w:pPr>
        <w:spacing w:line="540" w:lineRule="exact"/>
        <w:ind w:firstLine="632" w:firstLineChars="200"/>
        <w:rPr>
          <w:rFonts w:hint="eastAsia" w:ascii="华文仿宋" w:hAnsi="华文仿宋" w:eastAsia="华文仿宋" w:cs="华文仿宋"/>
          <w:szCs w:val="32"/>
        </w:rPr>
      </w:pPr>
      <w:r>
        <w:rPr>
          <w:rFonts w:hint="eastAsia" w:ascii="仿宋_GB2312" w:hAnsi="黑体" w:eastAsia="仿宋_GB2312" w:cs="仿宋_GB2312"/>
          <w:color w:val="000000"/>
          <w:szCs w:val="32"/>
        </w:rPr>
        <w:t>以习近平新时代中国特色社会主义思想为指导，深入贯彻党的十九大和十九届二中、三中、四中、五中全会精神。坚持以人民健康为中心，全面推进健康济宁建设，着力保障全市人民基本医疗保障需求，着力增强医保服务供给能力，着力创新体制机制</w:t>
      </w:r>
      <w:r>
        <w:rPr>
          <w:rFonts w:hint="eastAsia" w:ascii="华文仿宋" w:hAnsi="华文仿宋" w:eastAsia="华文仿宋" w:cs="华文仿宋"/>
          <w:szCs w:val="32"/>
        </w:rPr>
        <w:t>，全面深化待遇保障、筹资运行、医保支付、基金监管、医药服务供给、公共管理服务等关键领域改革，将制度优势转化为治理效能，建成覆盖全民、城乡统筹、权责清晰、保障适度、可持续的多层次医疗保障体系，更好发挥医保基金战略性购买作用，努力解除人民群众的疾病医疗后顾之忧，在医保治理现代化上持续取得新进展。</w:t>
      </w:r>
    </w:p>
    <w:p>
      <w:pPr>
        <w:spacing w:line="54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（二）基本原则</w:t>
      </w:r>
    </w:p>
    <w:p>
      <w:pPr>
        <w:pStyle w:val="7"/>
        <w:widowControl/>
        <w:shd w:val="clear" w:color="auto" w:fill="FFFFFF"/>
        <w:spacing w:beforeAutospacing="0" w:afterAutospacing="0" w:line="540" w:lineRule="exact"/>
        <w:ind w:firstLine="632" w:firstLineChars="200"/>
        <w:jc w:val="both"/>
        <w:rPr>
          <w:rFonts w:hint="eastAsia" w:ascii="华文仿宋" w:hAnsi="华文仿宋" w:eastAsia="华文仿宋" w:cs="华文仿宋"/>
          <w:kern w:val="2"/>
          <w:sz w:val="32"/>
          <w:szCs w:val="32"/>
        </w:rPr>
      </w:pPr>
      <w:r>
        <w:rPr>
          <w:rFonts w:hint="eastAsia" w:ascii="楷体" w:hAnsi="楷体" w:eastAsia="楷体" w:cs="楷体"/>
          <w:kern w:val="2"/>
          <w:sz w:val="32"/>
          <w:szCs w:val="32"/>
        </w:rPr>
        <w:t>——坚持</w:t>
      </w:r>
      <w:r>
        <w:rPr>
          <w:rFonts w:hint="eastAsia" w:ascii="楷体" w:hAnsi="楷体" w:eastAsia="楷体" w:cs="楷体"/>
          <w:kern w:val="2"/>
          <w:sz w:val="32"/>
          <w:szCs w:val="32"/>
          <w:lang w:eastAsia="zh-CN"/>
        </w:rPr>
        <w:t>党的领导</w:t>
      </w:r>
      <w:r>
        <w:rPr>
          <w:rFonts w:hint="eastAsia" w:ascii="楷体" w:hAnsi="楷体" w:eastAsia="楷体" w:cs="楷体"/>
          <w:kern w:val="2"/>
          <w:sz w:val="32"/>
          <w:szCs w:val="32"/>
        </w:rPr>
        <w:t>，</w:t>
      </w:r>
      <w:r>
        <w:rPr>
          <w:rFonts w:hint="eastAsia" w:ascii="楷体" w:hAnsi="楷体" w:eastAsia="楷体" w:cs="楷体"/>
          <w:kern w:val="2"/>
          <w:sz w:val="32"/>
          <w:szCs w:val="32"/>
          <w:lang w:eastAsia="zh-CN"/>
        </w:rPr>
        <w:t>人民至上</w:t>
      </w:r>
      <w:r>
        <w:rPr>
          <w:rFonts w:hint="eastAsia" w:ascii="楷体" w:hAnsi="楷体" w:eastAsia="楷体" w:cs="楷体"/>
          <w:kern w:val="2"/>
          <w:sz w:val="32"/>
          <w:szCs w:val="32"/>
        </w:rPr>
        <w:t>。</w:t>
      </w:r>
      <w:r>
        <w:rPr>
          <w:rFonts w:hint="eastAsia" w:ascii="华文仿宋" w:hAnsi="华文仿宋" w:eastAsia="华文仿宋" w:cs="华文仿宋"/>
          <w:kern w:val="2"/>
          <w:sz w:val="32"/>
          <w:szCs w:val="32"/>
        </w:rPr>
        <w:t>以习近平新时代中国特色社会主义思想为指导，坚持以人民为中心的发展思想，</w:t>
      </w:r>
      <w:r>
        <w:rPr>
          <w:rFonts w:hint="eastAsia" w:ascii="华文仿宋" w:hAnsi="华文仿宋" w:eastAsia="华文仿宋" w:cs="华文仿宋"/>
          <w:kern w:val="2"/>
          <w:sz w:val="32"/>
          <w:szCs w:val="32"/>
          <w:lang w:eastAsia="zh-CN"/>
        </w:rPr>
        <w:t>认真贯彻落实新时代党的医疗保障方针、路线、政策，坚持以政治建设统领医疗保障改革发展，在推动医疗保障事业发展中增强“四个意识”、坚定“四个自信”、做到“两个维护”</w:t>
      </w:r>
      <w:r>
        <w:rPr>
          <w:rFonts w:hint="eastAsia" w:ascii="华文仿宋" w:hAnsi="华文仿宋" w:eastAsia="华文仿宋" w:cs="华文仿宋"/>
          <w:kern w:val="2"/>
          <w:sz w:val="32"/>
          <w:szCs w:val="32"/>
        </w:rPr>
        <w:t>。</w:t>
      </w:r>
    </w:p>
    <w:p>
      <w:pPr>
        <w:pStyle w:val="7"/>
        <w:widowControl/>
        <w:shd w:val="clear" w:color="auto" w:fill="FFFFFF"/>
        <w:spacing w:beforeAutospacing="0" w:afterAutospacing="0" w:line="540" w:lineRule="exact"/>
        <w:ind w:firstLine="632" w:firstLineChars="200"/>
        <w:jc w:val="both"/>
        <w:rPr>
          <w:rFonts w:hint="eastAsia" w:ascii="华文仿宋" w:hAnsi="华文仿宋" w:eastAsia="华文仿宋" w:cs="华文仿宋"/>
          <w:kern w:val="2"/>
          <w:sz w:val="32"/>
          <w:szCs w:val="32"/>
        </w:rPr>
      </w:pPr>
      <w:r>
        <w:rPr>
          <w:rFonts w:hint="eastAsia" w:ascii="楷体" w:hAnsi="楷体" w:eastAsia="楷体" w:cs="楷体"/>
          <w:kern w:val="2"/>
          <w:sz w:val="32"/>
          <w:szCs w:val="32"/>
        </w:rPr>
        <w:t>——坚持</w:t>
      </w:r>
      <w:r>
        <w:rPr>
          <w:rFonts w:hint="eastAsia" w:ascii="楷体" w:hAnsi="楷体" w:eastAsia="楷体" w:cs="楷体"/>
          <w:kern w:val="2"/>
          <w:sz w:val="32"/>
          <w:szCs w:val="32"/>
          <w:lang w:eastAsia="zh-CN"/>
        </w:rPr>
        <w:t>保障基本，</w:t>
      </w:r>
      <w:r>
        <w:rPr>
          <w:rFonts w:hint="eastAsia" w:ascii="楷体" w:hAnsi="楷体" w:eastAsia="楷体" w:cs="楷体"/>
          <w:kern w:val="2"/>
          <w:sz w:val="32"/>
          <w:szCs w:val="32"/>
        </w:rPr>
        <w:t>公平普惠。</w:t>
      </w:r>
      <w:r>
        <w:rPr>
          <w:rFonts w:hint="eastAsia" w:ascii="华文仿宋" w:hAnsi="华文仿宋" w:eastAsia="华文仿宋" w:cs="华文仿宋"/>
          <w:kern w:val="2"/>
          <w:sz w:val="32"/>
          <w:szCs w:val="32"/>
          <w:lang w:eastAsia="zh-CN"/>
        </w:rPr>
        <w:t>聚焦医疗保障事业高质量发展，</w:t>
      </w:r>
      <w:r>
        <w:rPr>
          <w:rFonts w:hint="eastAsia" w:ascii="华文仿宋" w:hAnsi="华文仿宋" w:eastAsia="华文仿宋" w:cs="华文仿宋"/>
          <w:kern w:val="2"/>
          <w:sz w:val="32"/>
          <w:szCs w:val="32"/>
        </w:rPr>
        <w:t>以充分实现人人享有基本医疗保障为目标，把满足全市人民的基本医疗保障需求作为医保工作的出发点和落脚点。</w:t>
      </w:r>
      <w:r>
        <w:rPr>
          <w:rFonts w:hint="eastAsia" w:ascii="华文仿宋" w:hAnsi="华文仿宋" w:eastAsia="华文仿宋" w:cs="华文仿宋"/>
          <w:kern w:val="2"/>
          <w:sz w:val="32"/>
          <w:szCs w:val="32"/>
          <w:lang w:eastAsia="zh-CN"/>
        </w:rPr>
        <w:t>着力解决群众急难愁盼，切实提高人民群众的获得感和满意度。</w:t>
      </w:r>
    </w:p>
    <w:p>
      <w:pPr>
        <w:pStyle w:val="7"/>
        <w:widowControl/>
        <w:shd w:val="clear" w:color="auto" w:fill="FFFFFF"/>
        <w:spacing w:beforeAutospacing="0" w:afterAutospacing="0" w:line="540" w:lineRule="exact"/>
        <w:ind w:firstLine="632" w:firstLineChars="200"/>
        <w:jc w:val="both"/>
        <w:rPr>
          <w:rFonts w:hint="eastAsia" w:ascii="华文仿宋" w:hAnsi="华文仿宋" w:eastAsia="华文仿宋" w:cs="华文仿宋"/>
          <w:kern w:val="2"/>
          <w:sz w:val="32"/>
          <w:szCs w:val="32"/>
          <w:lang w:eastAsia="zh-CN"/>
        </w:rPr>
      </w:pPr>
      <w:r>
        <w:rPr>
          <w:rFonts w:hint="eastAsia" w:ascii="楷体" w:hAnsi="楷体" w:eastAsia="楷体" w:cs="楷体"/>
          <w:kern w:val="2"/>
          <w:sz w:val="32"/>
          <w:szCs w:val="32"/>
        </w:rPr>
        <w:t>——坚持</w:t>
      </w:r>
      <w:r>
        <w:rPr>
          <w:rFonts w:hint="eastAsia" w:ascii="楷体" w:hAnsi="楷体" w:eastAsia="楷体" w:cs="楷体"/>
          <w:kern w:val="2"/>
          <w:sz w:val="32"/>
          <w:szCs w:val="32"/>
          <w:lang w:eastAsia="zh-CN"/>
        </w:rPr>
        <w:t>系统协同</w:t>
      </w:r>
      <w:r>
        <w:rPr>
          <w:rFonts w:hint="eastAsia" w:ascii="楷体" w:hAnsi="楷体" w:eastAsia="楷体" w:cs="楷体"/>
          <w:kern w:val="2"/>
          <w:sz w:val="32"/>
          <w:szCs w:val="32"/>
        </w:rPr>
        <w:t>，</w:t>
      </w:r>
      <w:r>
        <w:rPr>
          <w:rFonts w:hint="eastAsia" w:ascii="楷体" w:hAnsi="楷体" w:eastAsia="楷体" w:cs="楷体"/>
          <w:kern w:val="2"/>
          <w:sz w:val="32"/>
          <w:szCs w:val="32"/>
          <w:lang w:eastAsia="zh-CN"/>
        </w:rPr>
        <w:t>共治共享</w:t>
      </w:r>
      <w:r>
        <w:rPr>
          <w:rFonts w:hint="eastAsia" w:ascii="楷体" w:hAnsi="楷体" w:eastAsia="楷体" w:cs="楷体"/>
          <w:kern w:val="2"/>
          <w:sz w:val="32"/>
          <w:szCs w:val="32"/>
        </w:rPr>
        <w:t>。</w:t>
      </w:r>
      <w:r>
        <w:rPr>
          <w:rFonts w:hint="eastAsia" w:ascii="华文仿宋" w:hAnsi="华文仿宋" w:eastAsia="华文仿宋" w:cs="华文仿宋"/>
          <w:kern w:val="2"/>
          <w:sz w:val="32"/>
          <w:szCs w:val="32"/>
          <w:lang w:eastAsia="zh-CN"/>
        </w:rPr>
        <w:t>发挥医保基金战略购买作用，不断推进</w:t>
      </w:r>
      <w:r>
        <w:rPr>
          <w:rFonts w:hint="eastAsia" w:ascii="华文仿宋" w:hAnsi="华文仿宋" w:eastAsia="华文仿宋" w:cs="华文仿宋"/>
          <w:kern w:val="2"/>
          <w:sz w:val="32"/>
          <w:szCs w:val="32"/>
        </w:rPr>
        <w:t>“三医联动”改革，</w:t>
      </w:r>
      <w:r>
        <w:rPr>
          <w:rFonts w:hint="eastAsia" w:ascii="华文仿宋" w:hAnsi="华文仿宋" w:eastAsia="华文仿宋" w:cs="华文仿宋"/>
          <w:kern w:val="2"/>
          <w:sz w:val="32"/>
          <w:szCs w:val="32"/>
          <w:lang w:eastAsia="zh-CN"/>
        </w:rPr>
        <w:t>健全</w:t>
      </w:r>
      <w:r>
        <w:rPr>
          <w:rFonts w:hint="eastAsia" w:ascii="华文仿宋" w:hAnsi="华文仿宋" w:eastAsia="华文仿宋" w:cs="华文仿宋"/>
          <w:kern w:val="2"/>
          <w:sz w:val="32"/>
          <w:szCs w:val="32"/>
        </w:rPr>
        <w:t>部门协同机制，构建共建共治共享医保治理格局。</w:t>
      </w:r>
      <w:r>
        <w:rPr>
          <w:rFonts w:hint="eastAsia" w:ascii="华文仿宋" w:hAnsi="华文仿宋" w:eastAsia="华文仿宋" w:cs="华文仿宋"/>
          <w:kern w:val="2"/>
          <w:sz w:val="32"/>
          <w:szCs w:val="32"/>
          <w:lang w:eastAsia="zh-CN"/>
        </w:rPr>
        <w:t>不断提升工作的整体性、系统性、协同性，实现医疗保障和医药服务高质量协同发展。</w:t>
      </w:r>
    </w:p>
    <w:p>
      <w:pPr>
        <w:pStyle w:val="7"/>
        <w:widowControl/>
        <w:shd w:val="clear" w:color="auto" w:fill="FFFFFF"/>
        <w:spacing w:beforeAutospacing="0" w:afterAutospacing="0" w:line="540" w:lineRule="exact"/>
        <w:ind w:firstLine="632" w:firstLineChars="200"/>
        <w:rPr>
          <w:rFonts w:hint="eastAsia" w:ascii="华文仿宋" w:hAnsi="华文仿宋" w:eastAsia="华文仿宋" w:cs="华文仿宋"/>
          <w:kern w:val="2"/>
          <w:sz w:val="32"/>
          <w:szCs w:val="32"/>
          <w:lang w:eastAsia="zh-CN"/>
        </w:rPr>
      </w:pPr>
      <w:r>
        <w:rPr>
          <w:rFonts w:hint="eastAsia" w:ascii="楷体" w:hAnsi="楷体" w:eastAsia="楷体" w:cs="楷体"/>
          <w:kern w:val="2"/>
          <w:sz w:val="32"/>
          <w:szCs w:val="32"/>
        </w:rPr>
        <w:t>——坚持深化改革，</w:t>
      </w:r>
      <w:r>
        <w:rPr>
          <w:rFonts w:hint="eastAsia" w:ascii="楷体" w:hAnsi="楷体" w:eastAsia="楷体" w:cs="楷体"/>
          <w:kern w:val="2"/>
          <w:sz w:val="32"/>
          <w:szCs w:val="32"/>
          <w:lang w:eastAsia="zh-CN"/>
        </w:rPr>
        <w:t>规范统一</w:t>
      </w:r>
      <w:r>
        <w:rPr>
          <w:rFonts w:hint="eastAsia" w:ascii="楷体" w:hAnsi="楷体" w:eastAsia="楷体" w:cs="楷体"/>
          <w:kern w:val="2"/>
          <w:sz w:val="32"/>
          <w:szCs w:val="32"/>
        </w:rPr>
        <w:t>。</w:t>
      </w:r>
      <w:r>
        <w:rPr>
          <w:rFonts w:hint="eastAsia" w:ascii="华文仿宋" w:hAnsi="华文仿宋" w:eastAsia="华文仿宋" w:cs="华文仿宋"/>
          <w:kern w:val="2"/>
          <w:sz w:val="32"/>
          <w:szCs w:val="32"/>
          <w:lang w:eastAsia="zh-CN"/>
        </w:rPr>
        <w:t>不断推进医疗保障法治建设</w:t>
      </w:r>
      <w:r>
        <w:rPr>
          <w:rFonts w:hint="eastAsia" w:ascii="华文仿宋" w:hAnsi="华文仿宋" w:eastAsia="华文仿宋" w:cs="华文仿宋"/>
          <w:kern w:val="2"/>
          <w:sz w:val="32"/>
          <w:szCs w:val="32"/>
        </w:rPr>
        <w:t>，努力破除不利于医疗保障事业高质量发展的体制机制障碍，加强制度、政策间的有机衔接、融会贯通。</w:t>
      </w:r>
      <w:r>
        <w:rPr>
          <w:rFonts w:hint="eastAsia" w:ascii="华文仿宋" w:hAnsi="华文仿宋" w:eastAsia="华文仿宋" w:cs="华文仿宋"/>
          <w:kern w:val="2"/>
          <w:sz w:val="32"/>
          <w:szCs w:val="32"/>
          <w:lang w:eastAsia="zh-CN"/>
        </w:rPr>
        <w:t>全面加强医疗保障领域标准化、信息化建设，加强依法监管，推动精细管理。</w:t>
      </w:r>
    </w:p>
    <w:p>
      <w:pPr>
        <w:spacing w:line="54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（三）发展主要目标</w:t>
      </w:r>
    </w:p>
    <w:p>
      <w:pPr>
        <w:spacing w:line="540" w:lineRule="exact"/>
        <w:ind w:firstLine="632" w:firstLineChars="200"/>
        <w:rPr>
          <w:rFonts w:ascii="微软雅黑" w:hAnsi="微软雅黑" w:eastAsia="微软雅黑" w:cs="微软雅黑"/>
          <w:color w:val="333333"/>
          <w:sz w:val="22"/>
          <w:shd w:val="clear" w:color="auto" w:fill="FFFFFF"/>
        </w:rPr>
      </w:pPr>
      <w:r>
        <w:rPr>
          <w:rFonts w:hint="eastAsia" w:ascii="华文仿宋" w:hAnsi="华文仿宋" w:eastAsia="华文仿宋" w:cs="华文仿宋"/>
          <w:szCs w:val="32"/>
        </w:rPr>
        <w:t>到2025年，以基本医疗保险为主体，医疗救助为托底，补充医疗保险、商业健康保险共同发展的多层次医疗保障制度体系基本成熟定型，基本完成重点领域改革任务，初步形成现代化医疗保障治理体系，为广大人民群众提供更加公平、更加可靠、更加充分、更高质量的医疗保障，增进民生福</w:t>
      </w:r>
      <w:r>
        <w:rPr>
          <w:rFonts w:hint="eastAsia" w:ascii="仿宋_GB2312" w:hAnsi="黑体" w:eastAsia="仿宋_GB2312" w:cs="仿宋_GB2312"/>
          <w:color w:val="000000"/>
          <w:szCs w:val="32"/>
        </w:rPr>
        <w:t>祉，促进社会和谐。</w:t>
      </w:r>
    </w:p>
    <w:p>
      <w:pPr>
        <w:pStyle w:val="7"/>
        <w:widowControl/>
        <w:spacing w:beforeAutospacing="0" w:afterAutospacing="0" w:line="540" w:lineRule="exact"/>
        <w:ind w:firstLine="632" w:firstLineChars="200"/>
        <w:jc w:val="both"/>
        <w:rPr>
          <w:rFonts w:ascii="仿宋_GB2312" w:hAnsi="仿宋_GB2312" w:eastAsia="仿宋_GB2312" w:cs="Times New Roman"/>
          <w:color w:val="000000"/>
          <w:sz w:val="32"/>
          <w:szCs w:val="32"/>
        </w:rPr>
      </w:pPr>
      <w:r>
        <w:rPr>
          <w:rFonts w:hint="eastAsia" w:ascii="楷体" w:hAnsi="楷体" w:eastAsia="楷体" w:cs="楷体"/>
          <w:kern w:val="2"/>
          <w:sz w:val="32"/>
          <w:szCs w:val="32"/>
        </w:rPr>
        <w:t>——</w:t>
      </w:r>
      <w:r>
        <w:rPr>
          <w:rFonts w:hint="eastAsia" w:ascii="仿宋_GB2312" w:hAnsi="黑体" w:eastAsia="仿宋_GB2312" w:cs="仿宋_GB2312"/>
          <w:b/>
          <w:bCs/>
          <w:color w:val="000000"/>
          <w:sz w:val="32"/>
          <w:szCs w:val="32"/>
        </w:rPr>
        <w:t>保障体系统一规范。</w:t>
      </w:r>
      <w:r>
        <w:rPr>
          <w:rFonts w:hint="eastAsia" w:ascii="仿宋_GB2312" w:hAnsi="仿宋_GB2312" w:eastAsia="仿宋_GB2312" w:cs="仿宋_GB2312"/>
          <w:color w:val="000000"/>
          <w:sz w:val="32"/>
          <w:szCs w:val="32"/>
        </w:rPr>
        <w:t>筹资运行机制更加稳健可持续，待遇保障机制更加公平适度，基本医疗保险、大病保险、医疗救助制度三重保障功能更加完善，多层次医疗保障体系更加成熟定型，统筹层次稳步提高，应急保障能力逐步增强，防范化解因病致贫返贫长效机制基本建立。</w:t>
      </w:r>
    </w:p>
    <w:p>
      <w:pPr>
        <w:spacing w:line="540" w:lineRule="exact"/>
        <w:ind w:firstLine="632" w:firstLineChars="200"/>
        <w:rPr>
          <w:rFonts w:ascii="仿宋_GB2312" w:hAnsi="黑体" w:eastAsia="仿宋_GB2312"/>
          <w:color w:val="000000"/>
          <w:szCs w:val="32"/>
        </w:rPr>
      </w:pPr>
      <w:r>
        <w:rPr>
          <w:rFonts w:hint="eastAsia" w:ascii="楷体" w:hAnsi="楷体" w:eastAsia="楷体" w:cs="楷体"/>
          <w:kern w:val="2"/>
          <w:sz w:val="32"/>
          <w:szCs w:val="32"/>
        </w:rPr>
        <w:t>——</w:t>
      </w:r>
      <w:r>
        <w:rPr>
          <w:rFonts w:hint="eastAsia" w:ascii="仿宋_GB2312" w:hAnsi="黑体" w:eastAsia="仿宋_GB2312" w:cs="仿宋_GB2312"/>
          <w:b/>
          <w:bCs/>
          <w:color w:val="000000"/>
          <w:szCs w:val="32"/>
        </w:rPr>
        <w:t>医药服务协同高效。</w:t>
      </w:r>
      <w:r>
        <w:rPr>
          <w:rFonts w:hint="eastAsia" w:ascii="仿宋_GB2312" w:hAnsi="仿宋_GB2312" w:eastAsia="仿宋_GB2312" w:cs="仿宋_GB2312"/>
          <w:color w:val="000000"/>
          <w:szCs w:val="32"/>
        </w:rPr>
        <w:t>医保支付机制更加管用高效，</w:t>
      </w:r>
      <w:r>
        <w:rPr>
          <w:rFonts w:hint="eastAsia" w:ascii="仿宋_GB2312" w:hAnsi="黑体" w:eastAsia="仿宋_GB2312" w:cs="仿宋_GB2312"/>
          <w:color w:val="000000"/>
          <w:szCs w:val="32"/>
        </w:rPr>
        <w:t>临床常用药品和高值医用耗材集中带量采购基本全覆盖，医疗服务价格及时动态调整，</w:t>
      </w:r>
      <w:r>
        <w:rPr>
          <w:rFonts w:hint="eastAsia" w:ascii="仿宋_GB2312" w:hAnsi="仿宋_GB2312" w:eastAsia="仿宋_GB2312" w:cs="仿宋_GB2312"/>
          <w:color w:val="000000"/>
          <w:szCs w:val="32"/>
        </w:rPr>
        <w:t>医保基金战略购买作用和在“三医联动”改革中的基础性作用得到充分发挥，</w:t>
      </w:r>
      <w:r>
        <w:rPr>
          <w:rFonts w:hint="eastAsia" w:ascii="仿宋_GB2312" w:hAnsi="黑体" w:eastAsia="仿宋_GB2312" w:cs="仿宋_GB2312"/>
          <w:color w:val="000000"/>
          <w:szCs w:val="32"/>
        </w:rPr>
        <w:t>医药服务可及性和人民群众获得感进一步增强。</w:t>
      </w:r>
    </w:p>
    <w:p>
      <w:pPr>
        <w:pStyle w:val="7"/>
        <w:widowControl/>
        <w:spacing w:beforeAutospacing="0" w:afterAutospacing="0" w:line="540" w:lineRule="exact"/>
        <w:ind w:firstLine="632" w:firstLineChars="200"/>
        <w:jc w:val="both"/>
        <w:rPr>
          <w:rFonts w:ascii="仿宋_GB2312" w:hAnsi="黑体" w:eastAsia="仿宋_GB2312" w:cs="Times New Roman"/>
          <w:color w:val="000000"/>
          <w:sz w:val="32"/>
          <w:szCs w:val="32"/>
        </w:rPr>
      </w:pPr>
      <w:r>
        <w:rPr>
          <w:rFonts w:hint="eastAsia" w:ascii="楷体" w:hAnsi="楷体" w:eastAsia="楷体" w:cs="楷体"/>
          <w:kern w:val="2"/>
          <w:sz w:val="32"/>
          <w:szCs w:val="32"/>
        </w:rPr>
        <w:t>——</w:t>
      </w:r>
      <w:r>
        <w:rPr>
          <w:rFonts w:hint="eastAsia" w:ascii="仿宋_GB2312" w:hAnsi="黑体" w:eastAsia="仿宋_GB2312" w:cs="仿宋_GB2312"/>
          <w:b/>
          <w:bCs/>
          <w:color w:val="000000"/>
          <w:sz w:val="32"/>
          <w:szCs w:val="32"/>
        </w:rPr>
        <w:t>监管机制严密有力。</w:t>
      </w:r>
      <w:r>
        <w:rPr>
          <w:rFonts w:hint="eastAsia" w:ascii="仿宋_GB2312" w:hAnsi="黑体" w:eastAsia="仿宋_GB2312" w:cs="仿宋_GB2312"/>
          <w:color w:val="000000"/>
          <w:sz w:val="32"/>
          <w:szCs w:val="32"/>
        </w:rPr>
        <w:t>健全</w:t>
      </w:r>
      <w:r>
        <w:rPr>
          <w:rFonts w:hint="eastAsia" w:ascii="仿宋_GB2312" w:hAnsi="仿宋_GB2312" w:eastAsia="仿宋_GB2312" w:cs="仿宋_GB2312"/>
          <w:color w:val="000000"/>
          <w:sz w:val="32"/>
          <w:szCs w:val="32"/>
        </w:rPr>
        <w:t>医保基金监管责任体系、制度体系、执法体系、信用体系、保障体系，</w:t>
      </w:r>
      <w:r>
        <w:rPr>
          <w:rFonts w:hint="eastAsia" w:ascii="仿宋_GB2312" w:hAnsi="黑体" w:eastAsia="仿宋_GB2312" w:cs="仿宋_GB2312"/>
          <w:color w:val="000000"/>
          <w:sz w:val="32"/>
          <w:szCs w:val="32"/>
        </w:rPr>
        <w:t>建立</w:t>
      </w:r>
      <w:r>
        <w:rPr>
          <w:rFonts w:hint="eastAsia" w:ascii="仿宋_GB2312" w:hAnsi="仿宋_GB2312" w:eastAsia="仿宋_GB2312" w:cs="仿宋_GB2312"/>
          <w:color w:val="000000"/>
          <w:sz w:val="32"/>
          <w:szCs w:val="32"/>
        </w:rPr>
        <w:t>医保基金监管长效机制，推动医保</w:t>
      </w:r>
      <w:r>
        <w:rPr>
          <w:rFonts w:hint="eastAsia" w:ascii="仿宋_GB2312" w:hAnsi="黑体" w:eastAsia="仿宋_GB2312" w:cs="仿宋_GB2312"/>
          <w:color w:val="000000"/>
          <w:sz w:val="32"/>
          <w:szCs w:val="32"/>
        </w:rPr>
        <w:t>基金使用管理规范高效，</w:t>
      </w:r>
      <w:r>
        <w:rPr>
          <w:rFonts w:hint="eastAsia" w:ascii="仿宋_GB2312" w:hAnsi="仿宋_GB2312" w:eastAsia="仿宋_GB2312" w:cs="仿宋_GB2312"/>
          <w:color w:val="000000"/>
          <w:sz w:val="32"/>
          <w:szCs w:val="32"/>
        </w:rPr>
        <w:t>形成党委领导、政府监管、社会监督、行业自律、个人守信相结合的全方位监管新格局。</w:t>
      </w:r>
    </w:p>
    <w:p>
      <w:pPr>
        <w:spacing w:line="540" w:lineRule="exact"/>
        <w:ind w:firstLine="632" w:firstLineChars="200"/>
        <w:rPr>
          <w:rFonts w:ascii="仿宋_GB2312" w:hAnsi="黑体" w:eastAsia="仿宋_GB2312" w:cs="仿宋_GB2312"/>
          <w:color w:val="000000"/>
          <w:szCs w:val="32"/>
        </w:rPr>
      </w:pPr>
      <w:r>
        <w:rPr>
          <w:rFonts w:hint="eastAsia" w:ascii="楷体" w:hAnsi="楷体" w:eastAsia="楷体" w:cs="楷体"/>
          <w:kern w:val="2"/>
          <w:sz w:val="32"/>
          <w:szCs w:val="32"/>
        </w:rPr>
        <w:t>——</w:t>
      </w:r>
      <w:r>
        <w:rPr>
          <w:rFonts w:hint="eastAsia" w:ascii="仿宋_GB2312" w:hAnsi="黑体" w:eastAsia="仿宋_GB2312" w:cs="仿宋_GB2312"/>
          <w:b/>
          <w:bCs/>
          <w:color w:val="000000"/>
          <w:szCs w:val="32"/>
        </w:rPr>
        <w:t>服务水平显著提升。</w:t>
      </w:r>
      <w:r>
        <w:rPr>
          <w:rFonts w:hint="eastAsia" w:ascii="仿宋_GB2312" w:hAnsi="黑体" w:eastAsia="仿宋_GB2312" w:cs="仿宋_GB2312"/>
          <w:color w:val="000000"/>
          <w:szCs w:val="32"/>
        </w:rPr>
        <w:t>医保法治观念明显加强，医保经办管理服务体系健全完善，全市医保信息平台安全稳定运行，“互联网</w:t>
      </w:r>
      <w:r>
        <w:rPr>
          <w:rFonts w:ascii="仿宋_GB2312" w:hAnsi="黑体" w:eastAsia="仿宋_GB2312" w:cs="仿宋_GB2312"/>
          <w:color w:val="000000"/>
          <w:szCs w:val="32"/>
        </w:rPr>
        <w:t>+</w:t>
      </w:r>
      <w:r>
        <w:rPr>
          <w:rFonts w:hint="eastAsia" w:ascii="仿宋_GB2312" w:hAnsi="黑体" w:eastAsia="仿宋_GB2312" w:cs="仿宋_GB2312"/>
          <w:color w:val="000000"/>
          <w:szCs w:val="32"/>
        </w:rPr>
        <w:t>”综合保障服务能力显著增强，异地就医联网结算实现全覆盖，医保服务更加便捷惠民。</w:t>
      </w:r>
    </w:p>
    <w:p>
      <w:pPr>
        <w:spacing w:line="240" w:lineRule="exact"/>
        <w:ind w:firstLine="632" w:firstLineChars="200"/>
        <w:rPr>
          <w:rFonts w:ascii="仿宋_GB2312" w:hAnsi="黑体" w:eastAsia="仿宋_GB2312"/>
          <w:color w:val="000000"/>
          <w:szCs w:val="32"/>
        </w:rPr>
      </w:pPr>
    </w:p>
    <w:p>
      <w:pPr>
        <w:spacing w:line="580" w:lineRule="exact"/>
        <w:jc w:val="center"/>
        <w:rPr>
          <w:rFonts w:ascii="仿宋_GB2312" w:hAnsi="宋体" w:eastAsia="仿宋_GB2312" w:cs="宋体"/>
          <w:color w:val="000000"/>
          <w:kern w:val="0"/>
          <w:szCs w:val="32"/>
        </w:rPr>
      </w:pPr>
      <w:r>
        <w:rPr>
          <w:rFonts w:hint="eastAsia" w:ascii="仿宋_GB2312" w:hAnsi="宋体" w:eastAsia="仿宋_GB2312" w:cs="宋体"/>
          <w:color w:val="000000"/>
          <w:kern w:val="0"/>
          <w:szCs w:val="32"/>
        </w:rPr>
        <w:t>十四五时期全</w:t>
      </w:r>
      <w:r>
        <w:rPr>
          <w:rFonts w:hint="eastAsia" w:ascii="仿宋_GB2312" w:hAnsi="黑体" w:eastAsia="仿宋_GB2312" w:cs="仿宋_GB2312"/>
          <w:color w:val="000000"/>
          <w:szCs w:val="32"/>
        </w:rPr>
        <w:t>市</w:t>
      </w:r>
      <w:r>
        <w:rPr>
          <w:rFonts w:hint="eastAsia" w:ascii="仿宋_GB2312" w:hAnsi="宋体" w:eastAsia="仿宋_GB2312" w:cs="宋体"/>
          <w:color w:val="000000"/>
          <w:kern w:val="0"/>
          <w:szCs w:val="32"/>
        </w:rPr>
        <w:t>医疗保障事业发展主要指标表</w:t>
      </w:r>
    </w:p>
    <w:p>
      <w:pPr>
        <w:spacing w:line="240" w:lineRule="exact"/>
        <w:jc w:val="center"/>
        <w:rPr>
          <w:rFonts w:ascii="仿宋_GB2312" w:eastAsia="仿宋_GB2312"/>
          <w:color w:val="000000"/>
          <w:kern w:val="0"/>
          <w:szCs w:val="32"/>
        </w:rPr>
      </w:pPr>
    </w:p>
    <w:tbl>
      <w:tblPr>
        <w:tblStyle w:val="9"/>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180"/>
        <w:gridCol w:w="1580"/>
        <w:gridCol w:w="186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00" w:type="dxa"/>
            <w:noWrap w:val="0"/>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s="方正小标宋简体"/>
                <w:color w:val="000000"/>
                <w:kern w:val="0"/>
                <w:sz w:val="24"/>
                <w:szCs w:val="24"/>
              </w:rPr>
              <w:t>指标维度</w:t>
            </w:r>
          </w:p>
        </w:tc>
        <w:tc>
          <w:tcPr>
            <w:tcW w:w="3180" w:type="dxa"/>
            <w:noWrap w:val="0"/>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s="方正小标宋简体"/>
                <w:color w:val="000000"/>
                <w:kern w:val="0"/>
                <w:sz w:val="24"/>
                <w:szCs w:val="24"/>
              </w:rPr>
              <w:t>主要指标</w:t>
            </w:r>
          </w:p>
        </w:tc>
        <w:tc>
          <w:tcPr>
            <w:tcW w:w="1580" w:type="dxa"/>
            <w:noWrap w:val="0"/>
            <w:vAlign w:val="center"/>
          </w:tcPr>
          <w:p>
            <w:pPr>
              <w:widowControl/>
              <w:spacing w:line="300" w:lineRule="exact"/>
              <w:jc w:val="center"/>
              <w:rPr>
                <w:rFonts w:ascii="黑体" w:hAnsi="黑体" w:eastAsia="黑体"/>
                <w:color w:val="000000"/>
                <w:kern w:val="0"/>
                <w:sz w:val="24"/>
                <w:szCs w:val="24"/>
              </w:rPr>
            </w:pPr>
            <w:r>
              <w:rPr>
                <w:rFonts w:ascii="黑体" w:hAnsi="黑体" w:eastAsia="黑体" w:cs="方正小标宋简体"/>
                <w:color w:val="000000"/>
                <w:kern w:val="0"/>
                <w:sz w:val="24"/>
                <w:szCs w:val="24"/>
              </w:rPr>
              <w:t>2020</w:t>
            </w:r>
            <w:r>
              <w:rPr>
                <w:rFonts w:hint="eastAsia" w:ascii="黑体" w:hAnsi="黑体" w:eastAsia="黑体" w:cs="方正小标宋简体"/>
                <w:color w:val="000000"/>
                <w:kern w:val="0"/>
                <w:sz w:val="24"/>
                <w:szCs w:val="24"/>
              </w:rPr>
              <w:t>年</w:t>
            </w:r>
          </w:p>
        </w:tc>
        <w:tc>
          <w:tcPr>
            <w:tcW w:w="1860" w:type="dxa"/>
            <w:noWrap w:val="0"/>
            <w:vAlign w:val="center"/>
          </w:tcPr>
          <w:p>
            <w:pPr>
              <w:widowControl/>
              <w:spacing w:line="300" w:lineRule="exact"/>
              <w:jc w:val="center"/>
              <w:rPr>
                <w:rFonts w:ascii="黑体" w:hAnsi="黑体" w:eastAsia="黑体"/>
                <w:color w:val="000000"/>
                <w:kern w:val="0"/>
                <w:sz w:val="24"/>
                <w:szCs w:val="24"/>
              </w:rPr>
            </w:pPr>
            <w:r>
              <w:rPr>
                <w:rFonts w:ascii="黑体" w:hAnsi="黑体" w:eastAsia="黑体" w:cs="方正小标宋简体"/>
                <w:color w:val="000000"/>
                <w:kern w:val="0"/>
                <w:sz w:val="24"/>
                <w:szCs w:val="24"/>
              </w:rPr>
              <w:t>2025</w:t>
            </w:r>
            <w:r>
              <w:rPr>
                <w:rFonts w:hint="eastAsia" w:ascii="黑体" w:hAnsi="黑体" w:eastAsia="黑体" w:cs="方正小标宋简体"/>
                <w:color w:val="000000"/>
                <w:kern w:val="0"/>
                <w:sz w:val="24"/>
                <w:szCs w:val="24"/>
              </w:rPr>
              <w:t>年</w:t>
            </w:r>
          </w:p>
        </w:tc>
        <w:tc>
          <w:tcPr>
            <w:tcW w:w="1196" w:type="dxa"/>
            <w:noWrap w:val="0"/>
            <w:vAlign w:val="center"/>
          </w:tcPr>
          <w:p>
            <w:pPr>
              <w:widowControl/>
              <w:spacing w:line="300" w:lineRule="exact"/>
              <w:jc w:val="center"/>
              <w:rPr>
                <w:rFonts w:ascii="黑体" w:hAnsi="黑体" w:eastAsia="黑体"/>
                <w:color w:val="000000"/>
                <w:kern w:val="0"/>
                <w:sz w:val="24"/>
                <w:szCs w:val="24"/>
              </w:rPr>
            </w:pPr>
            <w:r>
              <w:rPr>
                <w:rFonts w:hint="eastAsia" w:ascii="黑体" w:hAnsi="黑体" w:eastAsia="黑体" w:cs="方正小标宋简体"/>
                <w:color w:val="000000"/>
                <w:kern w:val="0"/>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00" w:type="dxa"/>
            <w:noWrap w:val="0"/>
            <w:vAlign w:val="center"/>
          </w:tcPr>
          <w:p>
            <w:pPr>
              <w:widowControl/>
              <w:spacing w:line="300" w:lineRule="exact"/>
              <w:jc w:val="center"/>
              <w:rPr>
                <w:rFonts w:ascii="仿宋_GB2312" w:eastAsia="仿宋_GB2312"/>
                <w:color w:val="000000"/>
                <w:kern w:val="0"/>
                <w:sz w:val="24"/>
                <w:szCs w:val="24"/>
              </w:rPr>
            </w:pPr>
            <w:r>
              <w:rPr>
                <w:rFonts w:hint="eastAsia" w:ascii="仿宋_GB2312" w:hAnsi="宋体" w:eastAsia="仿宋_GB2312" w:cs="宋体"/>
                <w:color w:val="000000"/>
                <w:kern w:val="0"/>
                <w:sz w:val="24"/>
                <w:szCs w:val="24"/>
              </w:rPr>
              <w:t>参保覆盖</w:t>
            </w: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基本医疗保险参保率</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7</w:t>
            </w: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8</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以上</w:t>
            </w:r>
          </w:p>
        </w:tc>
        <w:tc>
          <w:tcPr>
            <w:tcW w:w="1196"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00" w:type="dxa"/>
            <w:noWrap w:val="0"/>
            <w:vAlign w:val="center"/>
          </w:tcPr>
          <w:p>
            <w:pPr>
              <w:widowControl/>
              <w:spacing w:line="300" w:lineRule="exact"/>
              <w:jc w:val="center"/>
              <w:rPr>
                <w:rFonts w:ascii="仿宋_GB2312" w:eastAsia="仿宋_GB2312"/>
                <w:color w:val="000000"/>
                <w:kern w:val="0"/>
                <w:sz w:val="24"/>
                <w:szCs w:val="24"/>
              </w:rPr>
            </w:pPr>
            <w:r>
              <w:rPr>
                <w:rFonts w:hint="eastAsia" w:ascii="仿宋_GB2312" w:hAnsi="宋体" w:eastAsia="仿宋_GB2312" w:cs="宋体"/>
                <w:color w:val="000000"/>
                <w:kern w:val="0"/>
                <w:sz w:val="24"/>
                <w:szCs w:val="24"/>
              </w:rPr>
              <w:t>基金运行</w:t>
            </w: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基本医疗保险</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含生育保险</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基金支出五年平均增长率</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11.4%</w:t>
            </w:r>
          </w:p>
        </w:tc>
        <w:tc>
          <w:tcPr>
            <w:tcW w:w="1860" w:type="dxa"/>
            <w:noWrap w:val="0"/>
            <w:vAlign w:val="center"/>
          </w:tcPr>
          <w:p>
            <w:pPr>
              <w:widowControl/>
              <w:spacing w:line="300" w:lineRule="exact"/>
              <w:ind w:firstLine="472" w:firstLineChars="2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0" w:type="dxa"/>
            <w:vMerge w:val="restart"/>
            <w:noWrap w:val="0"/>
            <w:vAlign w:val="center"/>
          </w:tcPr>
          <w:p>
            <w:pPr>
              <w:widowControl/>
              <w:spacing w:line="300" w:lineRule="exact"/>
              <w:jc w:val="center"/>
              <w:rPr>
                <w:rFonts w:ascii="仿宋_GB2312" w:eastAsia="仿宋_GB2312"/>
                <w:color w:val="000000"/>
                <w:kern w:val="0"/>
                <w:sz w:val="24"/>
                <w:szCs w:val="24"/>
              </w:rPr>
            </w:pPr>
            <w:r>
              <w:rPr>
                <w:rFonts w:hint="eastAsia" w:ascii="仿宋_GB2312" w:hAnsi="宋体" w:eastAsia="仿宋_GB2312" w:cs="宋体"/>
                <w:color w:val="000000"/>
                <w:kern w:val="0"/>
                <w:sz w:val="24"/>
                <w:szCs w:val="24"/>
              </w:rPr>
              <w:t>保障程度</w:t>
            </w: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职工医保政策范围内住院报销比例</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80%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居民医保政策范围内住院报销比例</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含大病保险</w:t>
            </w:r>
            <w:r>
              <w:rPr>
                <w:rFonts w:ascii="仿宋_GB2312" w:hAnsi="仿宋_GB2312" w:eastAsia="仿宋_GB2312" w:cs="仿宋_GB2312"/>
                <w:color w:val="000000"/>
                <w:kern w:val="0"/>
                <w:sz w:val="24"/>
                <w:szCs w:val="24"/>
              </w:rPr>
              <w:t>)</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70%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重点救助对象符合规定的住院医疗费用救助比例</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79.59%</w:t>
            </w:r>
          </w:p>
        </w:tc>
        <w:tc>
          <w:tcPr>
            <w:tcW w:w="1860"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稳定在</w:t>
            </w:r>
            <w:r>
              <w:rPr>
                <w:rFonts w:ascii="仿宋_GB2312" w:hAnsi="仿宋_GB2312" w:eastAsia="仿宋_GB2312" w:cs="仿宋_GB2312"/>
                <w:color w:val="000000"/>
                <w:kern w:val="0"/>
                <w:sz w:val="24"/>
                <w:szCs w:val="24"/>
              </w:rPr>
              <w:t>80%</w:t>
            </w:r>
            <w:r>
              <w:rPr>
                <w:rFonts w:hint="eastAsia" w:ascii="仿宋_GB2312" w:hAnsi="仿宋_GB2312" w:eastAsia="仿宋_GB2312" w:cs="仿宋_GB2312"/>
                <w:color w:val="000000"/>
                <w:kern w:val="0"/>
                <w:sz w:val="24"/>
                <w:szCs w:val="24"/>
              </w:rPr>
              <w:t>左右</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300" w:type="dxa"/>
            <w:vMerge w:val="restart"/>
            <w:noWrap w:val="0"/>
            <w:vAlign w:val="center"/>
          </w:tcPr>
          <w:p>
            <w:pPr>
              <w:widowControl/>
              <w:spacing w:line="300" w:lineRule="exact"/>
              <w:jc w:val="center"/>
              <w:rPr>
                <w:rFonts w:ascii="仿宋_GB2312" w:eastAsia="仿宋_GB2312"/>
                <w:color w:val="000000"/>
                <w:kern w:val="0"/>
                <w:sz w:val="24"/>
                <w:szCs w:val="24"/>
              </w:rPr>
            </w:pPr>
            <w:r>
              <w:rPr>
                <w:rFonts w:hint="eastAsia" w:ascii="仿宋_GB2312" w:hAnsi="宋体" w:eastAsia="仿宋_GB2312" w:cs="宋体"/>
                <w:color w:val="000000"/>
                <w:kern w:val="0"/>
                <w:sz w:val="24"/>
                <w:szCs w:val="24"/>
              </w:rPr>
              <w:t>精细管理</w:t>
            </w: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区域点数法总额预算和按病种分值付费占住院费用的比例</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75%</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信用监管覆盖率</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医保智能监控系统覆盖率（定点医疗机构、药店）</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0" w:type="dxa"/>
            <w:vMerge w:val="restart"/>
            <w:noWrap w:val="0"/>
            <w:vAlign w:val="center"/>
          </w:tcPr>
          <w:p>
            <w:pPr>
              <w:widowControl/>
              <w:spacing w:line="300" w:lineRule="exact"/>
              <w:jc w:val="center"/>
              <w:rPr>
                <w:rFonts w:ascii="仿宋_GB2312" w:eastAsia="仿宋_GB2312"/>
                <w:color w:val="000000"/>
                <w:kern w:val="0"/>
                <w:sz w:val="24"/>
                <w:szCs w:val="24"/>
              </w:rPr>
            </w:pPr>
            <w:r>
              <w:rPr>
                <w:rFonts w:hint="eastAsia" w:ascii="仿宋_GB2312" w:hAnsi="宋体" w:eastAsia="仿宋_GB2312" w:cs="宋体"/>
                <w:color w:val="000000"/>
                <w:kern w:val="0"/>
                <w:sz w:val="24"/>
                <w:szCs w:val="24"/>
              </w:rPr>
              <w:t>优质服务</w:t>
            </w: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异地住院费用跨省联网直接结算率</w:t>
            </w:r>
          </w:p>
        </w:tc>
        <w:tc>
          <w:tcPr>
            <w:tcW w:w="1580"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80</w:t>
            </w: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80%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定点医药机构“一卡通行”覆盖率</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olor w:val="000000"/>
                <w:kern w:val="0"/>
                <w:sz w:val="24"/>
                <w:szCs w:val="24"/>
              </w:rPr>
            </w:pPr>
            <w:r>
              <w:rPr>
                <w:rFonts w:ascii="仿宋_GB2312" w:hAnsi="仿宋_GB2312" w:eastAsia="仿宋_GB2312" w:cs="仿宋_GB2312"/>
                <w:color w:val="000000"/>
                <w:sz w:val="24"/>
                <w:szCs w:val="24"/>
              </w:rPr>
              <w:t>100%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00" w:type="dxa"/>
            <w:vMerge w:val="continue"/>
            <w:noWrap w:val="0"/>
            <w:vAlign w:val="center"/>
          </w:tcPr>
          <w:p>
            <w:pPr>
              <w:widowControl/>
              <w:spacing w:line="300" w:lineRule="exact"/>
              <w:jc w:val="center"/>
              <w:rPr>
                <w:rFonts w:ascii="仿宋_GB2312" w:eastAsia="仿宋_GB2312"/>
                <w:color w:val="000000"/>
                <w:kern w:val="0"/>
                <w:sz w:val="24"/>
                <w:szCs w:val="24"/>
              </w:rPr>
            </w:pPr>
          </w:p>
        </w:tc>
        <w:tc>
          <w:tcPr>
            <w:tcW w:w="3180" w:type="dxa"/>
            <w:noWrap w:val="0"/>
            <w:vAlign w:val="center"/>
          </w:tcPr>
          <w:p>
            <w:pPr>
              <w:widowControl/>
              <w:adjustRightInd w:val="0"/>
              <w:snapToGrid w:val="0"/>
              <w:spacing w:line="300" w:lineRule="exact"/>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医疗保障政务服务事项线上可办率</w:t>
            </w:r>
          </w:p>
        </w:tc>
        <w:tc>
          <w:tcPr>
            <w:tcW w:w="158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5</w:t>
            </w:r>
            <w:r>
              <w:rPr>
                <w:rFonts w:ascii="仿宋_GB2312" w:hAnsi="仿宋_GB2312" w:eastAsia="仿宋_GB2312" w:cs="仿宋_GB2312"/>
                <w:color w:val="000000"/>
                <w:kern w:val="0"/>
                <w:sz w:val="24"/>
                <w:szCs w:val="24"/>
              </w:rPr>
              <w:t>%</w:t>
            </w:r>
          </w:p>
        </w:tc>
        <w:tc>
          <w:tcPr>
            <w:tcW w:w="1860" w:type="dxa"/>
            <w:noWrap w:val="0"/>
            <w:vAlign w:val="center"/>
          </w:tcPr>
          <w:p>
            <w:pPr>
              <w:widowControl/>
              <w:spacing w:line="30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100%</w:t>
            </w:r>
          </w:p>
        </w:tc>
        <w:tc>
          <w:tcPr>
            <w:tcW w:w="1196" w:type="dxa"/>
            <w:noWrap w:val="0"/>
            <w:vAlign w:val="center"/>
          </w:tcPr>
          <w:p>
            <w:pPr>
              <w:widowControl/>
              <w:spacing w:line="300" w:lineRule="exact"/>
              <w:jc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预期性</w:t>
            </w:r>
          </w:p>
        </w:tc>
      </w:tr>
    </w:tbl>
    <w:p>
      <w:pPr>
        <w:spacing w:line="240" w:lineRule="exact"/>
        <w:ind w:firstLine="632" w:firstLineChars="200"/>
        <w:rPr>
          <w:rFonts w:ascii="仿宋_GB2312" w:hAnsi="黑体" w:eastAsia="仿宋_GB2312" w:cs="仿宋_GB2312"/>
          <w:color w:val="000000"/>
          <w:szCs w:val="32"/>
        </w:rPr>
      </w:pPr>
    </w:p>
    <w:p>
      <w:pPr>
        <w:spacing w:line="560" w:lineRule="exact"/>
        <w:ind w:firstLine="632" w:firstLineChars="200"/>
        <w:rPr>
          <w:rFonts w:hint="eastAsia" w:ascii="黑体" w:hAnsi="黑体" w:eastAsia="黑体" w:cs="黑体"/>
          <w:color w:val="000000"/>
          <w:szCs w:val="32"/>
        </w:rPr>
      </w:pPr>
      <w:r>
        <w:rPr>
          <w:rFonts w:hint="eastAsia" w:ascii="黑体" w:hAnsi="黑体" w:eastAsia="黑体" w:cs="黑体"/>
          <w:color w:val="000000"/>
          <w:szCs w:val="32"/>
        </w:rPr>
        <w:t>三、健全完善多层次医疗保障体系</w:t>
      </w:r>
    </w:p>
    <w:p>
      <w:pPr>
        <w:spacing w:line="560" w:lineRule="exact"/>
        <w:ind w:firstLine="632" w:firstLineChars="200"/>
        <w:rPr>
          <w:rFonts w:hint="eastAsia" w:ascii="楷体_GB2312" w:hAnsi="楷体" w:eastAsia="楷体_GB2312" w:cs="楷体_GB2312"/>
          <w:bCs/>
          <w:color w:val="000000"/>
          <w:szCs w:val="32"/>
        </w:rPr>
      </w:pPr>
      <w:r>
        <w:rPr>
          <w:rFonts w:hint="eastAsia" w:ascii="楷体_GB2312" w:hAnsi="楷体" w:eastAsia="楷体_GB2312" w:cs="楷体_GB2312"/>
          <w:bCs/>
          <w:color w:val="000000"/>
          <w:szCs w:val="32"/>
        </w:rPr>
        <w:t>（一）全面提升基本医疗保险参保质量</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实施基本医疗保险全民参保巩固提升计划，落实用人单位和职工依法参加职工基本医疗保险的义务和责任，引导非从业人员依法参加城乡居民基本医疗保险。建立健全覆盖全民的参保数据库，实现参保信息实时动态查询。推进部门间的信息共享机制，实现精准扩面，避免重复参保，全面提升参保质量。深化医疗保险费征缴体制改革，全面实施单位自主申报缴费，理顺各级政府参保缴费、政府补助、困难人群资助参保等管理机制，依法落实政府、用人单位、个人、社会的医疗保障权利、义务、责任。加大参保缴费宣传引导力度，拓展多样化参保缴费渠道，提高参保缴费政策知晓度，提升服务便利性。</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noWrap w:val="0"/>
            <w:vAlign w:val="top"/>
          </w:tcPr>
          <w:p>
            <w:pPr>
              <w:spacing w:line="580" w:lineRule="exact"/>
              <w:jc w:val="center"/>
              <w:rPr>
                <w:rFonts w:ascii="仿宋_GB2312" w:hAnsi="仿宋_GB2312" w:eastAsia="仿宋_GB2312"/>
                <w:color w:val="000000"/>
                <w:sz w:val="24"/>
                <w:szCs w:val="24"/>
              </w:rPr>
            </w:pPr>
            <w:r>
              <w:rPr>
                <w:rFonts w:hint="eastAsia" w:ascii="黑体" w:hAnsi="黑体" w:eastAsia="黑体" w:cs="黑体"/>
                <w:color w:val="000000"/>
                <w:sz w:val="24"/>
                <w:szCs w:val="24"/>
              </w:rPr>
              <w:t>专栏</w:t>
            </w:r>
            <w:r>
              <w:rPr>
                <w:rFonts w:ascii="黑体" w:hAnsi="黑体" w:eastAsia="黑体" w:cs="黑体"/>
                <w:color w:val="000000"/>
                <w:sz w:val="24"/>
                <w:szCs w:val="24"/>
              </w:rPr>
              <w:t xml:space="preserve">1  </w:t>
            </w:r>
            <w:r>
              <w:rPr>
                <w:rFonts w:hint="eastAsia" w:ascii="黑体" w:hAnsi="黑体" w:eastAsia="黑体" w:cs="黑体"/>
                <w:color w:val="000000"/>
                <w:sz w:val="24"/>
                <w:szCs w:val="24"/>
              </w:rPr>
              <w:t>全民参保巩固提升计划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noWrap w:val="0"/>
            <w:vAlign w:val="top"/>
          </w:tcPr>
          <w:p>
            <w:pPr>
              <w:adjustRightInd w:val="0"/>
              <w:snapToGrid w:val="0"/>
              <w:spacing w:line="50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1.</w:t>
            </w:r>
            <w:r>
              <w:rPr>
                <w:rFonts w:hint="eastAsia" w:ascii="仿宋_GB2312" w:hAnsi="仿宋_GB2312" w:eastAsia="仿宋_GB2312" w:cs="仿宋_GB2312"/>
                <w:b/>
                <w:bCs/>
                <w:color w:val="000000"/>
                <w:sz w:val="24"/>
                <w:szCs w:val="24"/>
              </w:rPr>
              <w:t>拓展参保缴费便民服务渠道。</w:t>
            </w:r>
            <w:r>
              <w:rPr>
                <w:rFonts w:hint="eastAsia" w:ascii="仿宋_GB2312" w:hAnsi="仿宋_GB2312" w:eastAsia="仿宋_GB2312" w:cs="仿宋_GB2312"/>
                <w:color w:val="000000"/>
                <w:sz w:val="24"/>
                <w:szCs w:val="24"/>
              </w:rPr>
              <w:t>加强医保、税务、银行三方“线上</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线下”合作，提高参保登记、基数或费款申报、缴费退费、个人查询、转移接续等事项的便利度。</w:t>
            </w:r>
          </w:p>
          <w:p>
            <w:pPr>
              <w:adjustRightInd w:val="0"/>
              <w:snapToGrid w:val="0"/>
              <w:spacing w:line="500" w:lineRule="exact"/>
              <w:ind w:firstLine="47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2.健全重点群体参保缴费机制。</w:t>
            </w:r>
            <w:r>
              <w:rPr>
                <w:rFonts w:hint="eastAsia" w:ascii="仿宋_GB2312" w:hAnsi="仿宋_GB2312" w:eastAsia="仿宋_GB2312" w:cs="仿宋_GB2312"/>
                <w:color w:val="000000"/>
                <w:sz w:val="24"/>
                <w:szCs w:val="24"/>
              </w:rPr>
              <w:t>完善大学生、灵活就业人员等特殊人员参保衔接机制及缴费方式，在推广“非接触”缴费基础上，为特殊人员参保缴费提供现金收付通道。全面落实资助困难群体参保缴费政策，实现参保动态精准管理。</w:t>
            </w:r>
          </w:p>
          <w:p>
            <w:pPr>
              <w:adjustRightInd w:val="0"/>
              <w:snapToGrid w:val="0"/>
              <w:spacing w:line="500" w:lineRule="exact"/>
              <w:ind w:firstLine="47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3.强化基础信息共享机制。</w:t>
            </w:r>
            <w:r>
              <w:rPr>
                <w:rFonts w:hint="eastAsia" w:ascii="仿宋_GB2312" w:hAnsi="仿宋_GB2312" w:eastAsia="仿宋_GB2312" w:cs="仿宋_GB2312"/>
                <w:color w:val="000000"/>
                <w:sz w:val="24"/>
                <w:szCs w:val="24"/>
              </w:rPr>
              <w:t>利用全国统一医保信息平台，加强数据比对，健全应保未保、重复参保防范机制。加强医保基础数据治理，提升参保质量。</w:t>
            </w:r>
          </w:p>
          <w:p>
            <w:pPr>
              <w:pStyle w:val="6"/>
              <w:spacing w:line="500" w:lineRule="exact"/>
              <w:ind w:firstLine="472" w:firstLineChars="200"/>
              <w:rPr>
                <w:rFonts w:cs="Times New Roman"/>
                <w:highlight w:val="yellow"/>
              </w:rPr>
            </w:pPr>
            <w:r>
              <w:rPr>
                <w:rFonts w:hint="eastAsia" w:ascii="仿宋_GB2312" w:hAnsi="仿宋_GB2312" w:eastAsia="仿宋_GB2312"/>
                <w:b/>
                <w:bCs/>
                <w:sz w:val="24"/>
                <w:szCs w:val="24"/>
              </w:rPr>
              <w:t>4.推进“一件事一次办”。</w:t>
            </w:r>
            <w:r>
              <w:rPr>
                <w:rFonts w:hint="eastAsia" w:ascii="仿宋_GB2312" w:hAnsi="仿宋_GB2312" w:eastAsia="仿宋_GB2312"/>
                <w:sz w:val="24"/>
                <w:szCs w:val="24"/>
              </w:rPr>
              <w:t>加强部门协作，推行统筹地区社会保险单位登记互认与信息推送共享，实行医保增减员业务与相关部门和单位业务一站式办理。</w:t>
            </w:r>
          </w:p>
        </w:tc>
      </w:tr>
    </w:tbl>
    <w:p>
      <w:pPr>
        <w:spacing w:line="560" w:lineRule="exact"/>
        <w:ind w:firstLine="632" w:firstLineChars="200"/>
        <w:rPr>
          <w:rFonts w:hint="eastAsia" w:ascii="楷体_GB2312" w:hAnsi="楷体" w:eastAsia="楷体_GB2312" w:cs="楷体_GB2312"/>
          <w:bCs/>
          <w:color w:val="000000"/>
          <w:szCs w:val="32"/>
        </w:rPr>
      </w:pPr>
      <w:r>
        <w:rPr>
          <w:rFonts w:hint="eastAsia" w:ascii="楷体_GB2312" w:hAnsi="楷体" w:eastAsia="楷体_GB2312" w:cs="楷体_GB2312"/>
          <w:bCs/>
          <w:color w:val="000000"/>
          <w:szCs w:val="32"/>
        </w:rPr>
        <w:t>（二）优化医疗保障筹资机制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完善筹资分担和调整机制。</w:t>
      </w:r>
      <w:r>
        <w:rPr>
          <w:rFonts w:hint="eastAsia" w:ascii="仿宋_GB2312" w:hAnsi="仿宋_GB2312" w:eastAsia="仿宋_GB2312" w:cs="仿宋_GB2312"/>
          <w:color w:val="000000"/>
          <w:szCs w:val="32"/>
        </w:rPr>
        <w:t>统一规范全市职工医保缴费基数政策，落实执行省级基本医疗保险基准费率制度。稳步提高居民基本医保筹资水平，保持财政补助、个人缴费稳定在</w:t>
      </w:r>
      <w:r>
        <w:rPr>
          <w:rFonts w:hint="default" w:ascii="仿宋_GB2312" w:hAnsi="仿宋_GB2312" w:eastAsia="仿宋_GB2312" w:cs="仿宋_GB2312"/>
          <w:color w:val="000000"/>
          <w:szCs w:val="32"/>
        </w:rPr>
        <w:t>2：1以内</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完善长期护理保险多渠道筹资机制。加强财政对医疗救助的投入，强化市县两级事权与支出责任，拓宽社会捐助、彩票公益金等医疗救助筹资渠道，确保医疗救助政策全面落实到位。</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巩固提高统筹层次。</w:t>
      </w:r>
      <w:r>
        <w:rPr>
          <w:rFonts w:hint="eastAsia" w:ascii="仿宋_GB2312" w:hAnsi="仿宋_GB2312" w:eastAsia="仿宋_GB2312" w:cs="仿宋_GB2312"/>
          <w:color w:val="000000"/>
          <w:szCs w:val="32"/>
        </w:rPr>
        <w:t>按照参保范围、筹资标准、待遇水平、基金管理、经办服务、信息管理“六统一”的标准，全面夯实基本医疗保险市级统筹基础，落实属地监管责任，强化统筹层次提高后的有序就医管理。巩固基本医疗保险基金市级统筹成果，推进市级医保经办机构统一核算基金收支。促进大病保险、长期护理保险、医疗救助统筹层次与基本医疗保险统筹层次相协调。</w:t>
      </w:r>
    </w:p>
    <w:p>
      <w:pPr>
        <w:spacing w:line="560" w:lineRule="exact"/>
        <w:ind w:firstLine="632" w:firstLineChars="200"/>
        <w:rPr>
          <w:rFonts w:hint="eastAsia" w:ascii="楷体_GB2312" w:hAnsi="楷体" w:eastAsia="楷体_GB2312" w:cs="楷体_GB2312"/>
          <w:bCs/>
          <w:color w:val="000000"/>
          <w:szCs w:val="32"/>
        </w:rPr>
      </w:pPr>
      <w:bookmarkStart w:id="1" w:name="bookmark20"/>
      <w:r>
        <w:rPr>
          <w:rFonts w:hint="eastAsia" w:ascii="楷体_GB2312" w:hAnsi="楷体" w:eastAsia="楷体_GB2312" w:cs="楷体_GB2312"/>
          <w:bCs/>
          <w:color w:val="000000"/>
          <w:szCs w:val="32"/>
        </w:rPr>
        <w:t>（</w:t>
      </w:r>
      <w:bookmarkEnd w:id="1"/>
      <w:r>
        <w:rPr>
          <w:rFonts w:hint="eastAsia" w:ascii="楷体_GB2312" w:hAnsi="楷体" w:eastAsia="楷体_GB2312" w:cs="楷体_GB2312"/>
          <w:bCs/>
          <w:color w:val="000000"/>
          <w:szCs w:val="32"/>
        </w:rPr>
        <w:t>三）完善医疗保障待遇机制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合理确定基本医疗保险待遇保障水平。</w:t>
      </w:r>
      <w:r>
        <w:rPr>
          <w:rFonts w:hint="eastAsia" w:ascii="仿宋_GB2312" w:hAnsi="仿宋_GB2312" w:eastAsia="仿宋_GB2312" w:cs="仿宋_GB2312"/>
          <w:color w:val="000000"/>
          <w:szCs w:val="32"/>
        </w:rPr>
        <w:t>坚持职工和居民分类保障、待遇与缴费挂钩，健全基本医保待遇调整机制。巩固基本医疗保险住院保障水平，建立门诊共济保障机制，改革职工基本医保个人账户，全面实施普通门诊统筹，提高门诊慢</w:t>
      </w:r>
      <w:r>
        <w:rPr>
          <w:rFonts w:hint="eastAsia" w:ascii="仿宋_GB2312" w:hAnsi="仿宋_GB2312" w:eastAsia="仿宋_GB2312" w:cs="仿宋_GB2312"/>
          <w:color w:val="000000"/>
          <w:szCs w:val="32"/>
          <w:lang w:eastAsia="zh-CN"/>
        </w:rPr>
        <w:t>性</w:t>
      </w:r>
      <w:r>
        <w:rPr>
          <w:rFonts w:hint="eastAsia" w:ascii="仿宋_GB2312" w:hAnsi="仿宋_GB2312" w:eastAsia="仿宋_GB2312" w:cs="仿宋_GB2312"/>
          <w:color w:val="000000"/>
          <w:szCs w:val="32"/>
        </w:rPr>
        <w:t>病保</w:t>
      </w:r>
      <w:r>
        <w:rPr>
          <w:rFonts w:hint="eastAsia" w:ascii="仿宋_GB2312" w:hAnsi="仿宋_GB2312" w:eastAsia="仿宋_GB2312" w:cs="仿宋_GB2312"/>
          <w:color w:val="000000"/>
          <w:szCs w:val="32"/>
        </w:rPr>
        <w:t>障水平。到2025年，普通门诊报销额度在现有基础上平均提高50%左右，门诊慢性病医保支付比例不低于65%。合理设置不同级别医疗机构住院费用报销比例，促进分级诊疗制度实施。</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规范补充医疗保险制度。</w:t>
      </w:r>
      <w:r>
        <w:rPr>
          <w:rFonts w:hint="eastAsia" w:ascii="仿宋_GB2312" w:hAnsi="仿宋_GB2312" w:eastAsia="仿宋_GB2312" w:cs="仿宋_GB2312"/>
          <w:color w:val="000000"/>
          <w:szCs w:val="32"/>
        </w:rPr>
        <w:t>稳步提高职工和居民大病保险待遇水平，提升重特大疾病保障能力。改革大病保险承办机制，完善承办商业保险机构盈亏动态调节机制。规范完善职工大额医疗费用补助、公务员医疗补助、企业补充医疗保险制度。</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完善医疗救助制度。</w:t>
      </w:r>
      <w:r>
        <w:rPr>
          <w:rFonts w:hint="eastAsia" w:ascii="仿宋_GB2312" w:hAnsi="仿宋_GB2312" w:eastAsia="仿宋_GB2312" w:cs="仿宋_GB2312"/>
          <w:color w:val="000000"/>
          <w:szCs w:val="32"/>
        </w:rPr>
        <w:t>科学确定救助对象、范围和标准，实现医疗救助对象精准识别。规范医疗救助费用保障范围，将医疗救助资金纳入各级财政年度预算。完善重点救助对象参保缴费补助政策，建立预防和化解因病致贫返贫长效机制，稳步提高年度医疗救助限额，化解贫困边缘人群因病致贫返贫风险。强化基本医保、补充医保、商业保险和医疗救助制度的衔接，梯次减负，提升困难人员大病医疗费用综合保障水平。加强医疗救助和临时救助、应急救助、慈善救助等社会救助政策协同，筑牢民生托底保障防线。</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稳步推进长期护理保险制度。</w:t>
      </w:r>
      <w:r>
        <w:rPr>
          <w:rFonts w:hint="eastAsia" w:ascii="仿宋_GB2312" w:hAnsi="仿宋_GB2312" w:eastAsia="仿宋_GB2312" w:cs="仿宋_GB2312"/>
          <w:color w:val="000000"/>
          <w:szCs w:val="32"/>
        </w:rPr>
        <w:t>适应经济发展水平和老龄化发展趋势，开展居民长期护理保险，优化长期护理保险筹资结构，健全完善不同失能等级和护理模式管理服务标准体系。2025年居民长期护理保险实现全覆盖。</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完善重大疫情医疗救治费用保障机制。</w:t>
      </w:r>
      <w:r>
        <w:rPr>
          <w:rFonts w:hint="eastAsia" w:ascii="仿宋_GB2312" w:hAnsi="仿宋_GB2312" w:eastAsia="仿宋_GB2312" w:cs="仿宋_GB2312"/>
          <w:b w:val="0"/>
          <w:bCs w:val="0"/>
          <w:color w:val="000000"/>
          <w:szCs w:val="32"/>
        </w:rPr>
        <w:t>执行国家及省级相关制度，</w:t>
      </w:r>
      <w:r>
        <w:rPr>
          <w:rFonts w:hint="eastAsia" w:ascii="仿宋_GB2312" w:hAnsi="仿宋_GB2312" w:eastAsia="仿宋_GB2312" w:cs="仿宋_GB2312"/>
          <w:color w:val="000000"/>
          <w:szCs w:val="32"/>
        </w:rPr>
        <w:t>在突发重大疫情时，实施医保基金应急预付，实行先救治、后付费，确保定点救治医疗机构不因资金问题影响救治。对特殊群体、特定疾病有针对性的免除医保目录、支付限额、用药量等限制性条款，实施医疗保障、政府补助等综合保障措施，减轻群众后顾之忧，确保患者不因费用问题影响就医。</w:t>
      </w:r>
    </w:p>
    <w:p>
      <w:pPr>
        <w:spacing w:line="560" w:lineRule="exact"/>
        <w:ind w:firstLine="632" w:firstLineChars="200"/>
        <w:rPr>
          <w:rFonts w:hint="eastAsia" w:ascii="楷体_GB2312" w:hAnsi="楷体" w:eastAsia="楷体_GB2312" w:cs="楷体_GB2312"/>
          <w:bCs/>
          <w:color w:val="000000"/>
          <w:szCs w:val="32"/>
        </w:rPr>
      </w:pPr>
      <w:bookmarkStart w:id="2" w:name="bookmark21"/>
      <w:r>
        <w:rPr>
          <w:rFonts w:hint="eastAsia" w:ascii="楷体_GB2312" w:hAnsi="楷体" w:eastAsia="楷体_GB2312" w:cs="楷体_GB2312"/>
          <w:bCs/>
          <w:color w:val="000000"/>
          <w:szCs w:val="32"/>
        </w:rPr>
        <w:t>（</w:t>
      </w:r>
      <w:bookmarkEnd w:id="2"/>
      <w:r>
        <w:rPr>
          <w:rFonts w:hint="eastAsia" w:ascii="楷体_GB2312" w:hAnsi="楷体" w:eastAsia="楷体_GB2312" w:cs="楷体_GB2312"/>
          <w:bCs/>
          <w:color w:val="000000"/>
          <w:szCs w:val="32"/>
        </w:rPr>
        <w:t>四）加快发展商业健康保险</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鼓励商业保险机构加强产品创新。开发医疗、疾病、康复、照护、生育等领域综合性健康保险产品和服务；鼓励将医疗新技术、新药品、新器械应用纳入商业健康保险保障范围；鼓励商业保险机构与医疗机构合作开展健康管理服务，将老年人常见慢性非传染性疾病的健康管理纳入保障范围</w:t>
      </w:r>
      <w:r>
        <w:rPr>
          <w:rFonts w:hint="eastAsia" w:ascii="仿宋_GB2312" w:hAnsi="仿宋_GB2312" w:eastAsia="仿宋_GB2312" w:cs="仿宋_GB2312"/>
          <w:color w:val="000000"/>
          <w:szCs w:val="32"/>
        </w:rPr>
        <w:t>。</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打造“医保+商保”融合发展模式。厘清基本医保责任边界，鼓励商业保险机构探索实施与基本医疗保险、大病保险相衔接的普惠型商业医疗保险，补齐多层次医疗保障体系中商业医疗保险</w:t>
      </w:r>
      <w:r>
        <w:rPr>
          <w:rFonts w:hint="eastAsia" w:ascii="仿宋_GB2312" w:hAnsi="仿宋_GB2312" w:eastAsia="仿宋_GB2312" w:cs="仿宋_GB2312"/>
          <w:color w:val="000000"/>
          <w:szCs w:val="32"/>
        </w:rPr>
        <w:t>的短板，提升参保群众医疗保障水平。推动基本医疗保险与商业医疗保险一站式受理、一窗式办理，积极引入社会力量参与医保经办服务。建立健全参与基本医保经办的商业保险机构绩效评价机制。</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加强商业健康保险产品设计、销售、赔付等关键环节监管。建立信用管理协同机制，将</w:t>
      </w:r>
      <w:r>
        <w:rPr>
          <w:rFonts w:hint="eastAsia" w:ascii="仿宋_GB2312" w:hAnsi="仿宋_GB2312" w:eastAsia="仿宋_GB2312" w:cs="仿宋_GB2312"/>
          <w:color w:val="000000"/>
          <w:szCs w:val="32"/>
          <w:lang w:eastAsia="zh-CN"/>
        </w:rPr>
        <w:t>在</w:t>
      </w:r>
      <w:r>
        <w:rPr>
          <w:rFonts w:hint="eastAsia" w:ascii="仿宋_GB2312" w:hAnsi="仿宋_GB2312" w:eastAsia="仿宋_GB2312" w:cs="仿宋_GB2312"/>
          <w:color w:val="000000"/>
          <w:szCs w:val="32"/>
        </w:rPr>
        <w:t>医保定点医药机构发生的商业健康保险费用一并纳入监控范围，探索建立共建共治共享的医保治理格局，规范商业保险机构承办大病保险业务。</w:t>
      </w:r>
    </w:p>
    <w:p>
      <w:pPr>
        <w:spacing w:line="560" w:lineRule="exact"/>
        <w:ind w:firstLine="632" w:firstLineChars="200"/>
        <w:rPr>
          <w:rFonts w:hint="eastAsia" w:ascii="楷体_GB2312" w:hAnsi="楷体" w:eastAsia="楷体_GB2312" w:cs="楷体_GB2312"/>
          <w:bCs/>
          <w:color w:val="000000"/>
          <w:szCs w:val="32"/>
        </w:rPr>
      </w:pPr>
      <w:r>
        <w:rPr>
          <w:rFonts w:hint="eastAsia" w:ascii="楷体_GB2312" w:hAnsi="楷体" w:eastAsia="楷体_GB2312" w:cs="楷体_GB2312"/>
          <w:bCs/>
          <w:color w:val="000000"/>
          <w:szCs w:val="32"/>
        </w:rPr>
        <w:t>（五）支持医疗互助有序发展</w:t>
      </w:r>
    </w:p>
    <w:p>
      <w:pPr>
        <w:spacing w:line="560"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明确各类医疗互助的定位性质，强化制度建设，加强监督管理，支持工会等社会团体、互助平台开展多</w:t>
      </w:r>
      <w:r>
        <w:rPr>
          <w:rFonts w:hint="eastAsia" w:ascii="仿宋_GB2312" w:hAnsi="仿宋_GB2312" w:eastAsia="仿宋_GB2312" w:cs="仿宋_GB2312"/>
          <w:color w:val="000000"/>
          <w:szCs w:val="32"/>
        </w:rPr>
        <w:t>种形式的医疗互助活动，更好满足人民群众对医疗互助保障的新需求。加强医疗互助与基本医疗保险的衔接，推动信息共享，发挥协同效应</w:t>
      </w:r>
      <w:r>
        <w:rPr>
          <w:rFonts w:hint="eastAsia" w:ascii="仿宋_GB2312" w:hAnsi="仿宋_GB2312" w:eastAsia="仿宋_GB2312" w:cs="仿宋_GB2312"/>
          <w:color w:val="000000"/>
          <w:szCs w:val="32"/>
        </w:rPr>
        <w:t>，稳步提高重大疾病患者保障水平，合力防范因病致贫返贫风险。</w:t>
      </w:r>
    </w:p>
    <w:p>
      <w:pPr>
        <w:spacing w:line="560" w:lineRule="exact"/>
        <w:ind w:firstLine="632" w:firstLineChars="200"/>
        <w:rPr>
          <w:rFonts w:ascii="黑体" w:hAnsi="黑体" w:eastAsia="黑体"/>
          <w:color w:val="000000"/>
          <w:szCs w:val="32"/>
        </w:rPr>
      </w:pPr>
      <w:r>
        <w:rPr>
          <w:rFonts w:hint="eastAsia" w:ascii="黑体" w:hAnsi="黑体" w:eastAsia="黑体" w:cs="黑体"/>
          <w:color w:val="000000"/>
          <w:szCs w:val="32"/>
        </w:rPr>
        <w:t>四、优化医疗保障协同治理体系</w:t>
      </w:r>
    </w:p>
    <w:p>
      <w:pPr>
        <w:spacing w:line="56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（一）改进医疗保障支付机制</w:t>
      </w:r>
    </w:p>
    <w:p>
      <w:pPr>
        <w:spacing w:line="579" w:lineRule="exact"/>
        <w:ind w:firstLine="632" w:firstLineChars="20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完善医保目录动态管理机制。</w:t>
      </w:r>
      <w:r>
        <w:rPr>
          <w:rFonts w:hint="eastAsia" w:ascii="仿宋_GB2312" w:hAnsi="仿宋_GB2312" w:eastAsia="仿宋_GB2312" w:cs="仿宋_GB2312"/>
          <w:color w:val="000000"/>
          <w:szCs w:val="32"/>
        </w:rPr>
        <w:t>严格执行国家和省医保药品目录政策规定，巩固医保目录动态管理机制和退出机制，推进医保诊疗项目、医疗服务设施、高值医用耗材实施准入管理。逐步规范全市医保诊疗项目、医疗服务设施目录，做好统一基本医保药品、诊疗项目、医疗服务设施目录工作。按照省统一部署，进一步规范中药饮片、中药配方颗粒、治疗性</w:t>
      </w:r>
      <w:r>
        <w:rPr>
          <w:rFonts w:hint="eastAsia" w:ascii="仿宋_GB2312" w:hAnsi="仿宋_GB2312" w:eastAsia="仿宋_GB2312" w:cs="仿宋_GB2312"/>
          <w:color w:val="000000"/>
          <w:szCs w:val="32"/>
          <w:lang w:eastAsia="zh-CN"/>
        </w:rPr>
        <w:t>医疗机构</w:t>
      </w:r>
      <w:r>
        <w:rPr>
          <w:rFonts w:hint="eastAsia" w:ascii="仿宋_GB2312" w:hAnsi="仿宋_GB2312" w:eastAsia="仿宋_GB2312" w:cs="仿宋_GB2312"/>
          <w:color w:val="000000"/>
          <w:szCs w:val="32"/>
        </w:rPr>
        <w:t>制剂使用和</w:t>
      </w:r>
      <w:r>
        <w:rPr>
          <w:rFonts w:hint="eastAsia" w:ascii="仿宋_GB2312" w:hAnsi="仿宋_GB2312" w:eastAsia="仿宋_GB2312" w:cs="仿宋_GB2312"/>
          <w:color w:val="000000"/>
          <w:szCs w:val="32"/>
        </w:rPr>
        <w:t>医保支付管理。以谈判药品、集采药品、高血压和糖尿病“两病”用药支付标准为切入点，推动药品目录管理和支付标准相衔接。</w:t>
      </w:r>
    </w:p>
    <w:p>
      <w:pPr>
        <w:spacing w:line="579" w:lineRule="exact"/>
        <w:ind w:firstLine="6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bCs/>
          <w:color w:val="000000"/>
          <w:szCs w:val="32"/>
        </w:rPr>
        <w:t>深入推进医保支付方式改革</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充分发挥医保支付制度的杠杆作用，推进紧密型县域医共体医保总额付费改革，加强监督考核，实行总额预付、结余留用，推动双向转诊、上下联动。推进按病种分值付费（DIP）改革，2025</w:t>
      </w:r>
      <w:r>
        <w:rPr>
          <w:rFonts w:hint="default" w:ascii="仿宋_GB2312" w:hAnsi="仿宋_GB2312" w:eastAsia="仿宋_GB2312" w:cs="仿宋_GB2312"/>
          <w:color w:val="000000"/>
          <w:szCs w:val="32"/>
        </w:rPr>
        <w:t>年建立普通住院按病种分值付费，医疗康复、慢性精神疾病等长期住院按床日付费，门诊慢性病按人头付费的多元复合式医保支付方式</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rPr>
        <w:t>逐步降低按项目付费的比重。合理确定基层机构医保报销比例，引导恢复期和康复期患者到基层接受治疗，推进急慢分治。完善对互联网定点医疗机构医保基金支付方式和结算管理机制。</w:t>
      </w:r>
    </w:p>
    <w:p>
      <w:pPr>
        <w:spacing w:line="240" w:lineRule="exact"/>
        <w:ind w:firstLine="632" w:firstLineChars="200"/>
        <w:rPr>
          <w:rFonts w:ascii="仿宋_GB2312" w:hAnsi="仿宋_GB2312" w:eastAsia="仿宋_GB2312"/>
          <w:color w:val="00000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noWrap w:val="0"/>
            <w:vAlign w:val="top"/>
          </w:tcPr>
          <w:p>
            <w:pPr>
              <w:spacing w:line="580" w:lineRule="exact"/>
              <w:jc w:val="center"/>
              <w:rPr>
                <w:rFonts w:ascii="黑体" w:hAnsi="黑体" w:eastAsia="黑体"/>
                <w:color w:val="000000"/>
                <w:sz w:val="24"/>
                <w:szCs w:val="24"/>
              </w:rPr>
            </w:pPr>
            <w:r>
              <w:rPr>
                <w:rFonts w:hint="eastAsia" w:ascii="黑体" w:hAnsi="黑体" w:eastAsia="黑体" w:cs="黑体"/>
                <w:color w:val="000000"/>
                <w:sz w:val="24"/>
                <w:szCs w:val="24"/>
              </w:rPr>
              <w:t>专栏</w:t>
            </w:r>
            <w:r>
              <w:rPr>
                <w:rFonts w:ascii="黑体" w:hAnsi="黑体" w:eastAsia="黑体" w:cs="黑体"/>
                <w:color w:val="000000"/>
                <w:sz w:val="24"/>
                <w:szCs w:val="24"/>
              </w:rPr>
              <w:t xml:space="preserve">2  </w:t>
            </w:r>
            <w:r>
              <w:rPr>
                <w:rFonts w:hint="eastAsia" w:ascii="黑体" w:hAnsi="黑体" w:eastAsia="黑体" w:cs="黑体"/>
                <w:color w:val="000000"/>
                <w:sz w:val="24"/>
                <w:szCs w:val="24"/>
              </w:rPr>
              <w:t>医保支付方式改革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noWrap w:val="0"/>
            <w:vAlign w:val="top"/>
          </w:tcPr>
          <w:p>
            <w:pPr>
              <w:spacing w:line="4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1.建立按病种分值付费（DIP）配套管理办法，完善相应的医保经办规程。</w:t>
            </w:r>
          </w:p>
          <w:p>
            <w:pPr>
              <w:spacing w:line="4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2.开展医保结算清单、医保费用明细表等的质量控制。</w:t>
            </w:r>
          </w:p>
          <w:p>
            <w:pPr>
              <w:spacing w:line="4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eastAsia="zh-CN"/>
              </w:rPr>
              <w:t>根据国家</w:t>
            </w:r>
            <w:r>
              <w:rPr>
                <w:rFonts w:hint="eastAsia" w:ascii="仿宋_GB2312" w:hAnsi="仿宋_GB2312" w:eastAsia="仿宋_GB2312" w:cs="仿宋_GB2312"/>
                <w:szCs w:val="32"/>
              </w:rPr>
              <w:t>DIP技术规范和病种</w:t>
            </w:r>
            <w:r>
              <w:rPr>
                <w:rFonts w:hint="eastAsia" w:ascii="仿宋_GB2312" w:hAnsi="仿宋_GB2312" w:eastAsia="仿宋_GB2312" w:cs="仿宋_GB2312"/>
                <w:szCs w:val="32"/>
                <w:lang w:eastAsia="zh-CN"/>
              </w:rPr>
              <w:t>目录</w:t>
            </w:r>
            <w:r>
              <w:rPr>
                <w:rFonts w:hint="eastAsia" w:ascii="仿宋_GB2312" w:hAnsi="仿宋_GB2312" w:eastAsia="仿宋_GB2312" w:cs="仿宋_GB2312"/>
                <w:szCs w:val="32"/>
              </w:rPr>
              <w:t>库，形成本地化的DIP病种目录库，加强基础数据测算和质量控制，不断提高DIP付费精准度和医疗机构接受度。</w:t>
            </w:r>
          </w:p>
          <w:p>
            <w:pPr>
              <w:spacing w:line="4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4.根据DIP付费工作需要，改造医保业务管理子系统，实行统一业务系统管理标准规范。</w:t>
            </w:r>
          </w:p>
          <w:p>
            <w:pPr>
              <w:spacing w:line="48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5.建立监管指标体系和大数据监管机制。加强对DIP运行情况的量化评估，促进医疗服务透明化，严厉查处高套编码、冲点数等违规行为。加强重点病种监测，确保医疗质量。</w:t>
            </w:r>
          </w:p>
          <w:p>
            <w:pPr>
              <w:adjustRightInd w:val="0"/>
              <w:snapToGrid w:val="0"/>
              <w:spacing w:line="490" w:lineRule="exact"/>
              <w:ind w:firstLine="632" w:firstLineChars="200"/>
              <w:rPr>
                <w:color w:val="000000"/>
              </w:rPr>
            </w:pPr>
            <w:r>
              <w:rPr>
                <w:rFonts w:hint="eastAsia" w:ascii="仿宋_GB2312" w:hAnsi="仿宋_GB2312" w:eastAsia="仿宋_GB2312" w:cs="仿宋_GB2312"/>
                <w:szCs w:val="32"/>
              </w:rPr>
              <w:t>6.开展支付方式绩效考核，引导医疗机构主动控制成本，严控目录外不合理费用增长。</w:t>
            </w:r>
          </w:p>
        </w:tc>
      </w:tr>
    </w:tbl>
    <w:p>
      <w:pPr>
        <w:spacing w:line="579" w:lineRule="exact"/>
        <w:ind w:firstLine="632" w:firstLineChars="200"/>
        <w:rPr>
          <w:rFonts w:ascii="Times New Roman" w:hAnsi="Times New Roman" w:eastAsia="仿宋_GB2312"/>
          <w:szCs w:val="32"/>
        </w:rPr>
      </w:pPr>
      <w:r>
        <w:rPr>
          <w:rFonts w:hint="eastAsia" w:ascii="仿宋_GB2312" w:hAnsi="仿宋_GB2312" w:eastAsia="仿宋_GB2312" w:cs="仿宋_GB2312"/>
          <w:b/>
          <w:bCs/>
          <w:szCs w:val="32"/>
        </w:rPr>
        <w:t>建立健全医保支付谈判协商机制。</w:t>
      </w:r>
      <w:r>
        <w:rPr>
          <w:rFonts w:hint="eastAsia" w:ascii="仿宋_GB2312" w:hAnsi="仿宋_GB2312" w:eastAsia="仿宋_GB2312" w:cs="仿宋_GB2312"/>
          <w:szCs w:val="32"/>
        </w:rPr>
        <w:t>平衡医保基金和医疗服务机构利益，健全医保经办机构与医疗机构之间的协商谈判机制，构建多方利益趋同的新型服务供需格局。完善“以收定支、收支平衡、略有结余”的总额预算编制机制，</w:t>
      </w:r>
      <w:r>
        <w:rPr>
          <w:rFonts w:hint="eastAsia" w:ascii="仿宋_GB2312" w:hAnsi="仿宋_GB2312" w:eastAsia="仿宋_GB2312" w:cs="仿宋_GB2312"/>
          <w:szCs w:val="32"/>
          <w:lang w:eastAsia="zh-CN"/>
        </w:rPr>
        <w:t>深化</w:t>
      </w:r>
      <w:r>
        <w:rPr>
          <w:rFonts w:hint="eastAsia" w:ascii="仿宋_GB2312" w:hAnsi="仿宋_GB2312" w:eastAsia="仿宋_GB2312" w:cs="仿宋_GB2312"/>
          <w:szCs w:val="32"/>
        </w:rPr>
        <w:t>住院与门诊、</w:t>
      </w:r>
      <w:r>
        <w:rPr>
          <w:rFonts w:hint="eastAsia" w:ascii="仿宋_GB2312" w:hAnsi="仿宋_GB2312" w:eastAsia="仿宋_GB2312" w:cs="仿宋_GB2312"/>
          <w:szCs w:val="32"/>
        </w:rPr>
        <w:t>药品（耗材）与医疗服务、统筹区内就医与转外就医等分项预算，健全与医疗质量、协议履行绩效考核结果相挂钩的激励约束机制，规范医保基金预付、结算管理机制。</w:t>
      </w:r>
    </w:p>
    <w:p>
      <w:pPr>
        <w:spacing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b/>
          <w:bCs/>
          <w:szCs w:val="32"/>
        </w:rPr>
        <w:t>加强医保定点医药机构协议管理。</w:t>
      </w:r>
      <w:r>
        <w:rPr>
          <w:rFonts w:hint="eastAsia" w:ascii="仿宋_GB2312" w:hAnsi="仿宋_GB2312" w:eastAsia="仿宋_GB2312" w:cs="仿宋_GB2312"/>
          <w:szCs w:val="32"/>
        </w:rPr>
        <w:t>落实国家和省定点医疗机构、定点药店管理办法，加强医保协议管理，完善配套政策措施，优化医药机构定点申请、专业评估、协商谈判程序，优化医保定点医药机构布局，将更多符合条件的</w:t>
      </w:r>
      <w:r>
        <w:rPr>
          <w:rFonts w:hint="eastAsia" w:ascii="仿宋_GB2312" w:hAnsi="仿宋_GB2312" w:eastAsia="仿宋_GB2312" w:cs="仿宋_GB2312"/>
          <w:szCs w:val="32"/>
          <w:lang w:eastAsia="zh-CN"/>
        </w:rPr>
        <w:t>医药机构</w:t>
      </w:r>
      <w:r>
        <w:rPr>
          <w:rFonts w:hint="eastAsia" w:ascii="仿宋_GB2312" w:hAnsi="仿宋_GB2312" w:eastAsia="仿宋_GB2312" w:cs="仿宋_GB2312"/>
          <w:szCs w:val="32"/>
        </w:rPr>
        <w:t>纳入定点管理。</w:t>
      </w:r>
      <w:r>
        <w:rPr>
          <w:rFonts w:hint="eastAsia" w:ascii="仿宋_GB2312" w:hAnsi="仿宋_GB2312" w:eastAsia="仿宋_GB2312" w:cs="仿宋_GB2312"/>
          <w:szCs w:val="32"/>
          <w:lang w:eastAsia="zh-CN"/>
        </w:rPr>
        <w:t>执行</w:t>
      </w:r>
      <w:r>
        <w:rPr>
          <w:rFonts w:hint="eastAsia" w:ascii="仿宋_GB2312" w:hAnsi="仿宋_GB2312" w:eastAsia="仿宋_GB2312" w:cs="仿宋_GB2312"/>
          <w:szCs w:val="32"/>
        </w:rPr>
        <w:t>定点医药机构履行协议考核办法，突出行为规范、服务质量和费用控制考核评价</w:t>
      </w:r>
      <w:r>
        <w:rPr>
          <w:rFonts w:hint="eastAsia" w:ascii="仿宋_GB2312" w:hAnsi="仿宋_GB2312" w:eastAsia="仿宋_GB2312" w:cs="仿宋_GB2312"/>
          <w:szCs w:val="32"/>
          <w:lang w:eastAsia="zh-CN"/>
        </w:rPr>
        <w:t>，落实定点医药机构退出机制</w:t>
      </w:r>
      <w:r>
        <w:rPr>
          <w:rFonts w:hint="eastAsia" w:ascii="仿宋_GB2312" w:hAnsi="仿宋_GB2312" w:eastAsia="仿宋_GB2312" w:cs="仿宋_GB2312"/>
          <w:szCs w:val="32"/>
        </w:rPr>
        <w:t>。</w:t>
      </w:r>
      <w:r>
        <w:rPr>
          <w:rFonts w:hint="eastAsia" w:ascii="仿宋_GB2312" w:hAnsi="仿宋_GB2312" w:eastAsia="仿宋_GB2312" w:cs="仿宋_GB2312"/>
          <w:szCs w:val="32"/>
        </w:rPr>
        <w:t>支持“互联网+医疗”等新服务模式发展，推行医保协议网上签约，完善</w:t>
      </w:r>
      <w:r>
        <w:rPr>
          <w:rFonts w:ascii="仿宋_GB2312" w:hAnsi="仿宋_GB2312" w:eastAsia="仿宋_GB2312" w:cs="仿宋_GB2312"/>
          <w:szCs w:val="32"/>
        </w:rPr>
        <w:t>“互联网+医保”服务管理，探索符合“互联网+医保”特点的协议管理机制。</w:t>
      </w:r>
      <w:r>
        <w:rPr>
          <w:rFonts w:hint="eastAsia" w:ascii="仿宋_GB2312" w:hAnsi="仿宋_GB2312" w:eastAsia="仿宋_GB2312" w:cs="仿宋_GB2312"/>
          <w:szCs w:val="32"/>
        </w:rPr>
        <w:t>健全医药机构与经办机构之间的信息沟通机制，促进医保管理精细化</w:t>
      </w:r>
      <w:r>
        <w:rPr>
          <w:rFonts w:ascii="仿宋_GB2312" w:hAnsi="仿宋_GB2312" w:eastAsia="仿宋_GB2312" w:cs="仿宋_GB2312"/>
          <w:szCs w:val="32"/>
        </w:rPr>
        <w:t>。</w:t>
      </w:r>
    </w:p>
    <w:p>
      <w:pPr>
        <w:spacing w:line="560" w:lineRule="exact"/>
        <w:ind w:firstLine="632" w:firstLineChars="200"/>
        <w:rPr>
          <w:rFonts w:hint="eastAsia" w:ascii="楷体_GB2312" w:hAnsi="楷体" w:eastAsia="楷体_GB2312" w:cs="楷体_GB2312"/>
          <w:bCs/>
          <w:color w:val="000000"/>
          <w:szCs w:val="32"/>
        </w:rPr>
      </w:pPr>
      <w:r>
        <w:rPr>
          <w:rFonts w:hint="eastAsia" w:ascii="楷体_GB2312" w:hAnsi="楷体" w:eastAsia="楷体_GB2312" w:cs="楷体_GB2312"/>
          <w:bCs/>
          <w:color w:val="000000"/>
          <w:szCs w:val="32"/>
        </w:rPr>
        <w:t>（二）完善医药价格形成机制</w:t>
      </w:r>
    </w:p>
    <w:p>
      <w:pPr>
        <w:spacing w:line="560" w:lineRule="exact"/>
        <w:ind w:firstLine="632" w:firstLineChars="200"/>
        <w:rPr>
          <w:color w:val="000000"/>
        </w:rPr>
      </w:pPr>
      <w:r>
        <w:rPr>
          <w:rFonts w:hint="eastAsia" w:ascii="仿宋_GB2312" w:hAnsi="仿宋_GB2312" w:eastAsia="仿宋_GB2312" w:cs="仿宋_GB2312"/>
          <w:b/>
          <w:bCs/>
          <w:szCs w:val="32"/>
        </w:rPr>
        <w:t>推进药品和耗材集中带量采购工作。</w:t>
      </w:r>
      <w:r>
        <w:rPr>
          <w:rFonts w:hint="eastAsia" w:ascii="仿宋_GB2312" w:hAnsi="仿宋_GB2312" w:eastAsia="仿宋_GB2312" w:cs="仿宋_GB2312"/>
          <w:szCs w:val="32"/>
        </w:rPr>
        <w:t>认真贯彻落实国家和省药品、医用耗材集中采购政策，按照省统一部署，完善药械集中采购管理和医保支付标准、医保资金结余留用与集中采购价格协同机制，2025年各类医疗机构主要常用药品和高值医用耗材实现应采尽采，推动集中带量采购成为主导模式，推进集中带量采购常态化、制度化。指导定点医疗机构集中采购工作，用好降低药品耗材费用而增加的可支配收入。推进建立医保基金与医药企业直接结算机制。</w:t>
      </w:r>
    </w:p>
    <w:p>
      <w:pPr>
        <w:spacing w:line="579" w:lineRule="exact"/>
        <w:ind w:firstLine="632" w:firstLineChars="200"/>
        <w:rPr>
          <w:rFonts w:ascii="仿宋_GB2312" w:hAnsi="仿宋_GB2312" w:eastAsia="仿宋_GB2312" w:cs="仿宋_GB2312"/>
          <w:szCs w:val="32"/>
        </w:rPr>
      </w:pPr>
      <w:r>
        <w:rPr>
          <w:rFonts w:hint="eastAsia" w:ascii="仿宋_GB2312" w:hAnsi="仿宋" w:eastAsia="仿宋_GB2312" w:cs="仿宋_GB2312"/>
          <w:b/>
          <w:bCs/>
          <w:color w:val="000000"/>
          <w:szCs w:val="32"/>
        </w:rPr>
        <w:t>深化医药服务价格改革。</w:t>
      </w:r>
      <w:r>
        <w:rPr>
          <w:rFonts w:hint="eastAsia" w:ascii="仿宋_GB2312" w:hAnsi="仿宋_GB2312" w:eastAsia="仿宋_GB2312" w:cs="仿宋_GB2312"/>
          <w:szCs w:val="32"/>
        </w:rPr>
        <w:t>加强医疗服务价格宏观管理，进一步完善医疗服务价格动态调整机制，适时开展调价评估，促进医疗服务结构优化。优化新增医疗服务项目价格管理，保障患者及时获得更具临床价值、更有成本效益的医疗服务。建立定点医疗机构药品和医用耗材采购价格信息监测机制，借助信息化手段实施医药价格监测。</w:t>
      </w:r>
    </w:p>
    <w:p>
      <w:pPr>
        <w:spacing w:line="58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（三）优化医药服务供给体系</w:t>
      </w:r>
    </w:p>
    <w:p>
      <w:pPr>
        <w:spacing w:line="579" w:lineRule="exact"/>
        <w:ind w:firstLine="632" w:firstLineChars="200"/>
        <w:rPr>
          <w:rFonts w:hint="eastAsia" w:ascii="仿宋_GB2312" w:hAnsi="仿宋_GB2312" w:eastAsia="仿宋_GB2312" w:cs="仿宋_GB2312"/>
          <w:szCs w:val="32"/>
        </w:rPr>
      </w:pPr>
      <w:r>
        <w:rPr>
          <w:rFonts w:hint="eastAsia" w:ascii="仿宋_GB2312" w:hAnsi="仿宋" w:eastAsia="仿宋_GB2312" w:cs="仿宋_GB2312"/>
          <w:b/>
          <w:bCs/>
          <w:color w:val="000000"/>
          <w:szCs w:val="32"/>
        </w:rPr>
        <w:t>增强医药服务可及性。</w:t>
      </w:r>
      <w:r>
        <w:rPr>
          <w:rFonts w:hint="eastAsia" w:ascii="仿宋_GB2312" w:hAnsi="仿宋_GB2312" w:eastAsia="仿宋_GB2312" w:cs="仿宋_GB2312"/>
          <w:szCs w:val="32"/>
        </w:rPr>
        <w:t>进一步优化医疗资源布局，支</w:t>
      </w:r>
      <w:r>
        <w:rPr>
          <w:rFonts w:hint="eastAsia" w:ascii="仿宋_GB2312" w:hAnsi="仿宋_GB2312" w:eastAsia="仿宋_GB2312" w:cs="仿宋_GB2312"/>
          <w:szCs w:val="32"/>
        </w:rPr>
        <w:t>持大型公立医疗机构在县乡建设分支机构，支持县级医院紧密型医共体建设。发挥医保支付政策杠杆作用，完善县域医共体医保总额管理机制，健全与分级诊疗制度建设相结合的支付机制，激励基层医疗机构提供优质医疗服务和全面健康管理，引导群众有序就医。支持护理、儿科、老年科、精神科等紧缺专业提升医疗服务能力。支持零售药店利用省级药品处方共享平台，为患者提供药品保障。建立药品使用监测机制，落实医保谈判药品使用政策，引导定点医药机构优先配备使用医保目录内药品、</w:t>
      </w:r>
      <w:r>
        <w:rPr>
          <w:rFonts w:hint="eastAsia" w:ascii="仿宋_GB2312" w:hAnsi="仿宋_GB2312" w:eastAsia="仿宋_GB2312" w:cs="仿宋_GB2312"/>
          <w:szCs w:val="32"/>
          <w:lang w:eastAsia="zh-CN"/>
        </w:rPr>
        <w:t>国家</w:t>
      </w:r>
      <w:r>
        <w:rPr>
          <w:rFonts w:hint="eastAsia" w:ascii="仿宋_GB2312" w:hAnsi="仿宋_GB2312" w:eastAsia="仿宋_GB2312" w:cs="仿宋_GB2312"/>
          <w:szCs w:val="32"/>
        </w:rPr>
        <w:t>基本药物、集中带量采购药品。</w:t>
      </w:r>
    </w:p>
    <w:p>
      <w:pPr>
        <w:spacing w:line="579" w:lineRule="exact"/>
        <w:ind w:firstLine="632" w:firstLineChars="200"/>
        <w:rPr>
          <w:rFonts w:hint="eastAsia" w:ascii="仿宋_GB2312" w:hAnsi="仿宋_GB2312" w:eastAsia="仿宋_GB2312" w:cs="仿宋_GB2312"/>
          <w:szCs w:val="32"/>
        </w:rPr>
      </w:pPr>
      <w:r>
        <w:rPr>
          <w:rFonts w:hint="eastAsia" w:ascii="仿宋_GB2312" w:hAnsi="仿宋" w:eastAsia="仿宋_GB2312" w:cs="仿宋_GB2312"/>
          <w:b/>
          <w:bCs/>
          <w:color w:val="000000"/>
          <w:szCs w:val="32"/>
        </w:rPr>
        <w:t>促进医疗服务供给质量提升。</w:t>
      </w:r>
      <w:r>
        <w:rPr>
          <w:rFonts w:hint="eastAsia" w:ascii="仿宋_GB2312" w:hAnsi="仿宋_GB2312" w:eastAsia="仿宋_GB2312" w:cs="仿宋_GB2312"/>
          <w:szCs w:val="32"/>
        </w:rPr>
        <w:t>完善医疗机构考核评价体系，强化政府投入与公立医疗机构绩效考核结果挂钩机制，激励医疗机构提升医疗服务质量和效率，强化医疗、医保、医药政策联动，严格落实资源配置调控、医务人员诊疗行为监管，有效提升医疗服务供给能力。促进医疗机构内部专业化、精细化管理，促进定点医药机构行业行为规范、成本控制和行业自律，完善适应医保支付的医疗机构医保管理制度。</w:t>
      </w:r>
    </w:p>
    <w:p>
      <w:pPr>
        <w:spacing w:line="579" w:lineRule="exact"/>
        <w:ind w:firstLine="632" w:firstLineChars="200"/>
        <w:rPr>
          <w:rFonts w:ascii="仿宋_GB2312" w:hAnsi="仿宋_GB2312" w:eastAsia="仿宋_GB2312" w:cs="仿宋_GB2312"/>
          <w:szCs w:val="32"/>
        </w:rPr>
      </w:pPr>
      <w:r>
        <w:rPr>
          <w:rFonts w:hint="eastAsia" w:ascii="仿宋_GB2312" w:hAnsi="仿宋" w:eastAsia="仿宋_GB2312" w:cs="仿宋_GB2312"/>
          <w:b/>
          <w:bCs/>
          <w:color w:val="000000"/>
          <w:szCs w:val="32"/>
        </w:rPr>
        <w:t>支持中医药振兴发展。</w:t>
      </w:r>
      <w:r>
        <w:rPr>
          <w:rFonts w:hint="eastAsia" w:ascii="仿宋_GB2312" w:hAnsi="仿宋_GB2312" w:eastAsia="仿宋_GB2312" w:cs="仿宋_GB2312"/>
          <w:szCs w:val="32"/>
        </w:rPr>
        <w:t>有序引导社会力量举办中医医疗机构，将符合条件的中医医疗机构按规定纳入医保定点范围。按省统一部署，将适宜的中药制剂和中医医疗服务项目纳入医保支付范围。配合完善医保和中医药价格政策，优化中医医疗服务价格结构，体现临床价值、中医特色服务价值和医务人员技术劳务价值。健全完善符合中医药特点的医保支付政策和支付方式，继续推进中医优势病种按病种收付费改革,开展中医病种日间病房医保结算工作。</w:t>
      </w:r>
    </w:p>
    <w:p>
      <w:pPr>
        <w:spacing w:line="58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（四）健全医保基金监管体制机制</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严厉打击各类欺诈骗保。</w:t>
      </w:r>
      <w:r>
        <w:rPr>
          <w:rFonts w:hint="eastAsia" w:ascii="仿宋_GB2312" w:hAnsi="仿宋" w:eastAsia="仿宋_GB2312" w:cs="仿宋_GB2312"/>
          <w:color w:val="000000"/>
          <w:szCs w:val="32"/>
        </w:rPr>
        <w:t>将维护医保基金安全作为医疗保障部门首要职责，把严厉打击欺诈骗保作为首要任务。全面开展专项治理，坚持集中整治与日常监管相结合，推进常态化、规范化、制度化监管。</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加强基金运行风险管控。</w:t>
      </w:r>
      <w:r>
        <w:rPr>
          <w:rFonts w:hint="eastAsia" w:ascii="仿宋_GB2312" w:hAnsi="仿宋" w:eastAsia="仿宋_GB2312" w:cs="仿宋_GB2312"/>
          <w:color w:val="000000"/>
          <w:szCs w:val="32"/>
        </w:rPr>
        <w:t>建立健全医疗保障基金安全防控机制。强化医保基金收支预决算管理，探索建立医保基金支付政策风险评估制度。强化医保经办基金管理和稽核内控职责，贯彻落实医疗保障基金管理内部控制制度、全市医疗保障基金风险预警办法。</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完善基金监管制度。</w:t>
      </w:r>
      <w:r>
        <w:rPr>
          <w:rFonts w:hint="eastAsia" w:ascii="仿宋_GB2312" w:hAnsi="仿宋" w:eastAsia="仿宋_GB2312" w:cs="仿宋_GB2312"/>
          <w:color w:val="000000"/>
          <w:szCs w:val="32"/>
        </w:rPr>
        <w:t>积极推进《医疗保障基金使用监督管理条例》的学习宣传贯彻</w:t>
      </w:r>
      <w:r>
        <w:rPr>
          <w:rFonts w:hint="eastAsia" w:ascii="仿宋_GB2312" w:hAnsi="仿宋" w:eastAsia="仿宋_GB2312" w:cs="仿宋_GB2312"/>
          <w:color w:val="000000"/>
          <w:szCs w:val="32"/>
          <w:lang w:eastAsia="zh-CN"/>
        </w:rPr>
        <w:t>，认真落实《山东省打击欺诈骗取医疗保障基金行为举报奖励实施细则》和省医疗保障基金监督管理政策</w:t>
      </w:r>
      <w:r>
        <w:rPr>
          <w:rFonts w:hint="eastAsia" w:ascii="仿宋_GB2312" w:hAnsi="仿宋" w:eastAsia="仿宋_GB2312" w:cs="仿宋_GB2312"/>
          <w:color w:val="000000"/>
          <w:szCs w:val="32"/>
        </w:rPr>
        <w:t>。</w:t>
      </w:r>
      <w:r>
        <w:rPr>
          <w:rFonts w:hint="eastAsia" w:ascii="仿宋_GB2312" w:hAnsi="仿宋" w:eastAsia="仿宋_GB2312" w:cs="仿宋_GB2312"/>
          <w:color w:val="000000"/>
          <w:szCs w:val="32"/>
        </w:rPr>
        <w:t>健全市级基金监管专家库，提升市级直接查办和抽查复查办案能力。加强基层基金监管人员岗位培训。积极创新监管方式，引入社会力量参与监管。</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加强基金收支管理和运行分析。</w:t>
      </w:r>
      <w:r>
        <w:rPr>
          <w:rFonts w:hint="eastAsia" w:ascii="仿宋_GB2312" w:hAnsi="仿宋" w:eastAsia="仿宋_GB2312" w:cs="仿宋_GB2312"/>
          <w:color w:val="000000"/>
          <w:szCs w:val="32"/>
        </w:rPr>
        <w:t>健全完善市、县（区）医保基金运行月快报、季报、半年报、年报制度。贯彻落实国家、省医保局关于加强医疗保险精算工作要求，运用精算和大数据分析等技术，编制《医疗保险基金运行简报》、医保基金年度精算报告、医疗救助专题报告、长期护理保险专题报告，为政策制定和决策提供参考。</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推进诚信体系建设。</w:t>
      </w:r>
      <w:r>
        <w:rPr>
          <w:rFonts w:hint="eastAsia" w:ascii="仿宋_GB2312" w:hAnsi="仿宋" w:eastAsia="仿宋_GB2312" w:cs="仿宋_GB2312"/>
          <w:color w:val="000000"/>
          <w:szCs w:val="32"/>
        </w:rPr>
        <w:t>重点探索诚信体系建设相关标准、规范和指标体系，相关信息采集、评分和运用等内容。探索医保监管诚信体系建设路径，为推广普及奠定基础。积极推动将医</w:t>
      </w:r>
      <w:r>
        <w:rPr>
          <w:rFonts w:hint="eastAsia" w:ascii="仿宋_GB2312" w:hAnsi="仿宋" w:eastAsia="仿宋_GB2312" w:cs="仿宋_GB2312"/>
          <w:color w:val="000000"/>
          <w:szCs w:val="32"/>
        </w:rPr>
        <w:t>疗保障领域欺诈骗保行为纳入信用管理体系，建立失信惩戒制度，发挥联合惩戒威慑力。推进行业自律。鼓励并促进公立医疗机构、非公立医疗机构、零售药店、医师等开展行业规范和自律建设</w:t>
      </w:r>
      <w:r>
        <w:rPr>
          <w:rFonts w:hint="eastAsia" w:ascii="仿宋_GB2312" w:hAnsi="仿宋" w:eastAsia="仿宋_GB2312" w:cs="仿宋_GB2312"/>
          <w:color w:val="000000"/>
          <w:szCs w:val="32"/>
        </w:rPr>
        <w:t>，制定自律公约，促进行业自我规范和自我约束，参与诚信体系建设，提升行业诚信水平。</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推进综合监管建立工作机制。</w:t>
      </w:r>
      <w:r>
        <w:rPr>
          <w:rFonts w:hint="eastAsia" w:ascii="仿宋_GB2312" w:hAnsi="仿宋" w:eastAsia="仿宋_GB2312" w:cs="仿宋_GB2312"/>
          <w:color w:val="000000"/>
          <w:szCs w:val="32"/>
        </w:rPr>
        <w:t>加强协调沟通，积极争取卫生健康、公安、市场监管、审计、财政等部门支持，建立健全综合监管协调机制，统筹推进医疗保障基金监管的协调指导和重大案件查处等工作。对疑似违法违规案件，积极商</w:t>
      </w:r>
      <w:r>
        <w:rPr>
          <w:rFonts w:hint="eastAsia" w:ascii="仿宋_GB2312" w:hAnsi="仿宋" w:eastAsia="仿宋_GB2312" w:cs="仿宋_GB2312"/>
          <w:color w:val="000000"/>
          <w:szCs w:val="32"/>
        </w:rPr>
        <w:t>请公安、卫生健康、市场监管等部门参与查处</w:t>
      </w:r>
      <w:r>
        <w:rPr>
          <w:rFonts w:hint="eastAsia" w:ascii="仿宋_GB2312" w:hAnsi="仿宋" w:eastAsia="仿宋_GB2312" w:cs="仿宋_GB2312"/>
          <w:color w:val="000000"/>
          <w:szCs w:val="32"/>
          <w:lang w:eastAsia="zh-CN"/>
        </w:rPr>
        <w:t>，建立健全医保基金监管问题线索向纪检监察机关移送机制，强化基金使用的监督考核与执纪问责</w:t>
      </w:r>
      <w:r>
        <w:rPr>
          <w:rFonts w:hint="eastAsia" w:ascii="仿宋_GB2312" w:hAnsi="仿宋" w:eastAsia="仿宋_GB2312" w:cs="仿宋_GB2312"/>
          <w:color w:val="000000"/>
          <w:szCs w:val="32"/>
        </w:rPr>
        <w:t>；对查实的违规违法线索，及时通报辖区内相关部门，严肃追究违法违规单位和个人责任。涉嫌犯罪的，及时移送司法</w:t>
      </w:r>
      <w:r>
        <w:rPr>
          <w:rFonts w:hint="eastAsia" w:ascii="仿宋_GB2312" w:hAnsi="仿宋" w:eastAsia="仿宋_GB2312" w:cs="仿宋_GB2312"/>
          <w:color w:val="000000"/>
          <w:szCs w:val="32"/>
        </w:rPr>
        <w:t>机关。</w:t>
      </w:r>
    </w:p>
    <w:p>
      <w:pPr>
        <w:pStyle w:val="8"/>
        <w:ind w:left="0" w:leftChars="0" w:firstLine="632"/>
        <w:rPr>
          <w:rFonts w:hint="eastAsia" w:ascii="仿宋_GB2312" w:hAnsi="仿宋" w:eastAsia="仿宋_GB2312" w:cs="仿宋_GB2312"/>
          <w:color w:val="FF0000"/>
          <w:szCs w:val="32"/>
        </w:rPr>
      </w:pPr>
      <w:r>
        <w:rPr>
          <w:rFonts w:hint="eastAsia" w:ascii="仿宋_GB2312" w:hAnsi="仿宋" w:eastAsia="仿宋_GB2312" w:cs="仿宋_GB2312"/>
          <w:b/>
          <w:bCs/>
          <w:color w:val="000000"/>
          <w:szCs w:val="32"/>
        </w:rPr>
        <w:t>积极争创国家及山东省基金监管方式创新试点、基金监管信用体系建设试点和医保智能监控示范点（简称“两试点一示范”）建设。</w:t>
      </w:r>
      <w:r>
        <w:rPr>
          <w:rFonts w:hint="eastAsia" w:ascii="仿宋_GB2312" w:hAnsi="仿宋" w:eastAsia="仿宋_GB2312" w:cs="仿宋_GB2312"/>
          <w:color w:val="000000"/>
          <w:szCs w:val="32"/>
        </w:rPr>
        <w:t>积极推动形成可推广、可复制的医保基金监管先进经验。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noWrap w:val="0"/>
            <w:vAlign w:val="top"/>
          </w:tcPr>
          <w:p>
            <w:pPr>
              <w:spacing w:line="580" w:lineRule="exact"/>
              <w:jc w:val="center"/>
              <w:rPr>
                <w:rFonts w:ascii="黑体" w:hAnsi="黑体" w:eastAsia="黑体"/>
                <w:color w:val="000000"/>
                <w:sz w:val="24"/>
                <w:szCs w:val="24"/>
              </w:rPr>
            </w:pPr>
            <w:r>
              <w:rPr>
                <w:rFonts w:hint="eastAsia" w:ascii="黑体" w:hAnsi="黑体" w:eastAsia="黑体" w:cs="黑体"/>
                <w:color w:val="000000"/>
                <w:sz w:val="24"/>
                <w:szCs w:val="24"/>
              </w:rPr>
              <w:t>专栏</w:t>
            </w:r>
            <w:r>
              <w:rPr>
                <w:rFonts w:ascii="黑体" w:hAnsi="黑体" w:eastAsia="黑体" w:cs="黑体"/>
                <w:color w:val="000000"/>
                <w:sz w:val="24"/>
                <w:szCs w:val="24"/>
              </w:rPr>
              <w:t xml:space="preserve"> </w:t>
            </w:r>
            <w:r>
              <w:rPr>
                <w:rFonts w:hint="eastAsia" w:ascii="黑体" w:hAnsi="黑体" w:eastAsia="黑体" w:cs="黑体"/>
                <w:color w:val="000000"/>
                <w:sz w:val="24"/>
                <w:szCs w:val="24"/>
                <w:lang w:val="en-US" w:eastAsia="zh-CN"/>
              </w:rPr>
              <w:t>3</w:t>
            </w:r>
            <w:r>
              <w:rPr>
                <w:rFonts w:ascii="黑体" w:hAnsi="黑体" w:eastAsia="黑体" w:cs="黑体"/>
                <w:color w:val="000000"/>
                <w:sz w:val="24"/>
                <w:szCs w:val="24"/>
              </w:rPr>
              <w:t xml:space="preserve">  </w:t>
            </w:r>
            <w:r>
              <w:rPr>
                <w:rFonts w:hint="eastAsia" w:ascii="黑体" w:hAnsi="黑体" w:eastAsia="黑体" w:cs="黑体"/>
                <w:color w:val="000000"/>
                <w:sz w:val="24"/>
                <w:szCs w:val="24"/>
              </w:rPr>
              <w:t>医保基金监管能力提升工程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noWrap w:val="0"/>
            <w:vAlign w:val="top"/>
          </w:tcPr>
          <w:p>
            <w:pPr>
              <w:adjustRightInd w:val="0"/>
              <w:snapToGrid w:val="0"/>
              <w:spacing w:line="48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1.</w:t>
            </w:r>
            <w:r>
              <w:rPr>
                <w:rFonts w:hint="eastAsia" w:ascii="仿宋_GB2312" w:hAnsi="仿宋_GB2312" w:eastAsia="仿宋_GB2312" w:cs="仿宋_GB2312"/>
                <w:b/>
                <w:bCs/>
                <w:color w:val="000000"/>
                <w:sz w:val="24"/>
                <w:szCs w:val="24"/>
              </w:rPr>
              <w:t>医保监控智能化。</w:t>
            </w:r>
            <w:r>
              <w:rPr>
                <w:rFonts w:hint="eastAsia" w:ascii="仿宋_GB2312" w:hAnsi="仿宋_GB2312" w:eastAsia="仿宋_GB2312" w:cs="仿宋_GB2312"/>
                <w:color w:val="000000"/>
                <w:sz w:val="24"/>
                <w:szCs w:val="24"/>
              </w:rPr>
              <w:t>以智能监管子系统为依托，应用大数据手段，实施全方位、全环节、全流程、无死角监控。开展药品、医用耗材进销存实时监控，推广视频监控、生物特征识别等技术应用，将异地就医、购药直接结算纳入智能监控范围。</w:t>
            </w:r>
          </w:p>
          <w:p>
            <w:pPr>
              <w:adjustRightInd w:val="0"/>
              <w:snapToGrid w:val="0"/>
              <w:spacing w:line="48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2.</w:t>
            </w:r>
            <w:r>
              <w:rPr>
                <w:rFonts w:hint="eastAsia" w:ascii="仿宋_GB2312" w:hAnsi="仿宋_GB2312" w:eastAsia="仿宋_GB2312" w:cs="仿宋_GB2312"/>
                <w:b/>
                <w:bCs/>
                <w:color w:val="000000"/>
                <w:sz w:val="24"/>
                <w:szCs w:val="24"/>
              </w:rPr>
              <w:t>监控规则标准化。</w:t>
            </w:r>
            <w:r>
              <w:rPr>
                <w:rFonts w:hint="eastAsia" w:ascii="仿宋_GB2312" w:hAnsi="仿宋_GB2312" w:eastAsia="仿宋_GB2312" w:cs="仿宋_GB2312"/>
                <w:color w:val="000000"/>
                <w:sz w:val="24"/>
                <w:szCs w:val="24"/>
              </w:rPr>
              <w:t>完善基础信息标准库、临床指南等医学知识库、智能监控规则库，加快智能监管子系统落地应用。</w:t>
            </w:r>
          </w:p>
          <w:p>
            <w:pPr>
              <w:adjustRightInd w:val="0"/>
              <w:snapToGrid w:val="0"/>
              <w:spacing w:line="48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3.</w:t>
            </w:r>
            <w:r>
              <w:rPr>
                <w:rFonts w:hint="eastAsia" w:ascii="仿宋_GB2312" w:hAnsi="仿宋_GB2312" w:eastAsia="仿宋_GB2312" w:cs="仿宋_GB2312"/>
                <w:b/>
                <w:bCs/>
                <w:color w:val="000000"/>
                <w:sz w:val="24"/>
                <w:szCs w:val="24"/>
              </w:rPr>
              <w:t>执法检查规范化。</w:t>
            </w:r>
            <w:r>
              <w:rPr>
                <w:rFonts w:hint="eastAsia" w:ascii="仿宋_GB2312" w:hAnsi="仿宋_GB2312" w:eastAsia="仿宋_GB2312" w:cs="仿宋_GB2312"/>
                <w:color w:val="000000"/>
                <w:sz w:val="24"/>
                <w:szCs w:val="24"/>
              </w:rPr>
              <w:t>健全日常监管工作机制，每年对两定机构开展现场检查。加强执法人员配备，强化执法技术手段，开展监督检查能力培训，推进监管队伍专业化、规范化建设。</w:t>
            </w:r>
          </w:p>
          <w:p>
            <w:pPr>
              <w:adjustRightInd w:val="0"/>
              <w:snapToGrid w:val="0"/>
              <w:spacing w:line="48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4.</w:t>
            </w:r>
            <w:r>
              <w:rPr>
                <w:rFonts w:hint="eastAsia" w:ascii="仿宋_GB2312" w:hAnsi="仿宋_GB2312" w:eastAsia="仿宋_GB2312" w:cs="仿宋_GB2312"/>
                <w:b/>
                <w:bCs/>
                <w:color w:val="000000"/>
                <w:sz w:val="24"/>
                <w:szCs w:val="24"/>
              </w:rPr>
              <w:t>飞行检查常态化。</w:t>
            </w:r>
            <w:r>
              <w:rPr>
                <w:rFonts w:hint="eastAsia" w:ascii="仿宋_GB2312" w:hAnsi="仿宋_GB2312" w:eastAsia="仿宋_GB2312" w:cs="仿宋_GB2312"/>
                <w:color w:val="000000"/>
                <w:sz w:val="24"/>
                <w:szCs w:val="24"/>
              </w:rPr>
              <w:t>市和县两级医保部门，联合相关部门组织开展飞行检查，飞行检查随机抽查范围覆盖全市。</w:t>
            </w:r>
          </w:p>
          <w:p>
            <w:pPr>
              <w:adjustRightInd w:val="0"/>
              <w:snapToGrid w:val="0"/>
              <w:spacing w:line="480" w:lineRule="exact"/>
              <w:ind w:firstLine="472" w:firstLineChars="200"/>
              <w:rPr>
                <w:rFonts w:ascii="仿宋_GB2312" w:hAnsi="仿宋_GB2312" w:eastAsia="仿宋_GB2312"/>
                <w:color w:val="000000"/>
                <w:sz w:val="24"/>
                <w:szCs w:val="24"/>
              </w:rPr>
            </w:pPr>
            <w:r>
              <w:rPr>
                <w:rFonts w:ascii="仿宋_GB2312" w:hAnsi="仿宋_GB2312" w:eastAsia="仿宋_GB2312" w:cs="仿宋_GB2312"/>
                <w:b/>
                <w:bCs/>
                <w:color w:val="000000"/>
                <w:sz w:val="24"/>
                <w:szCs w:val="24"/>
              </w:rPr>
              <w:t>5.</w:t>
            </w:r>
            <w:r>
              <w:rPr>
                <w:rFonts w:hint="eastAsia" w:ascii="仿宋_GB2312" w:hAnsi="仿宋_GB2312" w:eastAsia="仿宋_GB2312" w:cs="仿宋_GB2312"/>
                <w:b/>
                <w:bCs/>
                <w:color w:val="000000"/>
                <w:sz w:val="24"/>
                <w:szCs w:val="24"/>
              </w:rPr>
              <w:t>社会监督多元化。</w:t>
            </w:r>
            <w:r>
              <w:rPr>
                <w:rFonts w:hint="eastAsia" w:ascii="仿宋_GB2312" w:hAnsi="仿宋_GB2312" w:eastAsia="仿宋_GB2312" w:cs="仿宋_GB2312"/>
                <w:color w:val="000000"/>
                <w:sz w:val="24"/>
                <w:szCs w:val="24"/>
              </w:rPr>
              <w:t>健全信息披露制度，畅通优化电话、网站、微信等举报渠道，完善举报奖励机制，对查实的实名举报予以奖励。动员社会力量参与监管，强化社会监督员队伍建设。</w:t>
            </w:r>
          </w:p>
        </w:tc>
      </w:tr>
    </w:tbl>
    <w:p>
      <w:pPr>
        <w:spacing w:line="240" w:lineRule="exact"/>
        <w:ind w:firstLine="632" w:firstLineChars="200"/>
        <w:rPr>
          <w:color w:val="000000"/>
        </w:rPr>
      </w:pPr>
    </w:p>
    <w:p>
      <w:pPr>
        <w:spacing w:line="580" w:lineRule="exact"/>
        <w:ind w:firstLine="632" w:firstLineChars="200"/>
        <w:rPr>
          <w:rFonts w:ascii="黑体" w:hAnsi="黑体" w:eastAsia="黑体"/>
          <w:color w:val="000000"/>
          <w:szCs w:val="32"/>
        </w:rPr>
      </w:pPr>
      <w:r>
        <w:rPr>
          <w:rFonts w:hint="eastAsia" w:ascii="黑体" w:hAnsi="黑体" w:eastAsia="黑体" w:cs="黑体"/>
          <w:color w:val="000000"/>
          <w:szCs w:val="32"/>
        </w:rPr>
        <w:t>五、构筑坚实的医疗保障管理服务支撑体系</w:t>
      </w:r>
    </w:p>
    <w:p>
      <w:pPr>
        <w:spacing w:line="560" w:lineRule="exact"/>
        <w:ind w:firstLine="632" w:firstLineChars="200"/>
        <w:rPr>
          <w:rFonts w:ascii="楷体_GB2312" w:hAnsi="楷体" w:eastAsia="楷体_GB2312" w:cs="楷体_GB2312"/>
          <w:bCs/>
          <w:color w:val="000000"/>
          <w:szCs w:val="32"/>
        </w:rPr>
      </w:pPr>
      <w:bookmarkStart w:id="3" w:name="bookmark50"/>
      <w:r>
        <w:rPr>
          <w:rFonts w:ascii="楷体_GB2312" w:hAnsi="楷体" w:eastAsia="楷体_GB2312" w:cs="楷体_GB2312"/>
          <w:bCs/>
          <w:color w:val="000000"/>
          <w:szCs w:val="32"/>
        </w:rPr>
        <w:t>（</w:t>
      </w:r>
      <w:bookmarkEnd w:id="3"/>
      <w:r>
        <w:rPr>
          <w:rFonts w:ascii="楷体_GB2312" w:hAnsi="楷体" w:eastAsia="楷体_GB2312" w:cs="楷体_GB2312"/>
          <w:bCs/>
          <w:color w:val="000000"/>
          <w:szCs w:val="32"/>
        </w:rPr>
        <w:t>一）优化医疗保障公共服务</w:t>
      </w:r>
    </w:p>
    <w:p>
      <w:pPr>
        <w:spacing w:line="580" w:lineRule="exact"/>
        <w:ind w:firstLine="632" w:firstLineChars="200"/>
        <w:rPr>
          <w:rFonts w:hint="eastAsia" w:ascii="仿宋_GB2312" w:hAnsi="仿宋" w:eastAsia="仿宋_GB2312" w:cs="仿宋_GB2312"/>
          <w:color w:val="000000"/>
          <w:szCs w:val="32"/>
        </w:rPr>
      </w:pPr>
      <w:bookmarkStart w:id="4" w:name="bookmark59"/>
      <w:r>
        <w:rPr>
          <w:rFonts w:hint="eastAsia" w:ascii="仿宋_GB2312" w:hAnsi="仿宋" w:eastAsia="仿宋_GB2312" w:cs="仿宋_GB2312"/>
          <w:b/>
          <w:bCs/>
          <w:color w:val="000000"/>
          <w:szCs w:val="32"/>
        </w:rPr>
        <w:t>完善医疗保障经办管理服务体系。</w:t>
      </w:r>
      <w:r>
        <w:rPr>
          <w:rFonts w:hint="eastAsia" w:ascii="仿宋_GB2312" w:hAnsi="仿宋" w:eastAsia="仿宋_GB2312" w:cs="仿宋_GB2312"/>
          <w:color w:val="000000"/>
          <w:szCs w:val="32"/>
        </w:rPr>
        <w:t>加快推进市、县、乡镇（街道）、村（社区）“四位一体”的经办管理体系建设，大力推进服务下沉，实现医保经办服务向基层延伸，将所需经费纳入财政预算，补齐基层医疗保障公共管理服务能力配置短板，提高医疗保障经办管理服务可及性。加快推进医疗机构医疗保障服务体系建设，充分利用医疗机构服务优势和网络，积极推进在医疗机构设立医保服务站。2022年医保便民服务站点覆盖所有的村（社区)。加强标准化建设，统一规范全市医保服务站（点）服务内容清单、服务标准规范，实现医保经办管理服务无缝衔接。</w:t>
      </w:r>
    </w:p>
    <w:p>
      <w:pPr>
        <w:spacing w:line="580" w:lineRule="exact"/>
        <w:ind w:firstLine="632" w:firstLineChars="200"/>
        <w:rPr>
          <w:rFonts w:ascii="仿宋_GB2312" w:hAnsi="仿宋" w:eastAsia="仿宋_GB2312" w:cs="仿宋_GB2312"/>
          <w:color w:val="000000"/>
          <w:szCs w:val="32"/>
          <w:highlight w:val="red"/>
        </w:rPr>
      </w:pPr>
      <w:r>
        <w:rPr>
          <w:rFonts w:hint="eastAsia" w:ascii="仿宋_GB2312" w:hAnsi="仿宋" w:eastAsia="仿宋_GB2312" w:cs="仿宋_GB2312"/>
          <w:b/>
          <w:bCs/>
          <w:color w:val="000000"/>
          <w:szCs w:val="32"/>
        </w:rPr>
        <w:t>提升经办管理服务质量。</w:t>
      </w:r>
      <w:r>
        <w:rPr>
          <w:rFonts w:hint="eastAsia" w:ascii="仿宋_GB2312" w:hAnsi="仿宋" w:eastAsia="仿宋_GB2312" w:cs="仿宋_GB2312"/>
          <w:color w:val="000000"/>
          <w:szCs w:val="32"/>
        </w:rPr>
        <w:t>加强经办队伍建设和人员业务培训，提高专业化程度。积极贯彻落实省出台的</w:t>
      </w:r>
      <w:r>
        <w:rPr>
          <w:rFonts w:hint="eastAsia" w:ascii="仿宋_GB2312" w:hAnsi="仿宋" w:eastAsia="仿宋_GB2312" w:cs="仿宋_GB2312"/>
          <w:color w:val="000000"/>
          <w:szCs w:val="32"/>
        </w:rPr>
        <w:t>医保经办标准化服务窗口评价规范、定点医药机构医疗保障服务规范、基层医保工作站服务规范等地方标准，2021年努力将省级标准化窗口数量增加至6个，2023年实现医疗保障标准化服务全覆盖。推动城乡居民基本医保参保登记、基本医保关系转移接续、异地就医备案等高频服务事项“网办”、“掌办”。建立医保经办统一服务热线，为参保群众提供更加高效便捷的咨询服务。</w:t>
      </w:r>
    </w:p>
    <w:p>
      <w:pPr>
        <w:spacing w:line="58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完善异地就医直接结算。</w:t>
      </w:r>
      <w:r>
        <w:rPr>
          <w:rFonts w:hint="eastAsia" w:ascii="仿宋_GB2312" w:hAnsi="仿宋" w:eastAsia="仿宋_GB2312" w:cs="仿宋_GB2312"/>
          <w:color w:val="000000"/>
          <w:szCs w:val="32"/>
        </w:rPr>
        <w:t>持续推进门诊费用省内及跨省联网结算，方便参保人</w:t>
      </w:r>
      <w:r>
        <w:rPr>
          <w:rFonts w:hint="eastAsia" w:ascii="仿宋_GB2312" w:hAnsi="仿宋" w:eastAsia="仿宋_GB2312" w:cs="仿宋_GB2312"/>
          <w:color w:val="000000"/>
          <w:szCs w:val="32"/>
        </w:rPr>
        <w:t>员门诊慢性病异地购药、结算，减轻参保人员门诊垫付压力。加快普通门诊跨省联网结算改造进度。加快推进全市协议管理“两定机构”支持职工医保个人账户异地刷卡支付，方便参保人员在省内协议管理医药机构异地就医购药时，通过医保电子凭证、社保卡等介质直接划扣医保个人账户金额。2021年底前实现职工医保个人账户“一卡通行”。</w:t>
      </w:r>
      <w:bookmarkEnd w:id="4"/>
    </w:p>
    <w:p>
      <w:pPr>
        <w:spacing w:line="240" w:lineRule="exact"/>
        <w:ind w:firstLine="632" w:firstLineChars="200"/>
        <w:rPr>
          <w:rFonts w:ascii="仿宋_GB2312" w:hAnsi="仿宋_GB2312" w:eastAsia="仿宋_GB2312"/>
          <w:color w:val="000000"/>
          <w:szCs w:val="32"/>
        </w:rPr>
      </w:pPr>
    </w:p>
    <w:tbl>
      <w:tblPr>
        <w:tblStyle w:val="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4" w:type="dxa"/>
            <w:noWrap w:val="0"/>
            <w:vAlign w:val="top"/>
          </w:tcPr>
          <w:p>
            <w:pPr>
              <w:spacing w:line="580" w:lineRule="exact"/>
              <w:jc w:val="center"/>
              <w:rPr>
                <w:rFonts w:ascii="黑体" w:hAnsi="黑体" w:eastAsia="黑体"/>
                <w:color w:val="000000"/>
                <w:sz w:val="24"/>
                <w:szCs w:val="24"/>
              </w:rPr>
            </w:pPr>
            <w:r>
              <w:rPr>
                <w:rFonts w:hint="eastAsia" w:ascii="黑体" w:hAnsi="黑体" w:eastAsia="黑体" w:cs="黑体"/>
                <w:color w:val="000000"/>
                <w:sz w:val="24"/>
                <w:szCs w:val="24"/>
              </w:rPr>
              <w:t>专栏</w:t>
            </w:r>
            <w:r>
              <w:rPr>
                <w:rFonts w:hint="eastAsia" w:ascii="黑体" w:hAnsi="黑体" w:eastAsia="黑体" w:cs="黑体"/>
                <w:color w:val="000000"/>
                <w:sz w:val="24"/>
                <w:szCs w:val="24"/>
                <w:lang w:val="en-US" w:eastAsia="zh-CN"/>
              </w:rPr>
              <w:t>4</w:t>
            </w:r>
            <w:r>
              <w:rPr>
                <w:rFonts w:ascii="黑体" w:hAnsi="黑体" w:eastAsia="黑体" w:cs="黑体"/>
                <w:color w:val="000000"/>
                <w:sz w:val="24"/>
                <w:szCs w:val="24"/>
              </w:rPr>
              <w:t xml:space="preserve">  </w:t>
            </w:r>
            <w:r>
              <w:rPr>
                <w:rFonts w:hint="eastAsia" w:ascii="黑体" w:hAnsi="黑体" w:eastAsia="黑体" w:cs="黑体"/>
                <w:color w:val="000000"/>
                <w:sz w:val="24"/>
                <w:szCs w:val="24"/>
              </w:rPr>
              <w:t>医疗保障公共服务提升工程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784" w:type="dxa"/>
            <w:noWrap w:val="0"/>
            <w:vAlign w:val="top"/>
          </w:tcPr>
          <w:p>
            <w:pPr>
              <w:adjustRightInd w:val="0"/>
              <w:snapToGrid w:val="0"/>
              <w:spacing w:line="480" w:lineRule="exact"/>
              <w:ind w:firstLine="472" w:firstLineChars="200"/>
              <w:rPr>
                <w:rFonts w:ascii="仿宋_GB2312" w:hAnsi="仿宋" w:eastAsia="仿宋_GB2312"/>
                <w:color w:val="000000"/>
                <w:sz w:val="24"/>
                <w:szCs w:val="24"/>
              </w:rPr>
            </w:pPr>
            <w:r>
              <w:rPr>
                <w:rFonts w:ascii="仿宋_GB2312" w:hAnsi="仿宋" w:eastAsia="仿宋_GB2312" w:cs="仿宋_GB2312"/>
                <w:b/>
                <w:bCs/>
                <w:color w:val="000000"/>
                <w:sz w:val="24"/>
                <w:szCs w:val="24"/>
              </w:rPr>
              <w:t>1.</w:t>
            </w:r>
            <w:r>
              <w:rPr>
                <w:rFonts w:hint="eastAsia" w:ascii="仿宋_GB2312" w:hAnsi="仿宋" w:eastAsia="仿宋_GB2312" w:cs="仿宋_GB2312"/>
                <w:b/>
                <w:bCs/>
                <w:color w:val="000000"/>
                <w:sz w:val="24"/>
                <w:szCs w:val="24"/>
              </w:rPr>
              <w:t>建立完善医疗保障经办服务标准体系。</w:t>
            </w:r>
            <w:r>
              <w:rPr>
                <w:rFonts w:ascii="仿宋_GB2312" w:hAnsi="仿宋" w:eastAsia="仿宋_GB2312" w:cs="仿宋_GB2312"/>
                <w:color w:val="000000"/>
                <w:sz w:val="24"/>
                <w:szCs w:val="24"/>
              </w:rPr>
              <w:t>2021</w:t>
            </w:r>
            <w:r>
              <w:rPr>
                <w:rFonts w:hint="eastAsia" w:ascii="仿宋_GB2312" w:hAnsi="仿宋" w:eastAsia="仿宋_GB2312" w:cs="仿宋_GB2312"/>
                <w:color w:val="000000"/>
                <w:sz w:val="24"/>
                <w:szCs w:val="24"/>
              </w:rPr>
              <w:t>年制定长期护理保险定点护理服务机构护理服务与评价规范、定点医药机构医疗保障服务规范等地方标准，</w:t>
            </w:r>
            <w:r>
              <w:rPr>
                <w:rFonts w:ascii="仿宋_GB2312" w:hAnsi="仿宋" w:eastAsia="仿宋_GB2312" w:cs="仿宋_GB2312"/>
                <w:color w:val="000000"/>
                <w:sz w:val="24"/>
                <w:szCs w:val="24"/>
              </w:rPr>
              <w:t>2023</w:t>
            </w:r>
            <w:r>
              <w:rPr>
                <w:rFonts w:hint="eastAsia" w:ascii="仿宋_GB2312" w:hAnsi="仿宋" w:eastAsia="仿宋_GB2312" w:cs="仿宋_GB2312"/>
                <w:color w:val="000000"/>
                <w:sz w:val="24"/>
                <w:szCs w:val="24"/>
              </w:rPr>
              <w:t>年实现医疗保障标准化服务全覆盖。</w:t>
            </w:r>
          </w:p>
          <w:p>
            <w:pPr>
              <w:adjustRightInd w:val="0"/>
              <w:snapToGrid w:val="0"/>
              <w:spacing w:line="480" w:lineRule="exact"/>
              <w:ind w:firstLine="472" w:firstLineChars="200"/>
              <w:rPr>
                <w:rFonts w:ascii="仿宋_GB2312" w:hAnsi="仿宋" w:eastAsia="仿宋_GB2312"/>
                <w:color w:val="000000"/>
                <w:sz w:val="24"/>
                <w:szCs w:val="24"/>
              </w:rPr>
            </w:pPr>
            <w:r>
              <w:rPr>
                <w:rFonts w:ascii="仿宋_GB2312" w:hAnsi="仿宋" w:eastAsia="仿宋_GB2312" w:cs="仿宋_GB2312"/>
                <w:b/>
                <w:bCs/>
                <w:color w:val="000000"/>
                <w:sz w:val="24"/>
                <w:szCs w:val="24"/>
              </w:rPr>
              <w:t>2.</w:t>
            </w:r>
            <w:r>
              <w:rPr>
                <w:rFonts w:hint="eastAsia" w:ascii="仿宋_GB2312" w:hAnsi="仿宋" w:eastAsia="仿宋_GB2312" w:cs="仿宋_GB2312"/>
                <w:b/>
                <w:bCs/>
                <w:color w:val="000000"/>
                <w:sz w:val="24"/>
                <w:szCs w:val="24"/>
              </w:rPr>
              <w:t>推进医保政务服务跨省通办。</w:t>
            </w:r>
            <w:r>
              <w:rPr>
                <w:rFonts w:hint="eastAsia" w:ascii="仿宋_GB2312" w:hAnsi="仿宋" w:eastAsia="仿宋_GB2312" w:cs="仿宋_GB2312"/>
                <w:color w:val="000000"/>
                <w:sz w:val="24"/>
                <w:szCs w:val="24"/>
              </w:rPr>
              <w:t>实现医保电子凭证申领、医保参保信息变更、城乡居民参保登记、医保关系转移接续、异地就医结算备案、生育保险待遇核定与支付、医保定点医疗机构基础信息变更等</w:t>
            </w:r>
            <w:r>
              <w:rPr>
                <w:rFonts w:ascii="仿宋_GB2312" w:hAnsi="仿宋" w:eastAsia="仿宋_GB2312" w:cs="仿宋_GB2312"/>
                <w:color w:val="000000"/>
                <w:sz w:val="24"/>
                <w:szCs w:val="24"/>
              </w:rPr>
              <w:t>7</w:t>
            </w:r>
            <w:r>
              <w:rPr>
                <w:rFonts w:hint="eastAsia" w:ascii="仿宋_GB2312" w:hAnsi="仿宋" w:eastAsia="仿宋_GB2312" w:cs="仿宋_GB2312"/>
                <w:color w:val="000000"/>
                <w:sz w:val="24"/>
                <w:szCs w:val="24"/>
              </w:rPr>
              <w:t>项事项“跨省通办”。</w:t>
            </w:r>
          </w:p>
          <w:p>
            <w:pPr>
              <w:adjustRightInd w:val="0"/>
              <w:snapToGrid w:val="0"/>
              <w:spacing w:line="480" w:lineRule="exact"/>
              <w:ind w:firstLine="472" w:firstLineChars="200"/>
              <w:rPr>
                <w:rFonts w:ascii="仿宋_GB2312" w:hAnsi="仿宋" w:eastAsia="仿宋_GB2312"/>
                <w:color w:val="000000"/>
                <w:sz w:val="24"/>
                <w:szCs w:val="24"/>
              </w:rPr>
            </w:pPr>
            <w:r>
              <w:rPr>
                <w:rFonts w:ascii="仿宋_GB2312" w:hAnsi="仿宋" w:eastAsia="仿宋_GB2312" w:cs="仿宋_GB2312"/>
                <w:b/>
                <w:bCs/>
                <w:color w:val="000000"/>
                <w:sz w:val="24"/>
                <w:szCs w:val="24"/>
              </w:rPr>
              <w:t>3.</w:t>
            </w:r>
            <w:r>
              <w:rPr>
                <w:rFonts w:hint="eastAsia" w:ascii="仿宋_GB2312" w:hAnsi="仿宋" w:eastAsia="仿宋_GB2312" w:cs="仿宋_GB2312"/>
                <w:b/>
                <w:bCs/>
                <w:color w:val="000000"/>
                <w:sz w:val="24"/>
                <w:szCs w:val="24"/>
              </w:rPr>
              <w:t>提升医疗保障适老服务水平。</w:t>
            </w:r>
            <w:r>
              <w:rPr>
                <w:rFonts w:hint="eastAsia" w:ascii="仿宋_GB2312" w:hAnsi="仿宋" w:eastAsia="仿宋_GB2312" w:cs="仿宋_GB2312"/>
                <w:color w:val="000000"/>
                <w:sz w:val="24"/>
                <w:szCs w:val="24"/>
              </w:rPr>
              <w:t>合理布局服务窗口，优化完善无障碍设施，保留传统服务方式，配备引导人员，提供咨询、指引、帮办代办等服务，优化网上办事流程，提供更多智能化适老服务，满足老年人等特殊群体多样化需求。</w:t>
            </w:r>
          </w:p>
          <w:p>
            <w:pPr>
              <w:adjustRightInd w:val="0"/>
              <w:snapToGrid w:val="0"/>
              <w:spacing w:line="480" w:lineRule="exact"/>
              <w:ind w:firstLine="472" w:firstLineChars="200"/>
              <w:rPr>
                <w:rFonts w:ascii="仿宋_GB2312" w:hAnsi="仿宋" w:eastAsia="仿宋_GB2312"/>
                <w:color w:val="000000"/>
                <w:sz w:val="24"/>
                <w:szCs w:val="24"/>
              </w:rPr>
            </w:pPr>
            <w:r>
              <w:rPr>
                <w:rFonts w:ascii="仿宋_GB2312" w:hAnsi="仿宋" w:eastAsia="仿宋_GB2312" w:cs="仿宋_GB2312"/>
                <w:b/>
                <w:bCs/>
                <w:color w:val="000000"/>
                <w:sz w:val="24"/>
                <w:szCs w:val="24"/>
              </w:rPr>
              <w:t>4.</w:t>
            </w:r>
            <w:r>
              <w:rPr>
                <w:rFonts w:hint="eastAsia" w:ascii="仿宋_GB2312" w:hAnsi="仿宋" w:eastAsia="仿宋_GB2312" w:cs="仿宋_GB2312"/>
                <w:b/>
                <w:bCs/>
                <w:color w:val="000000"/>
                <w:sz w:val="24"/>
                <w:szCs w:val="24"/>
              </w:rPr>
              <w:t>优化医保咨询服务。</w:t>
            </w:r>
            <w:r>
              <w:rPr>
                <w:rFonts w:hint="eastAsia" w:ascii="仿宋_GB2312" w:hAnsi="仿宋" w:eastAsia="仿宋_GB2312" w:cs="仿宋_GB2312"/>
                <w:color w:val="000000"/>
                <w:sz w:val="24"/>
                <w:szCs w:val="24"/>
              </w:rPr>
              <w:t>依托</w:t>
            </w:r>
            <w:r>
              <w:rPr>
                <w:rFonts w:ascii="仿宋_GB2312" w:hAnsi="仿宋" w:eastAsia="仿宋_GB2312" w:cs="仿宋_GB2312"/>
                <w:color w:val="000000"/>
                <w:sz w:val="24"/>
                <w:szCs w:val="24"/>
              </w:rPr>
              <w:t>12345</w:t>
            </w:r>
            <w:r>
              <w:rPr>
                <w:rFonts w:hint="eastAsia" w:ascii="仿宋_GB2312" w:hAnsi="仿宋" w:eastAsia="仿宋_GB2312" w:cs="仿宋_GB2312"/>
                <w:color w:val="000000"/>
                <w:sz w:val="24"/>
                <w:szCs w:val="24"/>
              </w:rPr>
              <w:t>政务服务便民热线，开展融医保政策和经办业务咨询、举报投诉、回访评价等功能于一体的电话咨询服务，统一管理模式、统一服务标准、统一制度规则，为参保人员和单位提供更加方便快捷的咨询服务。</w:t>
            </w:r>
          </w:p>
          <w:p>
            <w:pPr>
              <w:adjustRightInd w:val="0"/>
              <w:snapToGrid w:val="0"/>
              <w:spacing w:line="480" w:lineRule="exact"/>
              <w:ind w:firstLine="472" w:firstLineChars="200"/>
              <w:rPr>
                <w:rFonts w:ascii="仿宋_GB2312" w:hAnsi="仿宋" w:eastAsia="仿宋_GB2312"/>
                <w:color w:val="000000"/>
                <w:sz w:val="24"/>
                <w:szCs w:val="24"/>
              </w:rPr>
            </w:pPr>
            <w:r>
              <w:rPr>
                <w:rFonts w:ascii="仿宋_GB2312" w:hAnsi="仿宋" w:eastAsia="仿宋_GB2312" w:cs="仿宋_GB2312"/>
                <w:b/>
                <w:bCs/>
                <w:color w:val="000000"/>
                <w:sz w:val="24"/>
                <w:szCs w:val="24"/>
              </w:rPr>
              <w:t>5.</w:t>
            </w:r>
            <w:r>
              <w:rPr>
                <w:rFonts w:hint="eastAsia" w:ascii="仿宋_GB2312" w:hAnsi="仿宋" w:eastAsia="仿宋_GB2312" w:cs="仿宋_GB2312"/>
                <w:b/>
                <w:bCs/>
                <w:color w:val="000000"/>
                <w:sz w:val="24"/>
                <w:szCs w:val="24"/>
              </w:rPr>
              <w:t>加强医疗保障系统行风建设。</w:t>
            </w:r>
            <w:r>
              <w:rPr>
                <w:rFonts w:hint="eastAsia" w:ascii="仿宋_GB2312" w:hAnsi="仿宋" w:eastAsia="仿宋_GB2312" w:cs="仿宋_GB2312"/>
                <w:color w:val="000000"/>
                <w:sz w:val="24"/>
                <w:szCs w:val="24"/>
              </w:rPr>
              <w:t>建立“好差评”结果及整改情况通报制度，开展全省医疗保障系统行风建设专项评价和奖惩考核。</w:t>
            </w:r>
          </w:p>
        </w:tc>
      </w:tr>
    </w:tbl>
    <w:p>
      <w:pPr>
        <w:spacing w:line="240" w:lineRule="exact"/>
        <w:jc w:val="center"/>
        <w:rPr>
          <w:rFonts w:ascii="楷体" w:hAnsi="楷体" w:eastAsia="楷体"/>
          <w:color w:val="000000"/>
          <w:szCs w:val="32"/>
        </w:rPr>
      </w:pPr>
    </w:p>
    <w:p>
      <w:pPr>
        <w:spacing w:line="56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（二）推动智慧医保、数字医保发展</w:t>
      </w:r>
    </w:p>
    <w:p>
      <w:pPr>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加快应用医疗保障信息平台。</w:t>
      </w:r>
      <w:r>
        <w:rPr>
          <w:rFonts w:hint="eastAsia" w:ascii="仿宋_GB2312" w:hAnsi="仿宋" w:eastAsia="仿宋_GB2312" w:cs="仿宋_GB2312"/>
          <w:color w:val="000000"/>
          <w:szCs w:val="32"/>
        </w:rPr>
        <w:t>2021年上线运行省级医疗保障信息平台。</w:t>
      </w:r>
      <w:r>
        <w:rPr>
          <w:rFonts w:hint="eastAsia" w:ascii="仿宋_GB2312" w:hAnsi="仿宋" w:eastAsia="仿宋_GB2312" w:cs="仿宋_GB2312"/>
          <w:color w:val="000000"/>
          <w:szCs w:val="32"/>
          <w:lang w:eastAsia="zh-CN"/>
        </w:rPr>
        <w:t>依托</w:t>
      </w:r>
      <w:r>
        <w:rPr>
          <w:rFonts w:hint="eastAsia" w:ascii="仿宋_GB2312" w:hAnsi="仿宋" w:eastAsia="仿宋_GB2312" w:cs="仿宋_GB2312"/>
          <w:color w:val="000000"/>
          <w:szCs w:val="32"/>
        </w:rPr>
        <w:t>省互联网医保大健康服务</w:t>
      </w:r>
      <w:r>
        <w:rPr>
          <w:rFonts w:hint="eastAsia" w:ascii="仿宋_GB2312" w:hAnsi="仿宋" w:eastAsia="仿宋_GB2312" w:cs="仿宋_GB2312"/>
          <w:color w:val="000000"/>
          <w:szCs w:val="32"/>
        </w:rPr>
        <w:t>平台，推进资源开放，加快数字赋能，推动医保、医疗、医药线上线下融合发展，创新“互联网+医保+医疗+医药”综合保障服务模式。落实部署全省统一的定点医药机构医保智能监控系统，2021年全市范围内市县两级全面应用监控平台。2022年，完成医保信息系统与全市各级定点医药机构信息系统的对接，实现事前提醒、事中预警、事后审核全方位、全流程、全环节监管。积极推动医保电子凭证在定点医疗机构全流程使用，定点医药机构全面开通人脸识别功能，推进医保电子凭证在家庭共济、混合支付和信用就医等业务场景的应用。</w:t>
      </w:r>
    </w:p>
    <w:p>
      <w:pPr>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推进医保领域标准化。</w:t>
      </w:r>
      <w:r>
        <w:rPr>
          <w:rFonts w:hint="eastAsia" w:ascii="仿宋_GB2312" w:hAnsi="仿宋" w:eastAsia="仿宋_GB2312" w:cs="仿宋_GB2312"/>
          <w:color w:val="000000"/>
          <w:szCs w:val="32"/>
        </w:rPr>
        <w:t>加强医保领域标准化工作，加快推进国家医疗保障信息业务编码标准、统一标识、档案管理规范等业务标准和网络安全、数据交换、运行维护等技术标准落地应用。完善医保管理工作规范，落实经办业务规范、经办体系建设规范、医疗服务项目与价格以及药品、医用耗材的招标采购管理规范。</w:t>
      </w:r>
    </w:p>
    <w:p>
      <w:pPr>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强化网络安全管理和数据安全有序共享。</w:t>
      </w:r>
      <w:r>
        <w:rPr>
          <w:rFonts w:hint="eastAsia" w:ascii="仿宋_GB2312" w:hAnsi="仿宋" w:eastAsia="仿宋_GB2312" w:cs="仿宋_GB2312"/>
          <w:color w:val="000000"/>
          <w:szCs w:val="32"/>
        </w:rPr>
        <w:t>积极推进医保骨干网络建设，完善市、县、乡、村纵向四级，医保、医院、药店横向三段的医保网络；落实网络安全工作责任制，健全完善网络安全制度规定，加强医保信息系统、数据等安全管理，建设网络安全综合管控平台，持续开展网络安全动态预警监测和风险评估，建立常态化网络安全检查和应急演练工作机制，规范数据管理和应用权限，依法保护参保人员信息和数据安全。</w:t>
      </w:r>
    </w:p>
    <w:p>
      <w:pPr>
        <w:spacing w:line="560" w:lineRule="exact"/>
        <w:ind w:firstLine="632" w:firstLineChars="200"/>
        <w:rPr>
          <w:rFonts w:hint="eastAsia" w:ascii="仿宋_GB2312" w:hAnsi="仿宋" w:eastAsia="仿宋_GB2312" w:cs="仿宋_GB2312"/>
          <w:color w:val="000000"/>
          <w:szCs w:val="32"/>
        </w:rPr>
      </w:pPr>
      <w:r>
        <w:rPr>
          <w:rFonts w:hint="eastAsia" w:ascii="仿宋_GB2312" w:hAnsi="仿宋" w:eastAsia="仿宋_GB2312" w:cs="仿宋_GB2312"/>
          <w:b/>
          <w:bCs/>
          <w:color w:val="000000"/>
          <w:szCs w:val="32"/>
        </w:rPr>
        <w:t>推动数据应用创新。</w:t>
      </w:r>
      <w:r>
        <w:rPr>
          <w:rFonts w:hint="eastAsia" w:ascii="仿宋_GB2312" w:hAnsi="仿宋" w:eastAsia="仿宋_GB2312" w:cs="仿宋_GB2312"/>
          <w:color w:val="000000"/>
          <w:szCs w:val="32"/>
        </w:rPr>
        <w:t>加快医保数据治理体系建设，加强数据标准化、元数据和主数据管理工作，定期评估数据治理能力成熟度。建设我市医保智能监控调度分析平台，建立覆盖全业务链条的数据采集、传输和汇聚体系，围绕宏观决策、政策仿真、公共服务和风险防控等主题，强化业务场景数据建模，配合医院加快国家城市医联体试点市建设，加强医疗数据共享，深入挖掘数据价值，加强大数据开发，突出应用导向，为基层医保部门、医疗机构赋能，为科学决策、精细治理提供数据支撑。</w:t>
      </w:r>
    </w:p>
    <w:p>
      <w:pPr>
        <w:spacing w:line="560" w:lineRule="exact"/>
        <w:ind w:firstLine="632" w:firstLineChars="200"/>
        <w:rPr>
          <w:rFonts w:ascii="楷体_GB2312" w:hAnsi="楷体" w:eastAsia="楷体_GB2312" w:cs="楷体_GB2312"/>
          <w:bCs/>
          <w:color w:val="000000"/>
          <w:szCs w:val="32"/>
        </w:rPr>
      </w:pPr>
      <w:r>
        <w:rPr>
          <w:rFonts w:hint="eastAsia" w:ascii="楷体_GB2312" w:hAnsi="楷体" w:eastAsia="楷体_GB2312" w:cs="楷体_GB2312"/>
          <w:bCs/>
          <w:color w:val="000000"/>
          <w:szCs w:val="32"/>
        </w:rPr>
        <w:t>（三）持续推进医疗保障人才队伍建设</w:t>
      </w:r>
    </w:p>
    <w:p>
      <w:pPr>
        <w:spacing w:line="600" w:lineRule="exact"/>
        <w:ind w:firstLine="632" w:firstLineChars="200"/>
        <w:rPr>
          <w:rFonts w:hint="eastAsia" w:ascii="仿宋_GB2312" w:hAnsi="黑体" w:eastAsia="仿宋_GB2312" w:cs="仿宋_GB2312"/>
          <w:color w:val="000000"/>
          <w:spacing w:val="-4"/>
          <w:szCs w:val="32"/>
        </w:rPr>
      </w:pPr>
      <w:r>
        <w:rPr>
          <w:rFonts w:hint="eastAsia" w:ascii="仿宋_GB2312" w:hAnsi="黑体" w:eastAsia="仿宋_GB2312" w:cs="仿宋_GB2312"/>
          <w:b/>
          <w:bCs/>
          <w:color w:val="000000"/>
          <w:szCs w:val="32"/>
        </w:rPr>
        <w:t>加强干部队伍建设</w:t>
      </w:r>
      <w:r>
        <w:rPr>
          <w:rFonts w:hint="eastAsia" w:ascii="仿宋_GB2312" w:hAnsi="黑体" w:eastAsia="仿宋_GB2312" w:cs="仿宋_GB2312"/>
          <w:color w:val="000000"/>
          <w:szCs w:val="32"/>
        </w:rPr>
        <w:t>。</w:t>
      </w:r>
      <w:r>
        <w:rPr>
          <w:rFonts w:hint="eastAsia" w:ascii="仿宋_GB2312" w:hAnsi="黑体" w:eastAsia="仿宋_GB2312" w:cs="仿宋_GB2312"/>
          <w:color w:val="000000"/>
          <w:spacing w:val="-4"/>
          <w:szCs w:val="32"/>
        </w:rPr>
        <w:t>充分调动</w:t>
      </w:r>
      <w:r>
        <w:rPr>
          <w:rFonts w:hint="eastAsia" w:ascii="仿宋_GB2312" w:hAnsi="黑体" w:eastAsia="仿宋_GB2312" w:cs="仿宋_GB2312"/>
          <w:color w:val="000000"/>
          <w:spacing w:val="-4"/>
          <w:szCs w:val="32"/>
          <w:lang w:eastAsia="zh-Hans"/>
        </w:rPr>
        <w:t>全</w:t>
      </w:r>
      <w:r>
        <w:rPr>
          <w:rFonts w:hint="eastAsia" w:ascii="仿宋_GB2312" w:hAnsi="黑体" w:eastAsia="仿宋_GB2312" w:cs="仿宋_GB2312"/>
          <w:color w:val="000000"/>
          <w:spacing w:val="-4"/>
          <w:szCs w:val="32"/>
          <w:lang w:eastAsia="zh-CN"/>
        </w:rPr>
        <w:t>市</w:t>
      </w:r>
      <w:r>
        <w:rPr>
          <w:rFonts w:hint="eastAsia" w:ascii="仿宋_GB2312" w:hAnsi="黑体" w:eastAsia="仿宋_GB2312" w:cs="仿宋_GB2312"/>
          <w:color w:val="000000"/>
          <w:spacing w:val="-4"/>
          <w:szCs w:val="32"/>
        </w:rPr>
        <w:t>医保系统干部队伍积极性，开展干部轮岗交流，完善监督考核和奖惩机制，锻造一支讲政治、有正气、懂业务、敢担业、善创新的高素质、专业化医疗保障干部队伍。</w:t>
      </w:r>
    </w:p>
    <w:p>
      <w:pPr>
        <w:spacing w:line="600" w:lineRule="exact"/>
        <w:ind w:firstLine="616" w:firstLineChars="200"/>
        <w:rPr>
          <w:rFonts w:hint="eastAsia" w:ascii="Times New Roman" w:hAnsi="Times New Roman" w:eastAsia="仿宋_GB2312"/>
          <w:szCs w:val="32"/>
        </w:rPr>
      </w:pPr>
      <w:r>
        <w:rPr>
          <w:rFonts w:hint="eastAsia" w:ascii="仿宋_GB2312" w:hAnsi="黑体" w:eastAsia="仿宋_GB2312" w:cs="仿宋_GB2312"/>
          <w:b/>
          <w:bCs/>
          <w:color w:val="000000"/>
          <w:spacing w:val="-4"/>
          <w:szCs w:val="32"/>
        </w:rPr>
        <w:t>强化人才培养。</w:t>
      </w:r>
      <w:r>
        <w:rPr>
          <w:rFonts w:hint="eastAsia" w:ascii="仿宋_GB2312" w:hAnsi="黑体" w:eastAsia="仿宋_GB2312" w:cs="仿宋_GB2312"/>
          <w:color w:val="000000"/>
          <w:spacing w:val="-4"/>
          <w:szCs w:val="32"/>
        </w:rPr>
        <w:t>坚持德才兼备、以德为先、任人唯贤方针，实施医疗保障人才培养</w:t>
      </w:r>
      <w:r>
        <w:rPr>
          <w:rFonts w:ascii="Times New Roman" w:hAnsi="Times New Roman" w:eastAsia="仿宋_GB2312"/>
          <w:szCs w:val="32"/>
          <w:lang w:eastAsia="zh-Hans"/>
        </w:rPr>
        <w:t>。</w:t>
      </w:r>
      <w:r>
        <w:rPr>
          <w:rFonts w:ascii="Times New Roman" w:hAnsi="Times New Roman" w:eastAsia="仿宋_GB2312"/>
          <w:szCs w:val="32"/>
        </w:rPr>
        <w:t>加大专业型干部选配力度，</w:t>
      </w:r>
      <w:r>
        <w:rPr>
          <w:rFonts w:hint="eastAsia" w:ascii="Times New Roman" w:hAnsi="Times New Roman" w:eastAsia="仿宋_GB2312"/>
          <w:szCs w:val="32"/>
          <w:lang w:eastAsia="zh-Hans"/>
        </w:rPr>
        <w:t>积极</w:t>
      </w:r>
      <w:r>
        <w:rPr>
          <w:rFonts w:hint="eastAsia" w:ascii="Times New Roman" w:hAnsi="Times New Roman" w:eastAsia="仿宋_GB2312"/>
          <w:szCs w:val="32"/>
        </w:rPr>
        <w:t>招考选调</w:t>
      </w:r>
      <w:bookmarkStart w:id="5" w:name="_GoBack"/>
      <w:r>
        <w:rPr>
          <w:rFonts w:ascii="Times New Roman" w:hAnsi="Times New Roman" w:eastAsia="仿宋_GB2312"/>
          <w:szCs w:val="32"/>
        </w:rPr>
        <w:t>与</w:t>
      </w:r>
      <w:r>
        <w:rPr>
          <w:rFonts w:hint="eastAsia" w:ascii="Times New Roman" w:hAnsi="Times New Roman" w:eastAsia="仿宋_GB2312"/>
          <w:szCs w:val="32"/>
        </w:rPr>
        <w:t>医保</w:t>
      </w:r>
      <w:r>
        <w:rPr>
          <w:rFonts w:ascii="Times New Roman" w:hAnsi="Times New Roman" w:eastAsia="仿宋_GB2312"/>
          <w:szCs w:val="32"/>
        </w:rPr>
        <w:t>核心业务紧密相关的专业型人</w:t>
      </w:r>
      <w:r>
        <w:rPr>
          <w:rFonts w:hint="eastAsia" w:ascii="Times New Roman" w:hAnsi="Times New Roman" w:eastAsia="仿宋_GB2312"/>
          <w:szCs w:val="32"/>
        </w:rPr>
        <w:t>才，</w:t>
      </w:r>
      <w:r>
        <w:rPr>
          <w:rFonts w:ascii="Times New Roman" w:hAnsi="Times New Roman" w:eastAsia="仿宋_GB2312"/>
          <w:szCs w:val="32"/>
        </w:rPr>
        <w:t>优先</w:t>
      </w:r>
      <w:r>
        <w:rPr>
          <w:rFonts w:hint="eastAsia" w:ascii="Times New Roman" w:hAnsi="Times New Roman" w:eastAsia="仿宋_GB2312"/>
          <w:szCs w:val="32"/>
        </w:rPr>
        <w:t>吸纳</w:t>
      </w:r>
      <w:r>
        <w:rPr>
          <w:rFonts w:ascii="Times New Roman" w:hAnsi="Times New Roman" w:eastAsia="仿宋_GB2312"/>
          <w:szCs w:val="32"/>
        </w:rPr>
        <w:t>基层和一线优</w:t>
      </w:r>
      <w:bookmarkEnd w:id="5"/>
      <w:r>
        <w:rPr>
          <w:rFonts w:ascii="Times New Roman" w:hAnsi="Times New Roman" w:eastAsia="仿宋_GB2312"/>
          <w:szCs w:val="32"/>
        </w:rPr>
        <w:t>秀年轻干</w:t>
      </w:r>
      <w:r>
        <w:rPr>
          <w:rFonts w:hint="eastAsia" w:ascii="Times New Roman" w:hAnsi="Times New Roman" w:eastAsia="仿宋_GB2312"/>
          <w:szCs w:val="32"/>
          <w:lang w:eastAsia="zh-Hans"/>
        </w:rPr>
        <w:t>部</w:t>
      </w:r>
      <w:r>
        <w:rPr>
          <w:rFonts w:hint="eastAsia" w:ascii="Times New Roman" w:hAnsi="Times New Roman" w:eastAsia="仿宋_GB2312"/>
          <w:szCs w:val="32"/>
        </w:rPr>
        <w:t>。定期</w:t>
      </w:r>
      <w:r>
        <w:rPr>
          <w:rFonts w:ascii="Times New Roman" w:hAnsi="Times New Roman" w:eastAsia="仿宋_GB2312"/>
          <w:szCs w:val="32"/>
        </w:rPr>
        <w:t>选派干部参加</w:t>
      </w:r>
      <w:r>
        <w:rPr>
          <w:rFonts w:hint="eastAsia" w:ascii="Times New Roman" w:hAnsi="Times New Roman" w:eastAsia="仿宋_GB2312"/>
          <w:szCs w:val="32"/>
        </w:rPr>
        <w:t>医疗保障</w:t>
      </w:r>
      <w:r>
        <w:rPr>
          <w:rFonts w:ascii="Times New Roman" w:hAnsi="Times New Roman" w:eastAsia="仿宋_GB2312"/>
          <w:szCs w:val="32"/>
        </w:rPr>
        <w:t>专业能力提升</w:t>
      </w:r>
      <w:r>
        <w:rPr>
          <w:rFonts w:hint="eastAsia" w:ascii="Times New Roman" w:hAnsi="Times New Roman" w:eastAsia="仿宋_GB2312"/>
          <w:szCs w:val="32"/>
        </w:rPr>
        <w:t>培训</w:t>
      </w:r>
      <w:r>
        <w:rPr>
          <w:rFonts w:ascii="Times New Roman" w:hAnsi="Times New Roman" w:eastAsia="仿宋_GB2312"/>
          <w:szCs w:val="32"/>
        </w:rPr>
        <w:t>，</w:t>
      </w:r>
      <w:r>
        <w:rPr>
          <w:rFonts w:hint="eastAsia" w:ascii="Times New Roman" w:hAnsi="Times New Roman" w:eastAsia="仿宋_GB2312"/>
          <w:szCs w:val="32"/>
        </w:rPr>
        <w:t>提高改革创新、政策落实</w:t>
      </w:r>
      <w:r>
        <w:rPr>
          <w:rFonts w:hint="eastAsia" w:eastAsia="仿宋_GB2312" w:cs="Calibri"/>
          <w:szCs w:val="32"/>
        </w:rPr>
        <w:t>能力</w:t>
      </w:r>
      <w:r>
        <w:rPr>
          <w:rFonts w:hint="eastAsia" w:ascii="Times New Roman" w:hAnsi="Times New Roman" w:eastAsia="仿宋_GB2312"/>
          <w:szCs w:val="32"/>
        </w:rPr>
        <w:t>。</w:t>
      </w:r>
    </w:p>
    <w:p>
      <w:pPr>
        <w:numPr>
          <w:ilvl w:val="0"/>
          <w:numId w:val="1"/>
        </w:numPr>
        <w:spacing w:line="560" w:lineRule="exact"/>
        <w:ind w:firstLine="632" w:firstLineChars="200"/>
        <w:rPr>
          <w:rFonts w:hint="eastAsia" w:ascii="仿宋_GB2312" w:hAnsi="仿宋" w:eastAsia="仿宋_GB2312" w:cs="仿宋_GB2312"/>
          <w:b/>
          <w:bCs/>
          <w:color w:val="000000"/>
          <w:szCs w:val="32"/>
        </w:rPr>
      </w:pPr>
      <w:r>
        <w:rPr>
          <w:rFonts w:hint="eastAsia" w:ascii="黑体" w:hAnsi="黑体" w:eastAsia="黑体" w:cs="黑体"/>
          <w:color w:val="000000"/>
          <w:szCs w:val="32"/>
        </w:rPr>
        <w:t>保障措施</w:t>
      </w:r>
    </w:p>
    <w:p>
      <w:pPr>
        <w:spacing w:line="560" w:lineRule="exact"/>
        <w:ind w:firstLine="632" w:firstLineChars="200"/>
        <w:rPr>
          <w:rFonts w:hint="eastAsia" w:ascii="Times New Roman" w:hAnsi="Times New Roman" w:eastAsia="仿宋_GB2312"/>
          <w:szCs w:val="32"/>
        </w:rPr>
      </w:pPr>
      <w:r>
        <w:rPr>
          <w:rFonts w:hint="eastAsia" w:ascii="仿宋_GB2312" w:hAnsi="仿宋" w:eastAsia="仿宋_GB2312" w:cs="仿宋_GB2312"/>
          <w:b/>
          <w:bCs/>
          <w:color w:val="000000"/>
          <w:szCs w:val="32"/>
        </w:rPr>
        <w:t>（一）加强党的领导。</w:t>
      </w:r>
      <w:r>
        <w:rPr>
          <w:rFonts w:hint="eastAsia" w:ascii="Times New Roman" w:hAnsi="Times New Roman" w:eastAsia="仿宋_GB2312"/>
          <w:szCs w:val="32"/>
        </w:rPr>
        <w:t>要切实加强党的领导，把党的领导贯彻到医疗保障改革发展的全过程，要将“十四五”规划的制定和实施作为一项全局性工作。健全主要领导负总责、分管领导具体负责、专班抓落实的工作机制，统一部署、细化任务、夯实责任、狠抓落实，采取有力举措，确保规划落实。</w:t>
      </w:r>
    </w:p>
    <w:p>
      <w:pPr>
        <w:spacing w:line="560" w:lineRule="exact"/>
        <w:ind w:firstLine="632" w:firstLineChars="200"/>
        <w:rPr>
          <w:rFonts w:ascii="Times New Roman" w:hAnsi="Times New Roman" w:eastAsia="仿宋_GB2312"/>
          <w:szCs w:val="32"/>
        </w:rPr>
      </w:pPr>
      <w:r>
        <w:rPr>
          <w:rFonts w:hint="eastAsia" w:ascii="仿宋_GB2312" w:hAnsi="仿宋" w:eastAsia="仿宋_GB2312" w:cs="仿宋_GB2312"/>
          <w:b/>
          <w:bCs/>
          <w:color w:val="000000"/>
          <w:szCs w:val="32"/>
        </w:rPr>
        <w:t>（二）加强统筹协调。</w:t>
      </w:r>
      <w:r>
        <w:rPr>
          <w:rFonts w:hint="eastAsia" w:ascii="Times New Roman" w:hAnsi="Times New Roman" w:eastAsia="仿宋_GB2312"/>
          <w:szCs w:val="32"/>
          <w:lang w:eastAsia="zh-CN"/>
        </w:rPr>
        <w:t>各级各有关部门</w:t>
      </w:r>
      <w:r>
        <w:rPr>
          <w:rFonts w:hint="eastAsia" w:ascii="Times New Roman" w:hAnsi="Times New Roman" w:eastAsia="仿宋_GB2312"/>
          <w:szCs w:val="32"/>
        </w:rPr>
        <w:t>要建立健全与“三医联动”改革相适应的统筹协调机制。</w:t>
      </w:r>
      <w:r>
        <w:rPr>
          <w:rFonts w:hint="eastAsia" w:ascii="Times New Roman" w:hAnsi="Times New Roman" w:eastAsia="仿宋_GB2312"/>
          <w:szCs w:val="32"/>
          <w:lang w:eastAsia="zh-CN"/>
        </w:rPr>
        <w:t>医疗保障部门要</w:t>
      </w:r>
      <w:r>
        <w:rPr>
          <w:rFonts w:hint="eastAsia" w:ascii="Times New Roman" w:hAnsi="Times New Roman" w:eastAsia="仿宋_GB2312"/>
          <w:szCs w:val="32"/>
        </w:rPr>
        <w:t>主动加强与卫健、市场监管、税务等部门的联系对接，统一部署、部门联动、密切协作、形成合力，确保“十四五”医疗保障事业高质量发展。</w:t>
      </w:r>
    </w:p>
    <w:p>
      <w:pPr>
        <w:spacing w:line="560" w:lineRule="exact"/>
        <w:ind w:firstLine="632" w:firstLineChars="200"/>
        <w:rPr>
          <w:rFonts w:hint="eastAsia" w:ascii="Times New Roman" w:hAnsi="Times New Roman" w:eastAsia="仿宋_GB2312"/>
          <w:szCs w:val="32"/>
        </w:rPr>
      </w:pPr>
      <w:r>
        <w:rPr>
          <w:rFonts w:hint="eastAsia" w:ascii="仿宋_GB2312" w:hAnsi="仿宋" w:eastAsia="仿宋_GB2312" w:cs="仿宋_GB2312"/>
          <w:b/>
          <w:bCs/>
          <w:color w:val="000000"/>
          <w:szCs w:val="32"/>
        </w:rPr>
        <w:t>（三）强化工作推进。</w:t>
      </w:r>
      <w:r>
        <w:rPr>
          <w:rFonts w:hint="eastAsia" w:ascii="Times New Roman" w:hAnsi="Times New Roman" w:eastAsia="仿宋_GB2312"/>
          <w:szCs w:val="32"/>
          <w:lang w:eastAsia="zh-CN"/>
        </w:rPr>
        <w:t>各级各有关部门</w:t>
      </w:r>
      <w:r>
        <w:rPr>
          <w:rFonts w:hint="eastAsia" w:ascii="Times New Roman" w:hAnsi="Times New Roman" w:eastAsia="仿宋_GB2312"/>
          <w:szCs w:val="32"/>
        </w:rPr>
        <w:t xml:space="preserve">要建立规划实施动态监测、定期通报制度，开展规划实施评估。调动医保、医疗、医药等各参与方的积极性。加强医疗保障工作队伍建设，提高推进工作提升的领导力和执行力，确保医疗保障工作各项规划措施落到实处。 </w:t>
      </w:r>
    </w:p>
    <w:p>
      <w:pPr>
        <w:spacing w:line="560" w:lineRule="exact"/>
        <w:ind w:firstLine="632" w:firstLineChars="200"/>
        <w:rPr>
          <w:rFonts w:hint="eastAsia" w:ascii="Times New Roman" w:hAnsi="Times New Roman" w:eastAsia="仿宋_GB2312"/>
          <w:szCs w:val="32"/>
        </w:rPr>
      </w:pPr>
      <w:r>
        <w:rPr>
          <w:rFonts w:hint="eastAsia" w:ascii="仿宋_GB2312" w:hAnsi="仿宋" w:eastAsia="仿宋_GB2312" w:cs="仿宋_GB2312"/>
          <w:b/>
          <w:bCs/>
          <w:color w:val="000000"/>
          <w:szCs w:val="32"/>
        </w:rPr>
        <w:t>（四）加强宣传培训。</w:t>
      </w:r>
      <w:r>
        <w:rPr>
          <w:rFonts w:hint="eastAsia" w:ascii="Times New Roman" w:hAnsi="Times New Roman" w:eastAsia="仿宋_GB2312"/>
          <w:szCs w:val="32"/>
          <w:lang w:eastAsia="zh-CN"/>
        </w:rPr>
        <w:t>各级各有关部门</w:t>
      </w:r>
      <w:r>
        <w:rPr>
          <w:rFonts w:hint="eastAsia" w:ascii="Times New Roman" w:hAnsi="Times New Roman" w:eastAsia="仿宋_GB2312"/>
          <w:szCs w:val="32"/>
        </w:rPr>
        <w:t>要坚持正确的舆论导向，做好医保政策宣传解读，及时解答和回应社会各界关注的热点问题，大力宣传医疗保障体制改革过程中取得的工作成绩和典型经验，合理引导社会预期，不断提高医疗保障干部队伍政策、业务水平，确保医疗保障各项工作顺利推进。</w:t>
      </w: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pStyle w:val="2"/>
        <w:rPr>
          <w:rFonts w:ascii="Times New Roman" w:hAnsi="Times New Roman" w:eastAsia="仿宋_GB2312"/>
          <w:color w:val="000000"/>
          <w:szCs w:val="32"/>
        </w:rPr>
      </w:pPr>
    </w:p>
    <w:p>
      <w:pPr>
        <w:spacing w:line="560" w:lineRule="exact"/>
        <w:rPr>
          <w:rFonts w:ascii="Times New Roman" w:hAnsi="Times New Roman" w:eastAsia="仿宋_GB2312"/>
          <w:color w:val="000000"/>
          <w:szCs w:val="32"/>
        </w:rPr>
      </w:pPr>
    </w:p>
    <w:p>
      <w:pPr>
        <w:spacing w:line="500" w:lineRule="exact"/>
        <w:ind w:firstLine="316" w:firstLineChars="100"/>
        <w:rPr>
          <w:rFonts w:hint="eastAsia" w:ascii="Times New Roman" w:hAnsi="Times New Roman" w:eastAsia="仿宋_GB2312"/>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397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8pt;height:0pt;width:442.2pt;z-index:251660288;mso-width-relative:page;mso-height-relative:page;" filled="f" stroked="t" coordsize="21600,21600" o:gfxdata="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f87xtIAAAAEAQAADwAAAAAAAAABACAAAAAiAAAAZHJzL2Rvd25yZXYueG1sUEsB&#10;AhQAFAAAAAgAh07iQMCT/3X7AQAA8wMAAA4AAAAAAAAAAQAgAAAAIQEAAGRycy9lMm9Eb2MueG1s&#10;UEsFBgAAAAAGAAYAWQEAAI4FAAAAAA==&#10;">
                <v:fill on="f" focussize="0,0"/>
                <v:stroke weight="1.1pt" color="#000000" joinstyle="round"/>
                <v:imagedata o:title=""/>
                <o:lock v:ext="edit" aspectratio="f"/>
              </v:line>
            </w:pict>
          </mc:Fallback>
        </mc:AlternateContent>
      </w:r>
      <w:r>
        <w:rPr>
          <w:rFonts w:hint="eastAsia" w:ascii="Times New Roman" w:hAnsi="Times New Roman" w:eastAsia="仿宋_GB2312"/>
          <w:color w:val="000000"/>
          <w:sz w:val="28"/>
          <w:szCs w:val="28"/>
        </w:rPr>
        <w:t>抄送：市委各部门，市人大常委会办公室，市政协办公室，市监委，市</w:t>
      </w:r>
    </w:p>
    <w:p>
      <w:pPr>
        <w:spacing w:line="500" w:lineRule="exact"/>
        <w:ind w:firstLine="1148" w:firstLineChars="416"/>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法院，市检察院。各民主党派市委。</w:t>
      </w:r>
    </w:p>
    <w:p>
      <w:pPr>
        <w:spacing w:line="580" w:lineRule="exact"/>
        <w:ind w:firstLine="276" w:firstLineChars="100"/>
        <w:jc w:val="left"/>
        <w:rPr>
          <w:rFonts w:ascii="仿宋_GB2312" w:hAnsi="宋体" w:eastAsia="仿宋_GB2312" w:cs="宋体"/>
          <w:b/>
          <w:color w:val="000000"/>
          <w:sz w:val="28"/>
          <w:szCs w:val="28"/>
        </w:rPr>
      </w:pPr>
      <w:r>
        <w:rPr>
          <w:rFonts w:ascii="仿宋_GB2312" w:eastAsia="仿宋_GB2312" w:cs="仿宋_GB2312"/>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426720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397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3.6pt;height:0pt;width:442.2pt;z-index:251658240;mso-width-relative:page;mso-height-relative:page;" filled="f" stroked="t" coordsize="21600,21600" o:gfxdata="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nQCWNQAAAAGAQAADwAAAAAAAAABACAAAAAiAAAAZHJzL2Rvd25yZXYueG1sUEsB&#10;AhQAFAAAAAgAh07iQPgNafP5AQAA8wMAAA4AAAAAAAAAAQAgAAAAIwEAAGRycy9lMm9Eb2MueG1s&#10;UEsFBgAAAAAGAAYAWQEAAI4FAAAAAA==&#10;">
                <v:fill on="f" focussize="0,0"/>
                <v:stroke weight="1.1pt" color="#000000" joinstyle="round"/>
                <v:imagedata o:title=""/>
                <o:lock v:ext="edit" aspectratio="f"/>
              </v:line>
            </w:pict>
          </mc:Fallback>
        </mc:AlternateContent>
      </w:r>
      <w:r>
        <w:rPr>
          <w:rFonts w:ascii="仿宋_GB2312" w:eastAsia="仿宋_GB2312" w:cs="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397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5pt;height:0pt;width:442.2pt;z-index:251659264;mso-width-relative:page;mso-height-relative:page;" filled="f" stroked="t" coordsize="21600,21600" o:gfxdata="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elLetMAAAAEAQAADwAAAAAAAAABACAAAAAiAAAAZHJzL2Rvd25yZXYueG1sUEsB&#10;AhQAFAAAAAgAh07iQC96NDj6AQAA8wMAAA4AAAAAAAAAAQAgAAAAIgEAAGRycy9lMm9Eb2MueG1s&#10;UEsFBgAAAAAGAAYAWQEAAI4FAAAAAA==&#10;">
                <v:fill on="f" focussize="0,0"/>
                <v:stroke weight="1.1pt" color="#000000" joinstyle="round"/>
                <v:imagedata o:title=""/>
                <o:lock v:ext="edit" aspectratio="f"/>
              </v:line>
            </w:pict>
          </mc:Fallback>
        </mc:AlternateContent>
      </w:r>
      <w:r>
        <w:rPr>
          <w:rFonts w:hint="eastAsia" w:ascii="仿宋_GB2312" w:eastAsia="仿宋_GB2312" w:cs="仿宋_GB2312"/>
          <w:color w:val="000000"/>
          <w:sz w:val="28"/>
          <w:szCs w:val="28"/>
        </w:rPr>
        <w:t>济宁市医疗保障局办公室</w:t>
      </w:r>
      <w:r>
        <w:rPr>
          <w:rFonts w:ascii="仿宋_GB2312" w:eastAsia="仿宋_GB2312"/>
          <w:color w:val="000000"/>
          <w:sz w:val="28"/>
          <w:szCs w:val="28"/>
        </w:rPr>
        <w:t xml:space="preserve">                  2021</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月  日印发</w:t>
      </w:r>
    </w:p>
    <w:p/>
    <w:sectPr>
      <w:footerReference r:id="rId3" w:type="default"/>
      <w:footerReference r:id="rId4" w:type="even"/>
      <w:pgSz w:w="11906" w:h="16838"/>
      <w:pgMar w:top="2098" w:right="1531" w:bottom="1814" w:left="1531" w:header="851" w:footer="1588" w:gutter="0"/>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ascii="宋体"/>
        <w:sz w:val="28"/>
        <w:szCs w:val="28"/>
      </w:rPr>
    </w:pPr>
    <w:r>
      <w:rPr>
        <w:rStyle w:val="12"/>
        <w:rFonts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20</w:t>
    </w:r>
    <w:r>
      <w:rPr>
        <w:rFonts w:ascii="宋体" w:hAnsi="宋体"/>
        <w:sz w:val="28"/>
        <w:szCs w:val="28"/>
      </w:rPr>
      <w:fldChar w:fldCharType="end"/>
    </w:r>
    <w:r>
      <w:rPr>
        <w:rStyle w:val="12"/>
        <w:rFonts w:ascii="宋体" w:hAnsi="宋体"/>
        <w:sz w:val="28"/>
        <w:szCs w:val="28"/>
      </w:rPr>
      <w:t xml:space="preserve"> —</w:t>
    </w:r>
  </w:p>
  <w:p>
    <w:pPr>
      <w:pStyle w:val="5"/>
      <w:ind w:left="320" w:leftChars="100" w:right="320" w:rightChars="10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61E8E"/>
    <w:multiLevelType w:val="singleLevel"/>
    <w:tmpl w:val="9A361E8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16AD4"/>
    <w:rsid w:val="0033508D"/>
    <w:rsid w:val="00746A83"/>
    <w:rsid w:val="00830529"/>
    <w:rsid w:val="01216AD4"/>
    <w:rsid w:val="015616CC"/>
    <w:rsid w:val="019D1F60"/>
    <w:rsid w:val="01A84532"/>
    <w:rsid w:val="01B33975"/>
    <w:rsid w:val="01F9750F"/>
    <w:rsid w:val="01FF2F70"/>
    <w:rsid w:val="025D05A2"/>
    <w:rsid w:val="025F3BE0"/>
    <w:rsid w:val="02632372"/>
    <w:rsid w:val="02CE2781"/>
    <w:rsid w:val="02F749DC"/>
    <w:rsid w:val="03243C3F"/>
    <w:rsid w:val="0358046B"/>
    <w:rsid w:val="03752056"/>
    <w:rsid w:val="0375454A"/>
    <w:rsid w:val="03904FC2"/>
    <w:rsid w:val="03B64BD0"/>
    <w:rsid w:val="046A24DD"/>
    <w:rsid w:val="048A42A5"/>
    <w:rsid w:val="04D7389D"/>
    <w:rsid w:val="04D85CDF"/>
    <w:rsid w:val="05101584"/>
    <w:rsid w:val="057E2434"/>
    <w:rsid w:val="05E74F7D"/>
    <w:rsid w:val="05ED0CBF"/>
    <w:rsid w:val="05FC7143"/>
    <w:rsid w:val="06043D34"/>
    <w:rsid w:val="062C36A4"/>
    <w:rsid w:val="06810B1F"/>
    <w:rsid w:val="06C06CBB"/>
    <w:rsid w:val="073E2493"/>
    <w:rsid w:val="074F3ACE"/>
    <w:rsid w:val="07CF0235"/>
    <w:rsid w:val="07E41947"/>
    <w:rsid w:val="07EC0077"/>
    <w:rsid w:val="082B21E3"/>
    <w:rsid w:val="086415A8"/>
    <w:rsid w:val="087936CD"/>
    <w:rsid w:val="089C0004"/>
    <w:rsid w:val="08E66218"/>
    <w:rsid w:val="09246378"/>
    <w:rsid w:val="09B6487B"/>
    <w:rsid w:val="09D46BED"/>
    <w:rsid w:val="0A2D38F7"/>
    <w:rsid w:val="0A3B2444"/>
    <w:rsid w:val="0A9A4233"/>
    <w:rsid w:val="0AA21FD2"/>
    <w:rsid w:val="0B15056D"/>
    <w:rsid w:val="0B426E63"/>
    <w:rsid w:val="0C3B5DFC"/>
    <w:rsid w:val="0C782EED"/>
    <w:rsid w:val="0CB479DB"/>
    <w:rsid w:val="0CC50EC4"/>
    <w:rsid w:val="0CE02234"/>
    <w:rsid w:val="0CE8131C"/>
    <w:rsid w:val="0D3D55DC"/>
    <w:rsid w:val="0DE11F5C"/>
    <w:rsid w:val="0E233B25"/>
    <w:rsid w:val="0E6A08EF"/>
    <w:rsid w:val="0E6F2EBC"/>
    <w:rsid w:val="0E805F77"/>
    <w:rsid w:val="0E913A8E"/>
    <w:rsid w:val="0ED2762A"/>
    <w:rsid w:val="0F085E77"/>
    <w:rsid w:val="0F2B1121"/>
    <w:rsid w:val="0FE10920"/>
    <w:rsid w:val="0FE43692"/>
    <w:rsid w:val="101C4AEE"/>
    <w:rsid w:val="102B0E36"/>
    <w:rsid w:val="103C0D96"/>
    <w:rsid w:val="10AA4803"/>
    <w:rsid w:val="10D05C25"/>
    <w:rsid w:val="10E15E99"/>
    <w:rsid w:val="11876FDC"/>
    <w:rsid w:val="11D307C0"/>
    <w:rsid w:val="12462C20"/>
    <w:rsid w:val="12E72EB3"/>
    <w:rsid w:val="13956E83"/>
    <w:rsid w:val="13D87E3C"/>
    <w:rsid w:val="13E5451C"/>
    <w:rsid w:val="13EC787D"/>
    <w:rsid w:val="13F54809"/>
    <w:rsid w:val="14A237EF"/>
    <w:rsid w:val="14BF4A24"/>
    <w:rsid w:val="14C00A21"/>
    <w:rsid w:val="14E06041"/>
    <w:rsid w:val="14F11518"/>
    <w:rsid w:val="15765C05"/>
    <w:rsid w:val="15E458A9"/>
    <w:rsid w:val="168E1389"/>
    <w:rsid w:val="16B6122C"/>
    <w:rsid w:val="16BF7953"/>
    <w:rsid w:val="16E81624"/>
    <w:rsid w:val="172D27B3"/>
    <w:rsid w:val="17327567"/>
    <w:rsid w:val="173E2302"/>
    <w:rsid w:val="17E40A58"/>
    <w:rsid w:val="1803324E"/>
    <w:rsid w:val="181C7365"/>
    <w:rsid w:val="181F0D29"/>
    <w:rsid w:val="1824015D"/>
    <w:rsid w:val="18250B87"/>
    <w:rsid w:val="18A37385"/>
    <w:rsid w:val="18AD7A77"/>
    <w:rsid w:val="18B32E3E"/>
    <w:rsid w:val="19486B2F"/>
    <w:rsid w:val="198706FE"/>
    <w:rsid w:val="19DD5F82"/>
    <w:rsid w:val="1A8D3F6E"/>
    <w:rsid w:val="1AA93662"/>
    <w:rsid w:val="1ABA0557"/>
    <w:rsid w:val="1ABB7AD2"/>
    <w:rsid w:val="1B297C27"/>
    <w:rsid w:val="1B3C040C"/>
    <w:rsid w:val="1B443ED4"/>
    <w:rsid w:val="1B653E39"/>
    <w:rsid w:val="1B8844C5"/>
    <w:rsid w:val="1BCF0C72"/>
    <w:rsid w:val="1BFD4618"/>
    <w:rsid w:val="1C067130"/>
    <w:rsid w:val="1C522F56"/>
    <w:rsid w:val="1C871E9B"/>
    <w:rsid w:val="1C9652B4"/>
    <w:rsid w:val="1CA85946"/>
    <w:rsid w:val="1CAA4862"/>
    <w:rsid w:val="1D21684B"/>
    <w:rsid w:val="1D33222B"/>
    <w:rsid w:val="1D4B50A7"/>
    <w:rsid w:val="1D87564C"/>
    <w:rsid w:val="1DBC51BF"/>
    <w:rsid w:val="1E1A1CA2"/>
    <w:rsid w:val="1EA9215E"/>
    <w:rsid w:val="1EAC36FF"/>
    <w:rsid w:val="1EBB4EBA"/>
    <w:rsid w:val="1EC45C77"/>
    <w:rsid w:val="1EE3355A"/>
    <w:rsid w:val="1F6B688A"/>
    <w:rsid w:val="1F8B2DA9"/>
    <w:rsid w:val="1FEB247A"/>
    <w:rsid w:val="20376731"/>
    <w:rsid w:val="204E58A4"/>
    <w:rsid w:val="20DC6D5B"/>
    <w:rsid w:val="21241C42"/>
    <w:rsid w:val="21A02966"/>
    <w:rsid w:val="21A40446"/>
    <w:rsid w:val="22331150"/>
    <w:rsid w:val="22797205"/>
    <w:rsid w:val="22804740"/>
    <w:rsid w:val="2291738E"/>
    <w:rsid w:val="22A078D4"/>
    <w:rsid w:val="22D601A4"/>
    <w:rsid w:val="22FC1108"/>
    <w:rsid w:val="231C1612"/>
    <w:rsid w:val="23816F3C"/>
    <w:rsid w:val="23893F3D"/>
    <w:rsid w:val="23C23E74"/>
    <w:rsid w:val="23CC6FBA"/>
    <w:rsid w:val="23CE782A"/>
    <w:rsid w:val="24101EF4"/>
    <w:rsid w:val="242723DB"/>
    <w:rsid w:val="24AC64D2"/>
    <w:rsid w:val="253C596F"/>
    <w:rsid w:val="25A345BD"/>
    <w:rsid w:val="25D901B7"/>
    <w:rsid w:val="25EF775E"/>
    <w:rsid w:val="26110F37"/>
    <w:rsid w:val="264E4CF8"/>
    <w:rsid w:val="265D19CB"/>
    <w:rsid w:val="26661AD1"/>
    <w:rsid w:val="267D155A"/>
    <w:rsid w:val="2696556B"/>
    <w:rsid w:val="27300AF9"/>
    <w:rsid w:val="275725C2"/>
    <w:rsid w:val="277C0D76"/>
    <w:rsid w:val="279E7FB8"/>
    <w:rsid w:val="27C42117"/>
    <w:rsid w:val="283A1B5A"/>
    <w:rsid w:val="283A30F0"/>
    <w:rsid w:val="287B79A9"/>
    <w:rsid w:val="288D00B9"/>
    <w:rsid w:val="28A062B1"/>
    <w:rsid w:val="28A162EA"/>
    <w:rsid w:val="28A92B11"/>
    <w:rsid w:val="28BD7C5B"/>
    <w:rsid w:val="28C809AB"/>
    <w:rsid w:val="28D65C6D"/>
    <w:rsid w:val="28F52669"/>
    <w:rsid w:val="29037F42"/>
    <w:rsid w:val="29142640"/>
    <w:rsid w:val="29EC6811"/>
    <w:rsid w:val="2A0D5DB7"/>
    <w:rsid w:val="2A0F3B2B"/>
    <w:rsid w:val="2A5F1B48"/>
    <w:rsid w:val="2A8908AD"/>
    <w:rsid w:val="2AAA1565"/>
    <w:rsid w:val="2B18591E"/>
    <w:rsid w:val="2B9F1AEA"/>
    <w:rsid w:val="2BB31252"/>
    <w:rsid w:val="2BB65C4B"/>
    <w:rsid w:val="2BBA1D7A"/>
    <w:rsid w:val="2BC616C1"/>
    <w:rsid w:val="2C226C9B"/>
    <w:rsid w:val="2C262789"/>
    <w:rsid w:val="2C5F2F8E"/>
    <w:rsid w:val="2C8E173D"/>
    <w:rsid w:val="2CAC6D23"/>
    <w:rsid w:val="2CAF41EC"/>
    <w:rsid w:val="2CB52F4D"/>
    <w:rsid w:val="2CB73C1A"/>
    <w:rsid w:val="2CE035A0"/>
    <w:rsid w:val="2CE07ECB"/>
    <w:rsid w:val="2D0F1F65"/>
    <w:rsid w:val="2D3B317D"/>
    <w:rsid w:val="2D4015A8"/>
    <w:rsid w:val="2D885FD6"/>
    <w:rsid w:val="2DB45CF9"/>
    <w:rsid w:val="2DC80366"/>
    <w:rsid w:val="2DFC01BD"/>
    <w:rsid w:val="2E792B91"/>
    <w:rsid w:val="2E7B79F2"/>
    <w:rsid w:val="2E850845"/>
    <w:rsid w:val="2EC00817"/>
    <w:rsid w:val="2F765260"/>
    <w:rsid w:val="2FAB2512"/>
    <w:rsid w:val="2FC9277A"/>
    <w:rsid w:val="2FE459FC"/>
    <w:rsid w:val="308C3765"/>
    <w:rsid w:val="308F06CA"/>
    <w:rsid w:val="30A37AB6"/>
    <w:rsid w:val="313522BE"/>
    <w:rsid w:val="31651057"/>
    <w:rsid w:val="31D83BD1"/>
    <w:rsid w:val="31DB19EA"/>
    <w:rsid w:val="31E360A3"/>
    <w:rsid w:val="31FF72EE"/>
    <w:rsid w:val="323762E7"/>
    <w:rsid w:val="3238765C"/>
    <w:rsid w:val="329D2BC9"/>
    <w:rsid w:val="32BA7043"/>
    <w:rsid w:val="32CC5605"/>
    <w:rsid w:val="32E73680"/>
    <w:rsid w:val="32EF4E85"/>
    <w:rsid w:val="32F06EB3"/>
    <w:rsid w:val="3353059A"/>
    <w:rsid w:val="33A87B0B"/>
    <w:rsid w:val="34026ADF"/>
    <w:rsid w:val="351D5211"/>
    <w:rsid w:val="355D3948"/>
    <w:rsid w:val="362A0005"/>
    <w:rsid w:val="362F0E2C"/>
    <w:rsid w:val="367A0434"/>
    <w:rsid w:val="36934F73"/>
    <w:rsid w:val="375F0D63"/>
    <w:rsid w:val="37754E3F"/>
    <w:rsid w:val="37D47571"/>
    <w:rsid w:val="3882072E"/>
    <w:rsid w:val="38954942"/>
    <w:rsid w:val="38E91173"/>
    <w:rsid w:val="3903380A"/>
    <w:rsid w:val="39205D91"/>
    <w:rsid w:val="39297A50"/>
    <w:rsid w:val="39A8707C"/>
    <w:rsid w:val="3A903311"/>
    <w:rsid w:val="3B8B2D9B"/>
    <w:rsid w:val="3B9E13F3"/>
    <w:rsid w:val="3BB65B65"/>
    <w:rsid w:val="3BEE6A67"/>
    <w:rsid w:val="3BF60FBD"/>
    <w:rsid w:val="3C117E9B"/>
    <w:rsid w:val="3C5E661E"/>
    <w:rsid w:val="3C6267B0"/>
    <w:rsid w:val="3D05783A"/>
    <w:rsid w:val="3D627F31"/>
    <w:rsid w:val="3D8A7857"/>
    <w:rsid w:val="3E4344A0"/>
    <w:rsid w:val="3EA521B9"/>
    <w:rsid w:val="3ED8034C"/>
    <w:rsid w:val="3F572D9A"/>
    <w:rsid w:val="3F94190F"/>
    <w:rsid w:val="3FBB7569"/>
    <w:rsid w:val="402421FC"/>
    <w:rsid w:val="409F7DF1"/>
    <w:rsid w:val="415970B7"/>
    <w:rsid w:val="41944F11"/>
    <w:rsid w:val="41C93465"/>
    <w:rsid w:val="422A3437"/>
    <w:rsid w:val="42FF68D4"/>
    <w:rsid w:val="43AC7F13"/>
    <w:rsid w:val="43DA7696"/>
    <w:rsid w:val="43FC7733"/>
    <w:rsid w:val="441E138D"/>
    <w:rsid w:val="442720C4"/>
    <w:rsid w:val="44D837BF"/>
    <w:rsid w:val="44DE7B75"/>
    <w:rsid w:val="454E369F"/>
    <w:rsid w:val="45784D64"/>
    <w:rsid w:val="45E84446"/>
    <w:rsid w:val="46955A2E"/>
    <w:rsid w:val="46C802F9"/>
    <w:rsid w:val="46C853E9"/>
    <w:rsid w:val="4725301A"/>
    <w:rsid w:val="479754E6"/>
    <w:rsid w:val="47DC5084"/>
    <w:rsid w:val="47DF0311"/>
    <w:rsid w:val="48162F82"/>
    <w:rsid w:val="482A32BB"/>
    <w:rsid w:val="483C0C3D"/>
    <w:rsid w:val="48504F56"/>
    <w:rsid w:val="485B1E1D"/>
    <w:rsid w:val="486D4879"/>
    <w:rsid w:val="48F201B3"/>
    <w:rsid w:val="48F603A0"/>
    <w:rsid w:val="49293D12"/>
    <w:rsid w:val="49314D58"/>
    <w:rsid w:val="49991292"/>
    <w:rsid w:val="49AB0147"/>
    <w:rsid w:val="49B57CCF"/>
    <w:rsid w:val="49C13CDA"/>
    <w:rsid w:val="4A010F12"/>
    <w:rsid w:val="4A47717F"/>
    <w:rsid w:val="4A6C250B"/>
    <w:rsid w:val="4A8D288C"/>
    <w:rsid w:val="4AFF40CF"/>
    <w:rsid w:val="4B0253E7"/>
    <w:rsid w:val="4B093E48"/>
    <w:rsid w:val="4B2931C4"/>
    <w:rsid w:val="4B491ACD"/>
    <w:rsid w:val="4B87414A"/>
    <w:rsid w:val="4BB01219"/>
    <w:rsid w:val="4C3B6FD6"/>
    <w:rsid w:val="4C8400E3"/>
    <w:rsid w:val="4CD83D9A"/>
    <w:rsid w:val="4CF034A7"/>
    <w:rsid w:val="4D847C88"/>
    <w:rsid w:val="4D882936"/>
    <w:rsid w:val="4E0C45ED"/>
    <w:rsid w:val="4E60057E"/>
    <w:rsid w:val="4E607AA6"/>
    <w:rsid w:val="4F365B54"/>
    <w:rsid w:val="4F8E4D34"/>
    <w:rsid w:val="500C50E6"/>
    <w:rsid w:val="500D0650"/>
    <w:rsid w:val="5017044C"/>
    <w:rsid w:val="504056AC"/>
    <w:rsid w:val="50961551"/>
    <w:rsid w:val="50C156A6"/>
    <w:rsid w:val="51270E15"/>
    <w:rsid w:val="51433658"/>
    <w:rsid w:val="51730E36"/>
    <w:rsid w:val="521809A4"/>
    <w:rsid w:val="522570AD"/>
    <w:rsid w:val="53073EC7"/>
    <w:rsid w:val="53173F2F"/>
    <w:rsid w:val="531D76DE"/>
    <w:rsid w:val="535C7115"/>
    <w:rsid w:val="53964B46"/>
    <w:rsid w:val="539954B5"/>
    <w:rsid w:val="5418707D"/>
    <w:rsid w:val="541B660A"/>
    <w:rsid w:val="54372806"/>
    <w:rsid w:val="5486384F"/>
    <w:rsid w:val="54C67211"/>
    <w:rsid w:val="54CD28F0"/>
    <w:rsid w:val="54EF569B"/>
    <w:rsid w:val="55094AA4"/>
    <w:rsid w:val="553A272F"/>
    <w:rsid w:val="555629A1"/>
    <w:rsid w:val="555901FC"/>
    <w:rsid w:val="55673DD9"/>
    <w:rsid w:val="556A0123"/>
    <w:rsid w:val="55D13B92"/>
    <w:rsid w:val="55DB3503"/>
    <w:rsid w:val="55FD3876"/>
    <w:rsid w:val="56967BAF"/>
    <w:rsid w:val="56F2213A"/>
    <w:rsid w:val="572E12A6"/>
    <w:rsid w:val="576B0A14"/>
    <w:rsid w:val="5795424C"/>
    <w:rsid w:val="57B642D7"/>
    <w:rsid w:val="57C65E39"/>
    <w:rsid w:val="57EB475E"/>
    <w:rsid w:val="583024A5"/>
    <w:rsid w:val="583D44A6"/>
    <w:rsid w:val="589442B3"/>
    <w:rsid w:val="5894588C"/>
    <w:rsid w:val="58DA3F9F"/>
    <w:rsid w:val="591C4A42"/>
    <w:rsid w:val="59325590"/>
    <w:rsid w:val="596F7E63"/>
    <w:rsid w:val="59E6448B"/>
    <w:rsid w:val="59EB39EB"/>
    <w:rsid w:val="5A4E3446"/>
    <w:rsid w:val="5AE419F3"/>
    <w:rsid w:val="5B09009F"/>
    <w:rsid w:val="5B0C0E6F"/>
    <w:rsid w:val="5B0D3D0F"/>
    <w:rsid w:val="5B42586C"/>
    <w:rsid w:val="5B44185E"/>
    <w:rsid w:val="5B7A2200"/>
    <w:rsid w:val="5B873F08"/>
    <w:rsid w:val="5B9B2AFD"/>
    <w:rsid w:val="5C087DA5"/>
    <w:rsid w:val="5C5F5BBA"/>
    <w:rsid w:val="5CC941AF"/>
    <w:rsid w:val="5CE2341B"/>
    <w:rsid w:val="5D3A1C30"/>
    <w:rsid w:val="5D7A041C"/>
    <w:rsid w:val="5DBC1E4E"/>
    <w:rsid w:val="5E036D41"/>
    <w:rsid w:val="5E2F430C"/>
    <w:rsid w:val="5E8B6B4E"/>
    <w:rsid w:val="5ED4162E"/>
    <w:rsid w:val="5EEF1076"/>
    <w:rsid w:val="5F2047B5"/>
    <w:rsid w:val="5F3771AF"/>
    <w:rsid w:val="5F42210C"/>
    <w:rsid w:val="5F584FAB"/>
    <w:rsid w:val="5FE94AF7"/>
    <w:rsid w:val="60332EF4"/>
    <w:rsid w:val="6069316D"/>
    <w:rsid w:val="60A040C1"/>
    <w:rsid w:val="612E702C"/>
    <w:rsid w:val="615426AE"/>
    <w:rsid w:val="61A1464C"/>
    <w:rsid w:val="61BA6EAA"/>
    <w:rsid w:val="621A6DC0"/>
    <w:rsid w:val="62530D55"/>
    <w:rsid w:val="62CD4DAE"/>
    <w:rsid w:val="63527B0D"/>
    <w:rsid w:val="636225D9"/>
    <w:rsid w:val="63C37224"/>
    <w:rsid w:val="63ED30CE"/>
    <w:rsid w:val="640276B3"/>
    <w:rsid w:val="64247C5F"/>
    <w:rsid w:val="64483FA5"/>
    <w:rsid w:val="644D4E2C"/>
    <w:rsid w:val="64D715B3"/>
    <w:rsid w:val="64DB2180"/>
    <w:rsid w:val="64F47DDB"/>
    <w:rsid w:val="651A23E1"/>
    <w:rsid w:val="65275E57"/>
    <w:rsid w:val="654C67D3"/>
    <w:rsid w:val="657770D0"/>
    <w:rsid w:val="65846E74"/>
    <w:rsid w:val="65BB1D25"/>
    <w:rsid w:val="66002F36"/>
    <w:rsid w:val="660D5D0B"/>
    <w:rsid w:val="662B12AA"/>
    <w:rsid w:val="66623FF8"/>
    <w:rsid w:val="666D4EDB"/>
    <w:rsid w:val="6684557D"/>
    <w:rsid w:val="66AD7AF8"/>
    <w:rsid w:val="67383119"/>
    <w:rsid w:val="67AC676D"/>
    <w:rsid w:val="67C31CAB"/>
    <w:rsid w:val="67C43F5B"/>
    <w:rsid w:val="67E828E2"/>
    <w:rsid w:val="68F9686A"/>
    <w:rsid w:val="69482FB8"/>
    <w:rsid w:val="695A5CC1"/>
    <w:rsid w:val="699A2EA6"/>
    <w:rsid w:val="69C96DF9"/>
    <w:rsid w:val="69F46BCA"/>
    <w:rsid w:val="6A74733B"/>
    <w:rsid w:val="6A8C4ED6"/>
    <w:rsid w:val="6ADC03D5"/>
    <w:rsid w:val="6B2023C2"/>
    <w:rsid w:val="6B220EA2"/>
    <w:rsid w:val="6BAC5A16"/>
    <w:rsid w:val="6BDE466E"/>
    <w:rsid w:val="6BFD11EE"/>
    <w:rsid w:val="6C022D8C"/>
    <w:rsid w:val="6C317857"/>
    <w:rsid w:val="6C966E9C"/>
    <w:rsid w:val="6CB041FC"/>
    <w:rsid w:val="6CEA7890"/>
    <w:rsid w:val="6D540799"/>
    <w:rsid w:val="6D951868"/>
    <w:rsid w:val="6DA46CFE"/>
    <w:rsid w:val="6DFF3B3A"/>
    <w:rsid w:val="6E113DD1"/>
    <w:rsid w:val="6E117CA7"/>
    <w:rsid w:val="6E123C9E"/>
    <w:rsid w:val="6E1A06FC"/>
    <w:rsid w:val="6E884168"/>
    <w:rsid w:val="6EBA3EB8"/>
    <w:rsid w:val="6EBF3E9B"/>
    <w:rsid w:val="6F0C2610"/>
    <w:rsid w:val="6F846C3F"/>
    <w:rsid w:val="6FC62AD4"/>
    <w:rsid w:val="70651785"/>
    <w:rsid w:val="70687F65"/>
    <w:rsid w:val="706B5E1B"/>
    <w:rsid w:val="707631E6"/>
    <w:rsid w:val="70C01947"/>
    <w:rsid w:val="71496D7D"/>
    <w:rsid w:val="71EA0C55"/>
    <w:rsid w:val="72587C2D"/>
    <w:rsid w:val="72841720"/>
    <w:rsid w:val="728B6DBF"/>
    <w:rsid w:val="7316794F"/>
    <w:rsid w:val="73355796"/>
    <w:rsid w:val="73703210"/>
    <w:rsid w:val="73715316"/>
    <w:rsid w:val="73B74061"/>
    <w:rsid w:val="73C76E92"/>
    <w:rsid w:val="741C29A7"/>
    <w:rsid w:val="7431580D"/>
    <w:rsid w:val="747B0E11"/>
    <w:rsid w:val="74A64798"/>
    <w:rsid w:val="74D50151"/>
    <w:rsid w:val="74E624EB"/>
    <w:rsid w:val="753257B5"/>
    <w:rsid w:val="757667A7"/>
    <w:rsid w:val="7608409B"/>
    <w:rsid w:val="762717D4"/>
    <w:rsid w:val="76387641"/>
    <w:rsid w:val="767B52A2"/>
    <w:rsid w:val="76D650C5"/>
    <w:rsid w:val="77890690"/>
    <w:rsid w:val="778D77CE"/>
    <w:rsid w:val="7820621D"/>
    <w:rsid w:val="78460212"/>
    <w:rsid w:val="78473418"/>
    <w:rsid w:val="79463603"/>
    <w:rsid w:val="794B723B"/>
    <w:rsid w:val="799E6018"/>
    <w:rsid w:val="7A234C1A"/>
    <w:rsid w:val="7A4E3870"/>
    <w:rsid w:val="7A8B0BEE"/>
    <w:rsid w:val="7B472D18"/>
    <w:rsid w:val="7BBB1E54"/>
    <w:rsid w:val="7BCE66CD"/>
    <w:rsid w:val="7BCF3E62"/>
    <w:rsid w:val="7BD06A0D"/>
    <w:rsid w:val="7BDB05BB"/>
    <w:rsid w:val="7BE21661"/>
    <w:rsid w:val="7C1D7F4F"/>
    <w:rsid w:val="7C5B7546"/>
    <w:rsid w:val="7C736266"/>
    <w:rsid w:val="7CA8000B"/>
    <w:rsid w:val="7D611E42"/>
    <w:rsid w:val="7DA309D5"/>
    <w:rsid w:val="7DF86C15"/>
    <w:rsid w:val="7E2C54F8"/>
    <w:rsid w:val="7E2C678A"/>
    <w:rsid w:val="7E4A1E85"/>
    <w:rsid w:val="7E58619C"/>
    <w:rsid w:val="7EC6244F"/>
    <w:rsid w:val="7F244373"/>
    <w:rsid w:val="7F6939A1"/>
    <w:rsid w:val="7F9872B0"/>
    <w:rsid w:val="7FFD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semiHidden/>
    <w:qFormat/>
    <w:uiPriority w:val="99"/>
    <w:pPr>
      <w:snapToGrid w:val="0"/>
      <w:spacing w:line="640" w:lineRule="exact"/>
      <w:ind w:firstLine="705"/>
    </w:pPr>
    <w:rPr>
      <w:rFonts w:ascii="宋体" w:hAnsi="Times New Roman" w:cs="仿宋_GB2312"/>
      <w:color w:val="000000"/>
      <w:szCs w:val="36"/>
    </w:rPr>
  </w:style>
  <w:style w:type="paragraph" w:styleId="7">
    <w:name w:val="Normal (Web)"/>
    <w:basedOn w:val="1"/>
    <w:qFormat/>
    <w:uiPriority w:val="99"/>
    <w:pPr>
      <w:spacing w:beforeAutospacing="1" w:afterAutospacing="1"/>
      <w:jc w:val="left"/>
    </w:pPr>
    <w:rPr>
      <w:rFonts w:cs="Calibri"/>
      <w:kern w:val="0"/>
      <w:sz w:val="24"/>
      <w:szCs w:val="24"/>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character" w:styleId="12">
    <w:name w:val="page number"/>
    <w:qFormat/>
    <w:uiPriority w:val="99"/>
    <w:rPr>
      <w:rFonts w:cs="Times New Roman"/>
    </w:rPr>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 w:type="character" w:styleId="15">
    <w:name w:val="annotation reference"/>
    <w:semiHidden/>
    <w:unhideWhenUsed/>
    <w:qFormat/>
    <w:uiPriority w:val="99"/>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2021-09-16T07:49:00Z</dcterms:created>
  <dc:creator>Administrator</dc:creator>
  <cp:lastModifiedBy>Administrator</cp:lastModifiedBy>
  <cp:lastPrinted>2021-10-25T06:43:00Z</cp:lastPrinted>
  <dcterms:modified xsi:type="dcterms:W3CDTF">2021-12-17T07:31:11Z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