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adjustRightInd w:val="0"/>
        <w:snapToGrid w:val="0"/>
        <w:spacing w:line="520" w:lineRule="exact"/>
        <w:ind w:left="0" w:leftChars="0" w:right="0" w:firstLine="0" w:firstLineChars="0"/>
        <w:jc w:val="center"/>
        <w:textAlignment w:val="auto"/>
        <w:outlineLvl w:val="9"/>
        <w:rPr>
          <w:rFonts w:hint="eastAsia" w:ascii="黑体" w:hAnsi="MS PMincho" w:eastAsia="黑体"/>
          <w:color w:val="000000"/>
          <w:sz w:val="36"/>
          <w:szCs w:val="36"/>
          <w:lang w:val="en-US" w:eastAsia="zh-CN"/>
        </w:rPr>
      </w:pPr>
      <w:bookmarkStart w:id="0" w:name="_Toc5884"/>
      <w:bookmarkStart w:id="1" w:name="_Toc31383"/>
      <w:bookmarkStart w:id="2" w:name="_Toc18837"/>
      <w:bookmarkStart w:id="4" w:name="_GoBack"/>
      <w:bookmarkEnd w:id="4"/>
      <w:r>
        <w:rPr>
          <w:rFonts w:hint="eastAsia" w:ascii="黑体" w:hAnsi="MS PMincho" w:eastAsia="黑体"/>
          <w:color w:val="000000"/>
          <w:sz w:val="36"/>
          <w:szCs w:val="36"/>
          <w:lang w:val="en-US" w:eastAsia="zh-CN"/>
        </w:rPr>
        <w:t>关于促进商业承兑汇票业务</w:t>
      </w:r>
      <w:bookmarkStart w:id="3" w:name="_Toc11684"/>
      <w:bookmarkEnd w:id="0"/>
      <w:r>
        <w:rPr>
          <w:rFonts w:hint="eastAsia" w:ascii="黑体" w:hAnsi="MS PMincho" w:eastAsia="黑体"/>
          <w:color w:val="000000"/>
          <w:sz w:val="36"/>
          <w:szCs w:val="36"/>
          <w:lang w:val="en-US" w:eastAsia="zh-CN"/>
        </w:rPr>
        <w:t>发展的指导意见</w:t>
      </w:r>
      <w:bookmarkEnd w:id="1"/>
      <w:bookmarkEnd w:id="2"/>
      <w:bookmarkEnd w:id="3"/>
    </w:p>
    <w:p>
      <w:pPr>
        <w:widowControl/>
        <w:wordWrap/>
        <w:adjustRightInd/>
        <w:snapToGrid/>
        <w:spacing w:line="520" w:lineRule="exact"/>
        <w:ind w:left="0" w:leftChars="0" w:right="0"/>
        <w:jc w:val="center"/>
        <w:textAlignment w:val="auto"/>
        <w:outlineLvl w:val="9"/>
        <w:rPr>
          <w:rFonts w:hint="eastAsia" w:ascii="仿宋_GB2312" w:hAnsi="宋体" w:eastAsia="仿宋_GB2312" w:cs="宋体"/>
          <w:bCs/>
          <w:color w:val="000000"/>
          <w:kern w:val="0"/>
          <w:sz w:val="32"/>
          <w:szCs w:val="32"/>
          <w:highlight w:val="none"/>
          <w:lang w:val="en-US" w:eastAsia="zh-CN"/>
        </w:rPr>
      </w:pPr>
      <w:r>
        <w:rPr>
          <w:rFonts w:hint="eastAsia" w:ascii="仿宋_GB2312" w:hAnsi="宋体" w:eastAsia="仿宋_GB2312" w:cs="宋体"/>
          <w:bCs/>
          <w:color w:val="000000"/>
          <w:kern w:val="0"/>
          <w:sz w:val="32"/>
          <w:szCs w:val="32"/>
          <w:highlight w:val="none"/>
          <w:lang w:val="en-US" w:eastAsia="zh-CN"/>
        </w:rPr>
        <w:t>（征求意见稿）</w:t>
      </w:r>
    </w:p>
    <w:p>
      <w:pPr>
        <w:widowControl/>
        <w:wordWrap/>
        <w:adjustRightInd/>
        <w:snapToGrid/>
        <w:spacing w:line="520" w:lineRule="exact"/>
        <w:ind w:left="0" w:leftChars="0" w:right="0"/>
        <w:jc w:val="center"/>
        <w:textAlignment w:val="auto"/>
        <w:outlineLvl w:val="9"/>
        <w:rPr>
          <w:rFonts w:hint="eastAsia" w:ascii="仿宋_GB2312" w:hAnsi="宋体" w:eastAsia="仿宋_GB2312" w:cs="宋体"/>
          <w:bCs/>
          <w:color w:val="000000"/>
          <w:kern w:val="0"/>
          <w:sz w:val="32"/>
          <w:szCs w:val="32"/>
          <w:highlight w:val="none"/>
          <w:lang w:val="en-US" w:eastAsia="zh-CN"/>
        </w:rPr>
      </w:pPr>
    </w:p>
    <w:p>
      <w:pPr>
        <w:widowControl/>
        <w:wordWrap/>
        <w:adjustRightInd w:val="0"/>
        <w:snapToGrid w:val="0"/>
        <w:spacing w:line="520" w:lineRule="exact"/>
        <w:ind w:left="0" w:leftChars="0" w:right="0" w:firstLine="600" w:firstLineChars="200"/>
        <w:jc w:val="both"/>
        <w:textAlignment w:val="auto"/>
        <w:outlineLvl w:val="9"/>
        <w:rPr>
          <w:rFonts w:hint="eastAsia" w:ascii="仿宋_GB2312" w:hAnsi="宋体" w:eastAsia="仿宋_GB2312" w:cs="宋体"/>
          <w:bCs/>
          <w:color w:val="000000"/>
          <w:kern w:val="0"/>
          <w:sz w:val="30"/>
          <w:szCs w:val="30"/>
          <w:highlight w:val="none"/>
          <w:lang w:val="en-US" w:eastAsia="zh-CN"/>
        </w:rPr>
      </w:pPr>
      <w:r>
        <w:rPr>
          <w:rFonts w:hint="eastAsia" w:ascii="仿宋_GB2312" w:hAnsi="宋体" w:eastAsia="仿宋_GB2312" w:cs="宋体"/>
          <w:bCs/>
          <w:color w:val="000000"/>
          <w:kern w:val="0"/>
          <w:sz w:val="30"/>
          <w:szCs w:val="30"/>
          <w:highlight w:val="none"/>
          <w:lang w:val="en-US" w:eastAsia="zh-CN"/>
        </w:rPr>
        <w:t>为贯彻落实《关于规范和促进电子商业汇票业务发展的通知》（银发[2016]224号）和《关于进一步深化小微企业金融服务的意见》（银发〔2018〕162号）要求，</w:t>
      </w:r>
      <w:r>
        <w:rPr>
          <w:rFonts w:hint="eastAsia" w:ascii="仿宋_GB2312" w:hAnsi="仿宋_GB2312" w:eastAsia="仿宋_GB2312" w:cs="仿宋_GB2312"/>
          <w:sz w:val="30"/>
          <w:szCs w:val="30"/>
          <w:lang w:val="en-US" w:eastAsia="zh-CN"/>
        </w:rPr>
        <w:t>进一步发挥商业承兑汇票对社会经济发展的促进作用，引导和鼓励商</w:t>
      </w:r>
      <w:r>
        <w:rPr>
          <w:rFonts w:hint="eastAsia" w:ascii="仿宋_GB2312" w:hAnsi="仿宋_GB2312" w:eastAsia="仿宋_GB2312" w:cs="仿宋_GB2312"/>
          <w:sz w:val="30"/>
          <w:szCs w:val="30"/>
          <w:lang w:eastAsia="zh-CN"/>
        </w:rPr>
        <w:t>业信用发展，助推产业链融资</w:t>
      </w:r>
      <w:r>
        <w:rPr>
          <w:rFonts w:hint="eastAsia" w:ascii="仿宋_GB2312" w:hAnsi="仿宋_GB2312" w:eastAsia="仿宋_GB2312" w:cs="仿宋_GB2312"/>
          <w:sz w:val="30"/>
          <w:szCs w:val="30"/>
          <w:lang w:val="en-US" w:eastAsia="zh-CN"/>
        </w:rPr>
        <w:t>,</w:t>
      </w:r>
      <w:r>
        <w:rPr>
          <w:rFonts w:hint="eastAsia" w:ascii="仿宋_GB2312" w:hAnsi="宋体" w:eastAsia="仿宋_GB2312" w:cs="宋体"/>
          <w:bCs/>
          <w:color w:val="000000"/>
          <w:kern w:val="0"/>
          <w:sz w:val="30"/>
          <w:szCs w:val="30"/>
          <w:highlight w:val="none"/>
          <w:lang w:val="en-US" w:eastAsia="zh-CN"/>
        </w:rPr>
        <w:t>缓解小微企业融资难题，人民银行济宁市中心支行、济宁市金融办、济宁银监分局制定了《关于促进商业承兑汇票业务发展的指导意见》，请认真组织贯彻落实。</w:t>
      </w:r>
    </w:p>
    <w:p>
      <w:pPr>
        <w:widowControl/>
        <w:numPr>
          <w:numId w:val="0"/>
        </w:numPr>
        <w:wordWrap/>
        <w:adjustRightInd w:val="0"/>
        <w:snapToGrid w:val="0"/>
        <w:spacing w:line="520" w:lineRule="exact"/>
        <w:ind w:left="0" w:leftChars="0" w:right="0" w:firstLine="600" w:firstLineChars="200"/>
        <w:textAlignment w:val="auto"/>
        <w:outlineLvl w:val="9"/>
        <w:rPr>
          <w:rFonts w:hint="eastAsia" w:ascii="黑体" w:hAnsi="黑体" w:eastAsia="黑体" w:cs="黑体"/>
          <w:b w:val="0"/>
          <w:bCs w:val="0"/>
          <w:i w:val="0"/>
          <w:caps w:val="0"/>
          <w:color w:val="000000"/>
          <w:spacing w:val="0"/>
          <w:sz w:val="30"/>
          <w:szCs w:val="30"/>
          <w:shd w:val="clear" w:color="auto" w:fill="FFFFFF"/>
          <w:lang w:eastAsia="zh-CN"/>
        </w:rPr>
      </w:pPr>
      <w:r>
        <w:rPr>
          <w:rFonts w:hint="eastAsia" w:ascii="黑体" w:hAnsi="黑体" w:eastAsia="黑体" w:cs="黑体"/>
          <w:b w:val="0"/>
          <w:bCs w:val="0"/>
          <w:i w:val="0"/>
          <w:caps w:val="0"/>
          <w:color w:val="000000"/>
          <w:spacing w:val="0"/>
          <w:sz w:val="30"/>
          <w:szCs w:val="30"/>
          <w:shd w:val="clear" w:color="auto" w:fill="FFFFFF"/>
        </w:rPr>
        <w:t>一、统一思想，深刻认识发展商业承兑汇票业务的</w:t>
      </w:r>
      <w:r>
        <w:rPr>
          <w:rFonts w:hint="eastAsia" w:ascii="黑体" w:hAnsi="黑体" w:eastAsia="黑体" w:cs="黑体"/>
          <w:b w:val="0"/>
          <w:bCs w:val="0"/>
          <w:i w:val="0"/>
          <w:caps w:val="0"/>
          <w:color w:val="000000"/>
          <w:spacing w:val="0"/>
          <w:sz w:val="30"/>
          <w:szCs w:val="30"/>
          <w:shd w:val="clear" w:color="auto" w:fill="FFFFFF"/>
          <w:lang w:eastAsia="zh-CN"/>
        </w:rPr>
        <w:t>重要意义</w:t>
      </w:r>
    </w:p>
    <w:p>
      <w:pPr>
        <w:widowControl/>
        <w:numPr>
          <w:numId w:val="0"/>
        </w:numPr>
        <w:wordWrap/>
        <w:adjustRightInd w:val="0"/>
        <w:snapToGrid w:val="0"/>
        <w:spacing w:line="520" w:lineRule="exact"/>
        <w:ind w:left="0" w:leftChars="0" w:right="0" w:firstLine="600" w:firstLineChars="200"/>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商业承兑汇票（以下</w:t>
      </w:r>
      <w:r>
        <w:rPr>
          <w:rFonts w:hint="eastAsia" w:ascii="仿宋_GB2312" w:hAnsi="宋体" w:eastAsia="仿宋_GB2312" w:cs="宋体"/>
          <w:bCs/>
          <w:color w:val="000000"/>
          <w:kern w:val="0"/>
          <w:sz w:val="30"/>
          <w:szCs w:val="30"/>
          <w:highlight w:val="none"/>
          <w:lang w:val="en-US" w:eastAsia="zh-CN"/>
        </w:rPr>
        <w:t>简称“商票”）</w:t>
      </w:r>
      <w:r>
        <w:rPr>
          <w:rFonts w:hint="eastAsia" w:ascii="仿宋_GB2312" w:hAnsi="仿宋_GB2312" w:eastAsia="仿宋_GB2312" w:cs="仿宋_GB2312"/>
          <w:sz w:val="30"/>
          <w:szCs w:val="30"/>
          <w:lang w:val="en-US" w:eastAsia="zh-CN"/>
        </w:rPr>
        <w:t>，是建立在商业信用基础上的信用支付工具，具有权利义务明确、可约期付款、可转让贴现等特点。推广使用商票，有利于丰富企业支付手段，协调企业产供销关系；有利于缓解企业间货款拖欠，维护正常顺畅的商品交易秩序；有利于促进银行信用和企业商业信用的有机结合，缓解中小企业融资难的矛盾；有利于促进商业信用票据化，丰富票据市场工具，促进票据市场发展；有利于建立和完善良好的信用机制，增强社会信用意识，提高社会信用程度。</w:t>
      </w:r>
    </w:p>
    <w:p>
      <w:pPr>
        <w:pStyle w:val="5"/>
        <w:widowControl/>
        <w:pBdr>
          <w:top w:val="none" w:color="auto" w:sz="0" w:space="0"/>
          <w:left w:val="none" w:color="auto" w:sz="0" w:space="0"/>
          <w:bottom w:val="none" w:color="auto" w:sz="0" w:space="0"/>
          <w:right w:val="none" w:color="auto" w:sz="0" w:space="0"/>
        </w:pBdr>
        <w:wordWrap/>
        <w:adjustRightInd/>
        <w:snapToGrid w:val="0"/>
        <w:spacing w:beforeAutospacing="0" w:afterAutospacing="0" w:line="520" w:lineRule="exact"/>
        <w:ind w:left="0" w:leftChars="0" w:right="0" w:firstLine="600" w:firstLineChars="200"/>
        <w:jc w:val="both"/>
        <w:textAlignment w:val="auto"/>
        <w:outlineLvl w:val="9"/>
        <w:rPr>
          <w:rFonts w:hint="eastAsia" w:ascii="黑体" w:hAnsi="黑体" w:eastAsia="黑体" w:cs="黑体"/>
          <w:b w:val="0"/>
          <w:bCs w:val="0"/>
          <w:i w:val="0"/>
          <w:caps w:val="0"/>
          <w:color w:val="auto"/>
          <w:spacing w:val="0"/>
          <w:sz w:val="30"/>
          <w:szCs w:val="30"/>
          <w:shd w:val="clear" w:color="auto" w:fill="FFFFFF"/>
        </w:rPr>
      </w:pPr>
      <w:r>
        <w:rPr>
          <w:rFonts w:hint="eastAsia" w:ascii="黑体" w:hAnsi="黑体" w:eastAsia="黑体" w:cs="黑体"/>
          <w:b w:val="0"/>
          <w:bCs w:val="0"/>
          <w:i w:val="0"/>
          <w:caps w:val="0"/>
          <w:color w:val="auto"/>
          <w:spacing w:val="0"/>
          <w:sz w:val="30"/>
          <w:szCs w:val="30"/>
          <w:shd w:val="clear" w:color="auto" w:fill="FFFFFF"/>
        </w:rPr>
        <w:t>二、</w:t>
      </w:r>
      <w:r>
        <w:rPr>
          <w:rFonts w:hint="eastAsia" w:ascii="黑体" w:hAnsi="黑体" w:eastAsia="黑体" w:cs="黑体"/>
          <w:b w:val="0"/>
          <w:bCs w:val="0"/>
          <w:i w:val="0"/>
          <w:caps w:val="0"/>
          <w:color w:val="auto"/>
          <w:spacing w:val="0"/>
          <w:sz w:val="30"/>
          <w:szCs w:val="30"/>
          <w:shd w:val="clear" w:color="auto" w:fill="FFFFFF"/>
          <w:lang w:eastAsia="zh-CN"/>
        </w:rPr>
        <w:t>积极推动</w:t>
      </w:r>
      <w:r>
        <w:rPr>
          <w:rFonts w:hint="eastAsia" w:ascii="黑体" w:hAnsi="黑体" w:eastAsia="黑体" w:cs="黑体"/>
          <w:b w:val="0"/>
          <w:bCs w:val="0"/>
          <w:i w:val="0"/>
          <w:caps w:val="0"/>
          <w:color w:val="auto"/>
          <w:spacing w:val="0"/>
          <w:sz w:val="30"/>
          <w:szCs w:val="30"/>
          <w:shd w:val="clear" w:color="auto" w:fill="FFFFFF"/>
          <w:lang w:val="en-US" w:eastAsia="zh-CN"/>
        </w:rPr>
        <w:t>发展商票业务</w:t>
      </w:r>
      <w:r>
        <w:rPr>
          <w:rFonts w:hint="eastAsia" w:ascii="黑体" w:hAnsi="黑体" w:eastAsia="黑体" w:cs="黑体"/>
          <w:b w:val="0"/>
          <w:bCs w:val="0"/>
          <w:i w:val="0"/>
          <w:caps w:val="0"/>
          <w:color w:val="auto"/>
          <w:spacing w:val="0"/>
          <w:sz w:val="30"/>
          <w:szCs w:val="30"/>
          <w:shd w:val="clear" w:color="auto" w:fill="FFFFFF"/>
          <w:lang w:eastAsia="zh-CN"/>
        </w:rPr>
        <w:t>，突出支持重点</w:t>
      </w:r>
    </w:p>
    <w:p>
      <w:pPr>
        <w:widowControl/>
        <w:wordWrap/>
        <w:adjustRightInd w:val="0"/>
        <w:snapToGrid w:val="0"/>
        <w:spacing w:line="520" w:lineRule="exact"/>
        <w:ind w:left="0" w:leftChars="0" w:right="0" w:firstLine="600" w:firstLineChars="200"/>
        <w:jc w:val="both"/>
        <w:textAlignment w:val="auto"/>
        <w:outlineLvl w:val="9"/>
        <w:rPr>
          <w:rFonts w:hint="eastAsia" w:ascii="仿宋_GB2312" w:hAnsi="宋体" w:eastAsia="仿宋_GB2312" w:cs="宋体"/>
          <w:bCs/>
          <w:color w:val="auto"/>
          <w:kern w:val="0"/>
          <w:sz w:val="30"/>
          <w:szCs w:val="30"/>
          <w:highlight w:val="none"/>
          <w:lang w:val="en-US" w:eastAsia="zh-CN"/>
        </w:rPr>
      </w:pPr>
      <w:r>
        <w:rPr>
          <w:rFonts w:hint="eastAsia" w:ascii="楷体_GB2312" w:hAnsi="楷体_GB2312" w:eastAsia="楷体_GB2312" w:cs="楷体_GB2312"/>
          <w:b/>
          <w:bCs w:val="0"/>
          <w:color w:val="auto"/>
          <w:kern w:val="0"/>
          <w:sz w:val="30"/>
          <w:szCs w:val="30"/>
          <w:highlight w:val="none"/>
          <w:lang w:val="en-US" w:eastAsia="zh-CN"/>
        </w:rPr>
        <w:t>（一）发展商票业务的原则、中期目标</w:t>
      </w:r>
      <w:r>
        <w:rPr>
          <w:rFonts w:hint="eastAsia" w:ascii="仿宋_GB2312" w:hAnsi="宋体" w:eastAsia="仿宋_GB2312" w:cs="宋体"/>
          <w:bCs/>
          <w:color w:val="auto"/>
          <w:kern w:val="0"/>
          <w:sz w:val="30"/>
          <w:szCs w:val="30"/>
          <w:highlight w:val="none"/>
          <w:lang w:val="en-US" w:eastAsia="zh-CN"/>
        </w:rPr>
        <w:t>。</w:t>
      </w:r>
      <w:r>
        <w:rPr>
          <w:rFonts w:hint="eastAsia" w:ascii="仿宋_GB2312" w:hAnsi="仿宋_GB2312" w:eastAsia="仿宋_GB2312" w:cs="仿宋_GB2312"/>
          <w:color w:val="auto"/>
          <w:sz w:val="30"/>
          <w:szCs w:val="30"/>
          <w:lang w:val="en-US" w:eastAsia="zh-CN"/>
        </w:rPr>
        <w:t>推动商票发展遵循“遵纪守法、诚实信用、协商自愿、信息公开”的原则，</w:t>
      </w:r>
      <w:r>
        <w:rPr>
          <w:rFonts w:hint="eastAsia" w:ascii="仿宋_GB2312" w:hAnsi="宋体" w:eastAsia="仿宋_GB2312" w:cs="宋体"/>
          <w:bCs/>
          <w:color w:val="auto"/>
          <w:kern w:val="0"/>
          <w:sz w:val="30"/>
          <w:szCs w:val="30"/>
          <w:highlight w:val="none"/>
          <w:lang w:val="en-US" w:eastAsia="zh-CN"/>
        </w:rPr>
        <w:t>力争经过三年的大力推动，构建推动商票规范发展的组织体系，探索适应商票市场化、规范化发展的有效机制和创新措施，在全市形成供应链与商业信用票据化深度融合、票据电子化和信用体系建设相互依托、业务推广与风险防范并重的商票发展新格局。</w:t>
      </w:r>
    </w:p>
    <w:p>
      <w:pPr>
        <w:widowControl/>
        <w:numPr>
          <w:numId w:val="0"/>
        </w:numPr>
        <w:wordWrap/>
        <w:adjustRightInd w:val="0"/>
        <w:snapToGrid w:val="0"/>
        <w:spacing w:line="520" w:lineRule="exact"/>
        <w:ind w:left="0" w:leftChars="0" w:right="0" w:firstLine="600" w:firstLineChars="200"/>
        <w:jc w:val="both"/>
        <w:textAlignment w:val="auto"/>
        <w:outlineLvl w:val="9"/>
        <w:rPr>
          <w:rFonts w:hint="eastAsia" w:ascii="仿宋_GB2312" w:hAnsi="宋体" w:eastAsia="仿宋_GB2312" w:cs="宋体"/>
          <w:bCs/>
          <w:color w:val="000000"/>
          <w:kern w:val="0"/>
          <w:sz w:val="30"/>
          <w:szCs w:val="30"/>
          <w:highlight w:val="none"/>
          <w:lang w:val="en-US" w:eastAsia="zh-CN"/>
        </w:rPr>
      </w:pPr>
      <w:r>
        <w:rPr>
          <w:rFonts w:hint="eastAsia" w:ascii="楷体_GB2312" w:hAnsi="楷体_GB2312" w:eastAsia="楷体_GB2312" w:cs="楷体_GB2312"/>
          <w:b/>
          <w:bCs w:val="0"/>
          <w:color w:val="000000"/>
          <w:kern w:val="0"/>
          <w:sz w:val="30"/>
          <w:szCs w:val="30"/>
          <w:highlight w:val="none"/>
          <w:lang w:val="en-US" w:eastAsia="zh-CN"/>
        </w:rPr>
        <w:t>（二）确定商票重点推广企业</w:t>
      </w:r>
      <w:r>
        <w:rPr>
          <w:rFonts w:hint="eastAsia" w:ascii="楷体_GB2312" w:hAnsi="楷体_GB2312" w:eastAsia="楷体_GB2312" w:cs="楷体_GB2312"/>
          <w:bCs/>
          <w:color w:val="000000"/>
          <w:kern w:val="0"/>
          <w:sz w:val="30"/>
          <w:szCs w:val="30"/>
          <w:highlight w:val="none"/>
          <w:lang w:val="en-US" w:eastAsia="zh-CN"/>
        </w:rPr>
        <w:t>。</w:t>
      </w:r>
      <w:r>
        <w:rPr>
          <w:rFonts w:hint="eastAsia" w:ascii="仿宋_GB2312" w:hAnsi="宋体" w:eastAsia="仿宋_GB2312" w:cs="宋体"/>
          <w:bCs/>
          <w:color w:val="000000"/>
          <w:kern w:val="0"/>
          <w:sz w:val="30"/>
          <w:szCs w:val="30"/>
          <w:highlight w:val="none"/>
          <w:lang w:val="en-US" w:eastAsia="zh-CN"/>
        </w:rPr>
        <w:t>商票重点推广企业优先从以下企业中筛选：全市新旧动能转换重大工程实施企业；符合国家产业政策和信贷扶持政策的优质中小企业；有规模优势、行业优势的行业龙头企业；新材料、新能源、节能环保等符合绿色经济趋势的高新技术企业；全市“510”工程企业等。</w:t>
      </w:r>
    </w:p>
    <w:p>
      <w:pPr>
        <w:pStyle w:val="11"/>
        <w:widowControl w:val="0"/>
        <w:wordWrap/>
        <w:adjustRightInd/>
        <w:snapToGrid/>
        <w:spacing w:line="520" w:lineRule="exact"/>
        <w:ind w:left="0" w:leftChars="0" w:right="0" w:firstLine="600" w:firstLineChars="200"/>
        <w:jc w:val="both"/>
        <w:textAlignment w:val="auto"/>
        <w:outlineLvl w:val="9"/>
        <w:rPr>
          <w:rFonts w:hint="eastAsia" w:ascii="楷体_GB2312" w:hAnsi="楷体_GB2312" w:eastAsia="楷体_GB2312" w:cs="楷体_GB2312"/>
          <w:b/>
          <w:bCs w:val="0"/>
          <w:color w:val="000000"/>
          <w:kern w:val="0"/>
          <w:sz w:val="30"/>
          <w:szCs w:val="30"/>
          <w:highlight w:val="none"/>
          <w:lang w:val="en-US" w:eastAsia="zh-CN"/>
        </w:rPr>
      </w:pPr>
      <w:r>
        <w:rPr>
          <w:rFonts w:hint="eastAsia" w:ascii="楷体_GB2312" w:hAnsi="楷体_GB2312" w:eastAsia="楷体_GB2312" w:cs="楷体_GB2312"/>
          <w:b/>
          <w:bCs w:val="0"/>
          <w:color w:val="000000"/>
          <w:kern w:val="0"/>
          <w:sz w:val="30"/>
          <w:szCs w:val="30"/>
          <w:highlight w:val="none"/>
          <w:lang w:val="en-US" w:eastAsia="zh-CN"/>
        </w:rPr>
        <w:t>（三）实施商票发展“白名单”制度。</w:t>
      </w:r>
      <w:r>
        <w:rPr>
          <w:rFonts w:hint="eastAsia" w:ascii="仿宋_GB2312" w:eastAsia="仿宋_GB2312"/>
          <w:color w:val="000000"/>
          <w:sz w:val="30"/>
          <w:szCs w:val="30"/>
        </w:rPr>
        <w:t>结合</w:t>
      </w:r>
      <w:r>
        <w:rPr>
          <w:rFonts w:hint="eastAsia" w:ascii="仿宋_GB2312" w:eastAsia="仿宋_GB2312"/>
          <w:color w:val="000000"/>
          <w:sz w:val="30"/>
          <w:szCs w:val="30"/>
          <w:lang w:eastAsia="zh-CN"/>
        </w:rPr>
        <w:t>济宁</w:t>
      </w:r>
      <w:r>
        <w:rPr>
          <w:rFonts w:hint="eastAsia" w:ascii="仿宋_GB2312" w:eastAsia="仿宋_GB2312"/>
          <w:color w:val="000000"/>
          <w:sz w:val="30"/>
          <w:szCs w:val="30"/>
        </w:rPr>
        <w:t>市产业链转型升级整体规划与企业实际需求，</w:t>
      </w:r>
      <w:r>
        <w:rPr>
          <w:rFonts w:hint="eastAsia" w:ascii="仿宋_GB2312" w:eastAsia="仿宋_GB2312"/>
          <w:color w:val="000000"/>
          <w:sz w:val="30"/>
          <w:szCs w:val="30"/>
          <w:lang w:eastAsia="zh-CN"/>
        </w:rPr>
        <w:t>定期评选公布</w:t>
      </w:r>
      <w:r>
        <w:rPr>
          <w:rFonts w:hint="eastAsia" w:ascii="仿宋_GB2312" w:eastAsia="仿宋_GB2312"/>
          <w:color w:val="000000"/>
          <w:sz w:val="30"/>
          <w:szCs w:val="30"/>
          <w:lang w:val="en-US" w:eastAsia="zh-CN"/>
        </w:rPr>
        <w:t>商票推广企业“白名单”。“白名单”企业采取</w:t>
      </w:r>
      <w:r>
        <w:rPr>
          <w:rFonts w:hint="eastAsia" w:ascii="仿宋_GB2312" w:eastAsia="仿宋_GB2312"/>
          <w:color w:val="000000"/>
          <w:sz w:val="30"/>
          <w:szCs w:val="30"/>
        </w:rPr>
        <w:t>银行业金融机构推荐，市级金融管理部门认定的</w:t>
      </w:r>
      <w:r>
        <w:rPr>
          <w:rFonts w:hint="eastAsia" w:ascii="仿宋_GB2312" w:eastAsia="仿宋_GB2312"/>
          <w:color w:val="000000"/>
          <w:sz w:val="30"/>
          <w:szCs w:val="30"/>
          <w:lang w:eastAsia="zh-CN"/>
        </w:rPr>
        <w:t>方式产生</w:t>
      </w:r>
      <w:r>
        <w:rPr>
          <w:rFonts w:hint="eastAsia" w:ascii="仿宋_GB2312" w:eastAsia="仿宋_GB2312"/>
          <w:color w:val="000000"/>
          <w:sz w:val="30"/>
          <w:szCs w:val="30"/>
        </w:rPr>
        <w:t>。</w:t>
      </w:r>
      <w:r>
        <w:rPr>
          <w:rFonts w:hint="eastAsia" w:ascii="仿宋_GB2312" w:hAnsi="宋体" w:eastAsia="仿宋_GB2312" w:cs="宋体"/>
          <w:bCs/>
          <w:color w:val="000000"/>
          <w:kern w:val="0"/>
          <w:sz w:val="30"/>
          <w:szCs w:val="30"/>
          <w:highlight w:val="none"/>
          <w:lang w:val="en-US" w:eastAsia="zh-CN"/>
        </w:rPr>
        <w:t>名单内企业将享有一定的政策优惠：主办银行优先提供商票保贴、保兑等增信服务；金融机构对企业</w:t>
      </w:r>
      <w:r>
        <w:rPr>
          <w:rFonts w:hint="eastAsia" w:ascii="仿宋_GB2312" w:eastAsia="仿宋_GB2312"/>
          <w:color w:val="000000"/>
          <w:sz w:val="30"/>
          <w:szCs w:val="30"/>
        </w:rPr>
        <w:t>实施差别化的信贷政策，</w:t>
      </w:r>
      <w:r>
        <w:rPr>
          <w:rFonts w:hint="eastAsia" w:ascii="仿宋_GB2312" w:hAnsi="宋体" w:eastAsia="仿宋_GB2312" w:cs="宋体"/>
          <w:bCs/>
          <w:color w:val="000000"/>
          <w:kern w:val="0"/>
          <w:sz w:val="30"/>
          <w:szCs w:val="30"/>
          <w:highlight w:val="none"/>
          <w:lang w:val="en-US" w:eastAsia="zh-CN"/>
        </w:rPr>
        <w:t>降低贴现利率，优先给予贴现；</w:t>
      </w:r>
      <w:r>
        <w:rPr>
          <w:rFonts w:hint="eastAsia" w:ascii="仿宋_GB2312" w:eastAsia="仿宋_GB2312"/>
          <w:color w:val="000000"/>
          <w:sz w:val="30"/>
          <w:szCs w:val="30"/>
        </w:rPr>
        <w:t>人民银行给予再贴现政策支持。</w:t>
      </w:r>
    </w:p>
    <w:p>
      <w:pPr>
        <w:pStyle w:val="5"/>
        <w:widowControl/>
        <w:pBdr>
          <w:top w:val="none" w:color="auto" w:sz="0" w:space="0"/>
          <w:left w:val="none" w:color="auto" w:sz="0" w:space="0"/>
          <w:bottom w:val="none" w:color="auto" w:sz="0" w:space="0"/>
          <w:right w:val="none" w:color="auto" w:sz="0" w:space="0"/>
        </w:pBdr>
        <w:wordWrap/>
        <w:adjustRightInd/>
        <w:snapToGrid w:val="0"/>
        <w:spacing w:beforeAutospacing="0" w:afterAutospacing="0" w:line="520" w:lineRule="exact"/>
        <w:ind w:left="0" w:leftChars="0" w:right="0" w:firstLine="600" w:firstLineChars="200"/>
        <w:jc w:val="both"/>
        <w:textAlignment w:val="auto"/>
        <w:outlineLvl w:val="9"/>
        <w:rPr>
          <w:rFonts w:hint="eastAsia" w:ascii="黑体" w:hAnsi="黑体" w:eastAsia="黑体" w:cs="黑体"/>
          <w:b w:val="0"/>
          <w:bCs w:val="0"/>
          <w:i w:val="0"/>
          <w:caps w:val="0"/>
          <w:color w:val="000000"/>
          <w:spacing w:val="0"/>
          <w:sz w:val="30"/>
          <w:szCs w:val="30"/>
          <w:shd w:val="clear" w:color="auto" w:fill="FFFFFF"/>
          <w:lang w:val="en-US" w:eastAsia="zh-CN"/>
        </w:rPr>
      </w:pPr>
      <w:r>
        <w:rPr>
          <w:rFonts w:hint="eastAsia" w:ascii="黑体" w:hAnsi="黑体" w:eastAsia="黑体" w:cs="黑体"/>
          <w:b w:val="0"/>
          <w:bCs w:val="0"/>
          <w:i w:val="0"/>
          <w:caps w:val="0"/>
          <w:color w:val="000000"/>
          <w:spacing w:val="0"/>
          <w:sz w:val="30"/>
          <w:szCs w:val="30"/>
          <w:shd w:val="clear" w:color="auto" w:fill="FFFFFF"/>
          <w:lang w:val="en-US" w:eastAsia="zh-CN"/>
        </w:rPr>
        <w:t>三、调动各方积极性，建立有效推广商票的良性机制</w:t>
      </w:r>
    </w:p>
    <w:p>
      <w:pPr>
        <w:widowControl/>
        <w:numPr>
          <w:numId w:val="0"/>
        </w:numPr>
        <w:wordWrap/>
        <w:adjustRightInd w:val="0"/>
        <w:snapToGrid w:val="0"/>
        <w:spacing w:line="520" w:lineRule="exact"/>
        <w:ind w:left="0" w:leftChars="0" w:right="0" w:firstLine="600" w:firstLineChars="200"/>
        <w:jc w:val="both"/>
        <w:textAlignment w:val="auto"/>
        <w:outlineLvl w:val="9"/>
        <w:rPr>
          <w:rFonts w:hint="eastAsia" w:ascii="仿宋_GB2312" w:hAnsi="宋体" w:eastAsia="仿宋_GB2312" w:cs="宋体"/>
          <w:bCs/>
          <w:color w:val="000000"/>
          <w:kern w:val="0"/>
          <w:sz w:val="30"/>
          <w:szCs w:val="30"/>
          <w:highlight w:val="none"/>
          <w:lang w:val="en-US" w:eastAsia="zh-CN"/>
        </w:rPr>
      </w:pPr>
      <w:r>
        <w:rPr>
          <w:rFonts w:hint="eastAsia" w:ascii="楷体_GB2312" w:hAnsi="楷体_GB2312" w:eastAsia="楷体_GB2312" w:cs="楷体_GB2312"/>
          <w:b/>
          <w:bCs w:val="0"/>
          <w:color w:val="000000"/>
          <w:kern w:val="0"/>
          <w:sz w:val="30"/>
          <w:szCs w:val="30"/>
          <w:highlight w:val="none"/>
          <w:lang w:val="en-US" w:eastAsia="zh-CN"/>
        </w:rPr>
        <w:t>（一）商业银行要积极支持商票规范发展。</w:t>
      </w:r>
      <w:r>
        <w:rPr>
          <w:rFonts w:hint="eastAsia" w:ascii="仿宋_GB2312" w:hAnsi="宋体" w:eastAsia="仿宋_GB2312" w:cs="宋体"/>
          <w:bCs/>
          <w:color w:val="000000"/>
          <w:kern w:val="0"/>
          <w:sz w:val="30"/>
          <w:szCs w:val="30"/>
          <w:highlight w:val="none"/>
          <w:lang w:val="en-US" w:eastAsia="zh-CN"/>
        </w:rPr>
        <w:t>各商业银行要积极向企业宣传推广商票的重要意义和对改善企业经营的作用，引导企业积极参与商票推广。要针对商票重点推广企业和“白名单”企业研究提供综合金融服务，切实提高金融服务水平和质量。要转变观念，创新商票业务的开展形式，发掘新的利润增长点，实现银企双赢。大力推广银行信用助推企业商业信用的模式，采取对商票保函、保证、保贴等形式，提高商票信用保障程度。做好对商票的授信工作，对信用状况良好的企业签发的商票给予贴现支持。要逐步提高商票在再贴现中的比重。顺应票据电子化发展趋势，辖区重点推广的商票全部采用电子票据形式，商票的签发、转让、流通、贴现、转贴现、再贴现、兑付等全部通过上海票据交易所的电子商业汇票系统进行。</w:t>
      </w:r>
    </w:p>
    <w:p>
      <w:pPr>
        <w:widowControl/>
        <w:numPr>
          <w:numId w:val="0"/>
        </w:numPr>
        <w:wordWrap/>
        <w:adjustRightInd w:val="0"/>
        <w:snapToGrid w:val="0"/>
        <w:spacing w:line="520" w:lineRule="exact"/>
        <w:ind w:left="0" w:leftChars="0" w:right="0" w:firstLine="600" w:firstLineChars="200"/>
        <w:jc w:val="both"/>
        <w:textAlignment w:val="auto"/>
        <w:outlineLvl w:val="9"/>
        <w:rPr>
          <w:rFonts w:hint="eastAsia" w:ascii="仿宋_GB2312" w:hAnsi="宋体" w:eastAsia="仿宋_GB2312" w:cs="宋体"/>
          <w:bCs/>
          <w:color w:val="000000"/>
          <w:kern w:val="0"/>
          <w:sz w:val="30"/>
          <w:szCs w:val="30"/>
          <w:highlight w:val="none"/>
          <w:lang w:val="en-US" w:eastAsia="zh-CN"/>
        </w:rPr>
      </w:pPr>
      <w:r>
        <w:rPr>
          <w:rFonts w:hint="eastAsia" w:ascii="楷体_GB2312" w:hAnsi="楷体_GB2312" w:eastAsia="楷体_GB2312" w:cs="楷体_GB2312"/>
          <w:b/>
          <w:bCs w:val="0"/>
          <w:color w:val="000000"/>
          <w:kern w:val="0"/>
          <w:sz w:val="30"/>
          <w:szCs w:val="30"/>
          <w:highlight w:val="none"/>
          <w:lang w:val="en-US" w:eastAsia="zh-CN"/>
        </w:rPr>
        <w:t>（二）企业要规范推广商票业务。</w:t>
      </w:r>
      <w:r>
        <w:rPr>
          <w:rFonts w:hint="eastAsia" w:ascii="仿宋_GB2312" w:hAnsi="宋体" w:eastAsia="仿宋_GB2312" w:cs="宋体"/>
          <w:bCs/>
          <w:color w:val="000000"/>
          <w:kern w:val="0"/>
          <w:sz w:val="30"/>
          <w:szCs w:val="30"/>
          <w:highlight w:val="none"/>
          <w:lang w:val="en-US" w:eastAsia="zh-CN"/>
        </w:rPr>
        <w:t>企业可利用商票约期支付的特点，在延付货款时，通过签发商票予以支付。鼓励收款单位利用上海票交所电票系统的支付信用查询功能和其他途径，在了解出票人和承兑人的资信状况的基础上，接受商票，提高合同履约率。企业使用商票时，切实加强风险防控，遵守商票签发、承兑、背书、贴现、兑付的各项规定，严格遵循真实贸易背景要求，杜绝通过关联关系虚构交易套取银行资金，避免盲目承兑和债务膨胀。</w:t>
      </w:r>
    </w:p>
    <w:p>
      <w:pPr>
        <w:widowControl/>
        <w:wordWrap/>
        <w:adjustRightInd w:val="0"/>
        <w:snapToGrid w:val="0"/>
        <w:spacing w:line="520" w:lineRule="exact"/>
        <w:ind w:left="0" w:leftChars="0" w:right="0" w:firstLine="600" w:firstLineChars="200"/>
        <w:jc w:val="both"/>
        <w:textAlignment w:val="auto"/>
        <w:outlineLvl w:val="9"/>
        <w:rPr>
          <w:rFonts w:hint="eastAsia" w:ascii="仿宋_GB2312" w:hAnsi="宋体" w:eastAsia="仿宋_GB2312" w:cs="宋体"/>
          <w:bCs/>
          <w:color w:val="000000"/>
          <w:kern w:val="0"/>
          <w:sz w:val="30"/>
          <w:szCs w:val="30"/>
          <w:highlight w:val="none"/>
          <w:lang w:val="en-US" w:eastAsia="zh-CN"/>
        </w:rPr>
      </w:pPr>
      <w:r>
        <w:rPr>
          <w:rFonts w:hint="eastAsia" w:ascii="楷体_GB2312" w:hAnsi="楷体_GB2312" w:eastAsia="楷体_GB2312" w:cs="楷体_GB2312"/>
          <w:b/>
          <w:bCs w:val="0"/>
          <w:color w:val="000000"/>
          <w:kern w:val="0"/>
          <w:sz w:val="30"/>
          <w:szCs w:val="30"/>
          <w:highlight w:val="none"/>
          <w:lang w:val="en-US" w:eastAsia="zh-CN"/>
        </w:rPr>
        <w:t xml:space="preserve"> （三）保险公司及相关中介机构要积极为区域商票发展提供服务。</w:t>
      </w:r>
      <w:r>
        <w:rPr>
          <w:rFonts w:hint="eastAsia" w:ascii="仿宋_GB2312" w:hAnsi="宋体" w:eastAsia="仿宋_GB2312" w:cs="宋体"/>
          <w:bCs/>
          <w:color w:val="000000"/>
          <w:kern w:val="0"/>
          <w:sz w:val="30"/>
          <w:szCs w:val="30"/>
          <w:highlight w:val="none"/>
          <w:lang w:val="en-US" w:eastAsia="zh-CN"/>
        </w:rPr>
        <w:t>鼓励保险公司及担保公司、评级公司等相关中介机构积极参与区域商票推广工作，为商票推广企业提供履约保险、信用担保、主体和债项评级、交易撮合和投资等中介服务。</w:t>
      </w:r>
    </w:p>
    <w:p>
      <w:pPr>
        <w:widowControl/>
        <w:wordWrap/>
        <w:adjustRightInd w:val="0"/>
        <w:snapToGrid w:val="0"/>
        <w:spacing w:line="520" w:lineRule="exact"/>
        <w:ind w:left="0" w:leftChars="0" w:right="0" w:firstLine="600" w:firstLineChars="200"/>
        <w:jc w:val="both"/>
        <w:textAlignment w:val="auto"/>
        <w:outlineLvl w:val="9"/>
        <w:rPr>
          <w:rFonts w:hint="eastAsia" w:ascii="黑体" w:hAnsi="黑体" w:eastAsia="黑体" w:cs="黑体"/>
          <w:bCs/>
          <w:color w:val="000000"/>
          <w:kern w:val="0"/>
          <w:sz w:val="30"/>
          <w:szCs w:val="30"/>
          <w:highlight w:val="none"/>
          <w:lang w:val="en-US" w:eastAsia="zh-CN"/>
        </w:rPr>
      </w:pPr>
      <w:r>
        <w:rPr>
          <w:rFonts w:hint="eastAsia" w:ascii="黑体" w:hAnsi="黑体" w:eastAsia="黑体" w:cs="黑体"/>
          <w:bCs/>
          <w:color w:val="000000"/>
          <w:kern w:val="0"/>
          <w:sz w:val="30"/>
          <w:szCs w:val="30"/>
          <w:highlight w:val="none"/>
          <w:lang w:val="en-US" w:eastAsia="zh-CN"/>
        </w:rPr>
        <w:t>四、创新推动措施，促进商票业务健康发展</w:t>
      </w:r>
    </w:p>
    <w:p>
      <w:pPr>
        <w:widowControl/>
        <w:numPr>
          <w:numId w:val="0"/>
        </w:numPr>
        <w:wordWrap/>
        <w:adjustRightInd w:val="0"/>
        <w:snapToGrid w:val="0"/>
        <w:spacing w:line="520" w:lineRule="exact"/>
        <w:ind w:left="0" w:leftChars="0" w:right="0" w:firstLine="600" w:firstLineChars="200"/>
        <w:jc w:val="both"/>
        <w:textAlignment w:val="auto"/>
        <w:outlineLvl w:val="9"/>
        <w:rPr>
          <w:rFonts w:hint="eastAsia" w:ascii="仿宋_GB2312" w:hAnsi="宋体" w:eastAsia="仿宋_GB2312" w:cs="宋体"/>
          <w:bCs/>
          <w:color w:val="000000"/>
          <w:kern w:val="0"/>
          <w:sz w:val="30"/>
          <w:szCs w:val="30"/>
          <w:highlight w:val="none"/>
          <w:lang w:val="en-US" w:eastAsia="zh-CN"/>
        </w:rPr>
      </w:pPr>
      <w:r>
        <w:rPr>
          <w:rFonts w:hint="eastAsia" w:ascii="楷体_GB2312" w:hAnsi="楷体_GB2312" w:eastAsia="楷体_GB2312" w:cs="楷体_GB2312"/>
          <w:b/>
          <w:bCs w:val="0"/>
          <w:color w:val="auto"/>
          <w:kern w:val="0"/>
          <w:sz w:val="30"/>
          <w:szCs w:val="30"/>
          <w:highlight w:val="none"/>
          <w:lang w:val="en-US" w:eastAsia="zh-CN"/>
        </w:rPr>
        <w:t>（一）实施商票推广服务主办银行制度</w:t>
      </w:r>
      <w:r>
        <w:rPr>
          <w:rFonts w:hint="eastAsia" w:ascii="仿宋_GB2312" w:hAnsi="宋体" w:eastAsia="仿宋_GB2312" w:cs="宋体"/>
          <w:bCs/>
          <w:color w:val="auto"/>
          <w:kern w:val="0"/>
          <w:sz w:val="30"/>
          <w:szCs w:val="30"/>
          <w:highlight w:val="none"/>
          <w:lang w:val="en-US" w:eastAsia="zh-CN"/>
        </w:rPr>
        <w:t>。</w:t>
      </w:r>
      <w:r>
        <w:rPr>
          <w:rFonts w:hint="eastAsia" w:ascii="仿宋_GB2312" w:hAnsi="宋体" w:eastAsia="仿宋_GB2312" w:cs="宋体"/>
          <w:bCs/>
          <w:color w:val="000000"/>
          <w:kern w:val="0"/>
          <w:sz w:val="30"/>
          <w:szCs w:val="30"/>
          <w:highlight w:val="none"/>
          <w:lang w:val="en-US" w:eastAsia="zh-CN"/>
        </w:rPr>
        <w:t>商业银行要与</w:t>
      </w:r>
      <w:r>
        <w:rPr>
          <w:rFonts w:hint="eastAsia" w:ascii="仿宋_GB2312" w:hAnsi="宋体" w:eastAsia="仿宋_GB2312" w:cs="宋体"/>
          <w:bCs/>
          <w:color w:val="auto"/>
          <w:kern w:val="0"/>
          <w:sz w:val="30"/>
          <w:szCs w:val="30"/>
          <w:highlight w:val="none"/>
          <w:lang w:val="en-US" w:eastAsia="zh-CN"/>
        </w:rPr>
        <w:t>选定的商票推广企业建立主办银行服务机制。采取“一企一策”的支持政策，明确合作服务事项、各方权利义务，并做出守信承诺。主办银行应为商票推广企业提供综合金融服务，对其签发商票提供技术指导和操作便利；并提供保贴增信服务</w:t>
      </w:r>
      <w:r>
        <w:rPr>
          <w:rFonts w:hint="eastAsia" w:ascii="仿宋_GB2312" w:hAnsi="宋体" w:eastAsia="仿宋_GB2312" w:cs="宋体"/>
          <w:bCs/>
          <w:color w:val="000000"/>
          <w:kern w:val="0"/>
          <w:sz w:val="30"/>
          <w:szCs w:val="30"/>
          <w:highlight w:val="none"/>
          <w:lang w:val="en-US" w:eastAsia="zh-CN"/>
        </w:rPr>
        <w:t>，</w:t>
      </w:r>
      <w:r>
        <w:rPr>
          <w:rFonts w:hint="eastAsia" w:ascii="仿宋_GB2312" w:hAnsi="宋体" w:eastAsia="仿宋_GB2312" w:cs="宋体"/>
          <w:bCs/>
          <w:color w:val="auto"/>
          <w:kern w:val="0"/>
          <w:sz w:val="30"/>
          <w:szCs w:val="30"/>
          <w:highlight w:val="none"/>
          <w:lang w:val="en-US" w:eastAsia="zh-CN"/>
        </w:rPr>
        <w:t>保贴额度</w:t>
      </w:r>
      <w:r>
        <w:rPr>
          <w:rFonts w:hint="eastAsia" w:ascii="仿宋_GB2312" w:hAnsi="宋体" w:eastAsia="仿宋_GB2312" w:cs="宋体"/>
          <w:bCs/>
          <w:color w:val="000000"/>
          <w:kern w:val="0"/>
          <w:sz w:val="30"/>
          <w:szCs w:val="30"/>
          <w:highlight w:val="none"/>
          <w:lang w:val="en-US" w:eastAsia="zh-CN"/>
        </w:rPr>
        <w:t>纳入综合授信额度管理，保贴额度内做到见票即贴；结合市场变化，商票贴现价格按信用等级实行差异化定价等。主办银行对签票企业负有管理责任，对签票企业如实披露信息、规划控制签票总量、坚持商票签发的贸易真实性、按时兑付票款等票据行为要及时给予指导、提醒和监督、管理。</w:t>
      </w:r>
    </w:p>
    <w:p>
      <w:pPr>
        <w:widowControl/>
        <w:wordWrap/>
        <w:adjustRightInd w:val="0"/>
        <w:snapToGrid w:val="0"/>
        <w:spacing w:line="520" w:lineRule="exact"/>
        <w:ind w:left="0" w:leftChars="0" w:right="0" w:firstLine="600" w:firstLineChars="200"/>
        <w:jc w:val="both"/>
        <w:textAlignment w:val="auto"/>
        <w:outlineLvl w:val="9"/>
        <w:rPr>
          <w:rFonts w:hint="eastAsia" w:ascii="仿宋_GB2312" w:hAnsi="宋体" w:eastAsia="仿宋_GB2312" w:cs="宋体"/>
          <w:bCs/>
          <w:color w:val="000000"/>
          <w:kern w:val="0"/>
          <w:sz w:val="30"/>
          <w:szCs w:val="30"/>
          <w:highlight w:val="none"/>
          <w:lang w:val="en-US" w:eastAsia="zh-CN"/>
        </w:rPr>
      </w:pPr>
      <w:r>
        <w:rPr>
          <w:rFonts w:hint="eastAsia" w:ascii="楷体_GB2312" w:hAnsi="楷体_GB2312" w:eastAsia="楷体_GB2312" w:cs="楷体_GB2312"/>
          <w:b/>
          <w:bCs w:val="0"/>
          <w:color w:val="000000"/>
          <w:kern w:val="0"/>
          <w:sz w:val="30"/>
          <w:szCs w:val="30"/>
          <w:highlight w:val="none"/>
          <w:lang w:val="en-US" w:eastAsia="zh-CN"/>
        </w:rPr>
        <w:t>（二）探索</w:t>
      </w:r>
      <w:r>
        <w:rPr>
          <w:rFonts w:hint="eastAsia" w:ascii="楷体" w:hAnsi="楷体" w:eastAsia="楷体" w:cs="楷体"/>
          <w:b/>
          <w:bCs w:val="0"/>
          <w:color w:val="000000"/>
          <w:kern w:val="0"/>
          <w:sz w:val="30"/>
          <w:szCs w:val="30"/>
          <w:highlight w:val="none"/>
          <w:lang w:val="en-US" w:eastAsia="zh-CN"/>
        </w:rPr>
        <w:t>构建商票信息服务平台</w:t>
      </w:r>
      <w:r>
        <w:rPr>
          <w:rFonts w:hint="eastAsia" w:ascii="楷体" w:hAnsi="楷体" w:eastAsia="楷体" w:cs="楷体"/>
          <w:b w:val="0"/>
          <w:bCs/>
          <w:color w:val="000000"/>
          <w:kern w:val="0"/>
          <w:sz w:val="30"/>
          <w:szCs w:val="30"/>
          <w:highlight w:val="none"/>
          <w:lang w:val="en-US" w:eastAsia="zh-CN"/>
        </w:rPr>
        <w:t>。</w:t>
      </w:r>
      <w:r>
        <w:rPr>
          <w:rFonts w:hint="eastAsia" w:ascii="仿宋_GB2312" w:hAnsi="仿宋_GB2312" w:eastAsia="仿宋_GB2312" w:cs="仿宋_GB2312"/>
          <w:bCs/>
          <w:color w:val="000000"/>
          <w:kern w:val="0"/>
          <w:sz w:val="30"/>
          <w:szCs w:val="30"/>
          <w:highlight w:val="none"/>
          <w:lang w:val="en-US" w:eastAsia="zh-CN"/>
        </w:rPr>
        <w:t>积极响应国家互联网+现代服务业的政策</w:t>
      </w:r>
      <w:r>
        <w:rPr>
          <w:rFonts w:hint="eastAsia" w:ascii="仿宋_GB2312" w:hAnsi="宋体" w:eastAsia="仿宋_GB2312" w:cs="宋体"/>
          <w:bCs/>
          <w:color w:val="000000"/>
          <w:kern w:val="0"/>
          <w:sz w:val="30"/>
          <w:szCs w:val="30"/>
          <w:highlight w:val="none"/>
          <w:lang w:val="en-US" w:eastAsia="zh-CN"/>
        </w:rPr>
        <w:t>，运用互联网信息技术，构建商票信息服务平台。依托商票信息服务平台开展签票企业及商票信息披露、区域商票价格指数编制、小额商票交易、商票二级市场统计等工作，顺应实体经济需求。商票市场供求双方同步探索改进商票服务的渠道、模式和路径，推动商票推广实践不断创新发展。</w:t>
      </w:r>
    </w:p>
    <w:p>
      <w:pPr>
        <w:widowControl/>
        <w:wordWrap/>
        <w:adjustRightInd w:val="0"/>
        <w:snapToGrid w:val="0"/>
        <w:spacing w:line="520" w:lineRule="exact"/>
        <w:ind w:left="0" w:leftChars="0" w:right="0" w:firstLine="600" w:firstLineChars="200"/>
        <w:jc w:val="both"/>
        <w:textAlignment w:val="auto"/>
        <w:outlineLvl w:val="9"/>
        <w:rPr>
          <w:rFonts w:hint="eastAsia" w:ascii="仿宋_GB2312" w:hAnsi="宋体" w:eastAsia="仿宋_GB2312" w:cs="宋体"/>
          <w:bCs/>
          <w:color w:val="000000"/>
          <w:kern w:val="0"/>
          <w:sz w:val="30"/>
          <w:szCs w:val="30"/>
          <w:highlight w:val="none"/>
          <w:lang w:val="en-US" w:eastAsia="zh-CN"/>
        </w:rPr>
      </w:pPr>
      <w:r>
        <w:rPr>
          <w:rFonts w:hint="eastAsia" w:ascii="楷体_GB2312" w:hAnsi="楷体_GB2312" w:eastAsia="楷体_GB2312" w:cs="楷体_GB2312"/>
          <w:b/>
          <w:bCs w:val="0"/>
          <w:color w:val="000000"/>
          <w:kern w:val="0"/>
          <w:sz w:val="30"/>
          <w:szCs w:val="30"/>
          <w:highlight w:val="none"/>
          <w:lang w:val="en-US" w:eastAsia="zh-CN"/>
        </w:rPr>
        <w:t>（三）试点开展商票的信用评级制度</w:t>
      </w:r>
      <w:r>
        <w:rPr>
          <w:rFonts w:hint="eastAsia" w:ascii="仿宋_GB2312" w:hAnsi="宋体" w:eastAsia="仿宋_GB2312" w:cs="宋体"/>
          <w:bCs/>
          <w:color w:val="000000"/>
          <w:kern w:val="0"/>
          <w:sz w:val="30"/>
          <w:szCs w:val="30"/>
          <w:highlight w:val="none"/>
          <w:lang w:val="en-US" w:eastAsia="zh-CN"/>
        </w:rPr>
        <w:t>。鼓励外部评级机构积极参与商票推广工作，与商票推广组织开展战略合作，探索建立区域商票评级指标体系，创新区域商票评级模式，对签票企业开展主体信用评级，对重点推广企业签发的商票开展债项信用评级，评级结果适时利用商票信息服务平台和上海票交所电票系统的评级信息登记功能进行披露、公示，为商业银行保贴授信、差异化贴现定价充实依据，增强区域商票的社会认知度和影响力。</w:t>
      </w:r>
    </w:p>
    <w:p>
      <w:pPr>
        <w:widowControl/>
        <w:wordWrap/>
        <w:adjustRightInd w:val="0"/>
        <w:snapToGrid w:val="0"/>
        <w:spacing w:line="520" w:lineRule="exact"/>
        <w:ind w:left="0" w:leftChars="0" w:right="0" w:firstLine="600" w:firstLineChars="200"/>
        <w:jc w:val="both"/>
        <w:textAlignment w:val="auto"/>
        <w:outlineLvl w:val="9"/>
        <w:rPr>
          <w:rFonts w:hint="eastAsia" w:ascii="仿宋_GB2312" w:hAnsi="宋体" w:eastAsia="仿宋_GB2312" w:cs="宋体"/>
          <w:bCs/>
          <w:color w:val="000000"/>
          <w:kern w:val="0"/>
          <w:sz w:val="30"/>
          <w:szCs w:val="30"/>
          <w:highlight w:val="none"/>
          <w:lang w:val="en-US" w:eastAsia="zh-CN"/>
        </w:rPr>
      </w:pPr>
      <w:r>
        <w:rPr>
          <w:rFonts w:hint="eastAsia" w:ascii="楷体_GB2312" w:hAnsi="楷体_GB2312" w:eastAsia="楷体_GB2312" w:cs="楷体_GB2312"/>
          <w:b/>
          <w:bCs w:val="0"/>
          <w:i w:val="0"/>
          <w:iCs w:val="0"/>
          <w:color w:val="000000"/>
          <w:kern w:val="0"/>
          <w:sz w:val="30"/>
          <w:szCs w:val="30"/>
          <w:highlight w:val="none"/>
          <w:lang w:val="en-US" w:eastAsia="zh-CN"/>
        </w:rPr>
        <w:t>（四）鼓励采取多种商票增信措施</w:t>
      </w:r>
      <w:r>
        <w:rPr>
          <w:rFonts w:hint="eastAsia" w:ascii="仿宋_GB2312" w:hAnsi="宋体" w:eastAsia="仿宋_GB2312" w:cs="宋体"/>
          <w:bCs/>
          <w:color w:val="000000"/>
          <w:kern w:val="0"/>
          <w:sz w:val="30"/>
          <w:szCs w:val="30"/>
          <w:highlight w:val="none"/>
          <w:lang w:val="en-US" w:eastAsia="zh-CN"/>
        </w:rPr>
        <w:t>。为帮助签票企业解决因信用度和社会认知度不高制约商票顺畅签发、使用问题，鼓励探索、创新多种形式的商票增信措施，促进商票使用和流通。一是支持商业银行对商票重点推广企业签发的商票提供保贴服务，人民银行将按合理比例对商业银行贴现的商票给予再贴现支持；二是鼓励保险公司研究推出商票履约保证保险等业务品种，根据签票企业主体信用等级、商票债项评级和其他增信措施等，确定适当优惠的保险费率；三是鼓励担保公司、中介机构、投资机构、信用等级和社会知名度高的优势企业为商票重点推广企业签发商票提供担保；四是通过争取地方政府或国有控股企业支持资金、重点推广企业交纳互保资金等多渠道筹集资金建立商票推广基金，增进兑付保障，推进商票在更广阔的市场流通。</w:t>
      </w:r>
    </w:p>
    <w:p>
      <w:pPr>
        <w:pStyle w:val="5"/>
        <w:widowControl/>
        <w:pBdr>
          <w:top w:val="none" w:color="auto" w:sz="0" w:space="0"/>
          <w:left w:val="none" w:color="auto" w:sz="0" w:space="0"/>
          <w:bottom w:val="none" w:color="auto" w:sz="0" w:space="0"/>
          <w:right w:val="none" w:color="auto" w:sz="0" w:space="0"/>
        </w:pBdr>
        <w:wordWrap/>
        <w:adjustRightInd/>
        <w:snapToGrid w:val="0"/>
        <w:spacing w:beforeAutospacing="0" w:afterAutospacing="0" w:line="520" w:lineRule="exact"/>
        <w:ind w:left="0" w:leftChars="0" w:right="0" w:firstLine="600" w:firstLineChars="200"/>
        <w:jc w:val="both"/>
        <w:textAlignment w:val="auto"/>
        <w:outlineLvl w:val="9"/>
        <w:rPr>
          <w:rFonts w:hint="eastAsia" w:ascii="黑体" w:hAnsi="黑体" w:eastAsia="黑体" w:cs="黑体"/>
          <w:bCs/>
          <w:color w:val="000000"/>
          <w:kern w:val="0"/>
          <w:sz w:val="30"/>
          <w:szCs w:val="30"/>
          <w:highlight w:val="none"/>
          <w:lang w:val="en-US" w:eastAsia="zh-CN"/>
        </w:rPr>
      </w:pPr>
      <w:r>
        <w:rPr>
          <w:rFonts w:hint="eastAsia" w:ascii="黑体" w:hAnsi="黑体" w:eastAsia="黑体" w:cs="黑体"/>
          <w:bCs/>
          <w:color w:val="000000"/>
          <w:kern w:val="0"/>
          <w:sz w:val="30"/>
          <w:szCs w:val="30"/>
          <w:highlight w:val="none"/>
          <w:lang w:val="en-US" w:eastAsia="zh-CN"/>
        </w:rPr>
        <w:t>五、完善政策保障</w:t>
      </w:r>
      <w:r>
        <w:rPr>
          <w:rFonts w:hint="eastAsia" w:ascii="黑体" w:hAnsi="黑体" w:eastAsia="黑体" w:cs="黑体"/>
          <w:b w:val="0"/>
          <w:bCs w:val="0"/>
          <w:i w:val="0"/>
          <w:caps w:val="0"/>
          <w:color w:val="000000"/>
          <w:spacing w:val="0"/>
          <w:sz w:val="30"/>
          <w:szCs w:val="30"/>
          <w:shd w:val="clear" w:color="auto" w:fill="FFFFFF"/>
        </w:rPr>
        <w:t>体系</w:t>
      </w:r>
      <w:r>
        <w:rPr>
          <w:rFonts w:hint="eastAsia" w:ascii="黑体" w:hAnsi="黑体" w:eastAsia="黑体" w:cs="黑体"/>
          <w:b w:val="0"/>
          <w:bCs w:val="0"/>
          <w:i w:val="0"/>
          <w:caps w:val="0"/>
          <w:color w:val="000000"/>
          <w:spacing w:val="0"/>
          <w:sz w:val="30"/>
          <w:szCs w:val="30"/>
          <w:shd w:val="clear" w:color="auto" w:fill="FFFFFF"/>
          <w:lang w:eastAsia="zh-CN"/>
        </w:rPr>
        <w:t>，</w:t>
      </w:r>
      <w:r>
        <w:rPr>
          <w:rFonts w:hint="eastAsia" w:ascii="黑体" w:hAnsi="黑体" w:eastAsia="黑体" w:cs="黑体"/>
          <w:b w:val="0"/>
          <w:bCs w:val="0"/>
          <w:i w:val="0"/>
          <w:caps w:val="0"/>
          <w:color w:val="000000"/>
          <w:spacing w:val="0"/>
          <w:sz w:val="30"/>
          <w:szCs w:val="30"/>
          <w:shd w:val="clear" w:color="auto" w:fill="FFFFFF"/>
        </w:rPr>
        <w:t>为</w:t>
      </w:r>
      <w:r>
        <w:rPr>
          <w:rFonts w:hint="eastAsia" w:ascii="黑体" w:hAnsi="黑体" w:eastAsia="黑体" w:cs="黑体"/>
          <w:b w:val="0"/>
          <w:bCs w:val="0"/>
          <w:i w:val="0"/>
          <w:caps w:val="0"/>
          <w:color w:val="000000"/>
          <w:spacing w:val="0"/>
          <w:sz w:val="30"/>
          <w:szCs w:val="30"/>
          <w:shd w:val="clear" w:color="auto" w:fill="FFFFFF"/>
          <w:lang w:eastAsia="zh-CN"/>
        </w:rPr>
        <w:t>商票业务发展</w:t>
      </w:r>
      <w:r>
        <w:rPr>
          <w:rFonts w:hint="eastAsia" w:ascii="黑体" w:hAnsi="黑体" w:eastAsia="黑体" w:cs="黑体"/>
          <w:b w:val="0"/>
          <w:bCs w:val="0"/>
          <w:i w:val="0"/>
          <w:caps w:val="0"/>
          <w:color w:val="000000"/>
          <w:spacing w:val="0"/>
          <w:sz w:val="30"/>
          <w:szCs w:val="30"/>
          <w:shd w:val="clear" w:color="auto" w:fill="FFFFFF"/>
        </w:rPr>
        <w:t>创造良好环境</w:t>
      </w:r>
    </w:p>
    <w:p>
      <w:pPr>
        <w:widowControl/>
        <w:wordWrap/>
        <w:adjustRightInd w:val="0"/>
        <w:snapToGrid w:val="0"/>
        <w:spacing w:line="520" w:lineRule="exact"/>
        <w:ind w:left="0" w:leftChars="0" w:right="0" w:firstLine="600" w:firstLineChars="200"/>
        <w:jc w:val="both"/>
        <w:textAlignment w:val="auto"/>
        <w:outlineLvl w:val="9"/>
        <w:rPr>
          <w:rFonts w:hint="eastAsia" w:ascii="仿宋_GB2312" w:hAnsi="宋体" w:eastAsia="仿宋_GB2312" w:cs="宋体"/>
          <w:bCs/>
          <w:color w:val="000000"/>
          <w:kern w:val="0"/>
          <w:sz w:val="30"/>
          <w:szCs w:val="30"/>
          <w:highlight w:val="none"/>
          <w:lang w:val="en-US" w:eastAsia="zh-CN"/>
        </w:rPr>
      </w:pPr>
      <w:r>
        <w:rPr>
          <w:rFonts w:hint="eastAsia" w:ascii="楷体_GB2312" w:hAnsi="楷体_GB2312" w:eastAsia="楷体_GB2312" w:cs="楷体_GB2312"/>
          <w:b/>
          <w:bCs w:val="0"/>
          <w:color w:val="000000"/>
          <w:kern w:val="0"/>
          <w:sz w:val="30"/>
          <w:szCs w:val="30"/>
          <w:highlight w:val="none"/>
          <w:lang w:val="en-US" w:eastAsia="zh-CN"/>
        </w:rPr>
        <w:t>（一）加强组织引导</w:t>
      </w:r>
      <w:r>
        <w:rPr>
          <w:rFonts w:hint="eastAsia" w:ascii="楷体_GB2312" w:hAnsi="楷体_GB2312" w:eastAsia="楷体_GB2312" w:cs="楷体_GB2312"/>
          <w:bCs/>
          <w:color w:val="000000"/>
          <w:kern w:val="0"/>
          <w:sz w:val="30"/>
          <w:szCs w:val="30"/>
          <w:highlight w:val="none"/>
          <w:lang w:val="en-US" w:eastAsia="zh-CN"/>
        </w:rPr>
        <w:t>。</w:t>
      </w:r>
      <w:r>
        <w:rPr>
          <w:rFonts w:hint="eastAsia" w:ascii="仿宋_GB2312" w:hAnsi="宋体" w:eastAsia="仿宋_GB2312" w:cs="宋体"/>
          <w:bCs/>
          <w:color w:val="000000"/>
          <w:kern w:val="0"/>
          <w:sz w:val="30"/>
          <w:szCs w:val="30"/>
          <w:highlight w:val="none"/>
          <w:lang w:val="en-US" w:eastAsia="zh-CN"/>
        </w:rPr>
        <w:t>成立由人民银行济宁市中心支行、济宁市金融办、济宁银监分局组成的商票推广领导小组，领导小组办公室设在人民银行。组织银行业金融机构、商票推广企业、相关中介服务机构等组成商票推广专家小组，具体指导企业开展商票签发等相关工作。遵循商票市场发展规律和电子化、标准化、规范化的推进思路，指导、支持商票生态链的相关利益主体组建商票自律组织，开展区域商票市场发展研究，筛选商票推广企业，制定行业自律公约和推动商票规范发展、防范商票风险的相关规则等，营造区域商票规范发展的市场环境。</w:t>
      </w:r>
    </w:p>
    <w:p>
      <w:pPr>
        <w:widowControl/>
        <w:wordWrap/>
        <w:adjustRightInd w:val="0"/>
        <w:snapToGrid w:val="0"/>
        <w:spacing w:line="520" w:lineRule="exact"/>
        <w:ind w:left="0" w:leftChars="0" w:right="0" w:firstLine="600" w:firstLineChars="200"/>
        <w:jc w:val="both"/>
        <w:textAlignment w:val="auto"/>
        <w:outlineLvl w:val="9"/>
        <w:rPr>
          <w:rFonts w:hint="eastAsia" w:ascii="仿宋_GB2312" w:hAnsi="宋体" w:eastAsia="仿宋_GB2312" w:cs="宋体"/>
          <w:bCs/>
          <w:color w:val="000000"/>
          <w:kern w:val="0"/>
          <w:sz w:val="30"/>
          <w:szCs w:val="30"/>
          <w:highlight w:val="none"/>
          <w:lang w:val="en-US" w:eastAsia="zh-CN"/>
        </w:rPr>
      </w:pPr>
      <w:r>
        <w:rPr>
          <w:rFonts w:hint="eastAsia" w:ascii="楷体_GB2312" w:hAnsi="楷体_GB2312" w:eastAsia="楷体_GB2312" w:cs="楷体_GB2312"/>
          <w:b/>
          <w:bCs w:val="0"/>
          <w:color w:val="000000"/>
          <w:kern w:val="0"/>
          <w:sz w:val="30"/>
          <w:szCs w:val="30"/>
          <w:highlight w:val="none"/>
          <w:lang w:val="en-US" w:eastAsia="zh-CN"/>
        </w:rPr>
        <w:t>（二）强化信息披露、加强沟通</w:t>
      </w:r>
      <w:r>
        <w:rPr>
          <w:rFonts w:hint="eastAsia" w:ascii="仿宋_GB2312" w:hAnsi="宋体" w:eastAsia="仿宋_GB2312" w:cs="宋体"/>
          <w:bCs/>
          <w:color w:val="000000"/>
          <w:kern w:val="0"/>
          <w:sz w:val="30"/>
          <w:szCs w:val="30"/>
          <w:highlight w:val="none"/>
          <w:lang w:val="en-US" w:eastAsia="zh-CN"/>
        </w:rPr>
        <w:t>。依托商票信息服务平台定期或适时披露商票签发企业的基本情况、经营情况以及商票年度签发计划、已签数量、未兑付余额、银行保贴金额、已贴现金额等相关信息，消除信息不对称对商票推广使用的制约。鼓励商票推广企业定期或不定期组织主办银行、保贴银行、主要交易对手及其他商票业务关联方开展沟通对话，通报经营发展状况和商票签发、使用相关情况，沟通商票全周期管理服务中存在的问题和障碍，促进商票顺畅使用和流通。</w:t>
      </w:r>
    </w:p>
    <w:p>
      <w:pPr>
        <w:widowControl/>
        <w:wordWrap/>
        <w:adjustRightInd w:val="0"/>
        <w:snapToGrid w:val="0"/>
        <w:spacing w:line="520" w:lineRule="exact"/>
        <w:ind w:left="0" w:leftChars="0" w:right="0" w:firstLine="600" w:firstLineChars="200"/>
        <w:jc w:val="both"/>
        <w:textAlignment w:val="auto"/>
        <w:outlineLvl w:val="9"/>
        <w:rPr>
          <w:rFonts w:hint="eastAsia" w:ascii="仿宋_GB2312" w:hAnsi="宋体" w:eastAsia="仿宋_GB2312" w:cs="仿宋_GB2312"/>
          <w:color w:val="000000"/>
          <w:kern w:val="0"/>
          <w:sz w:val="30"/>
          <w:szCs w:val="30"/>
          <w:lang w:val="en-US" w:eastAsia="zh-CN"/>
        </w:rPr>
      </w:pPr>
      <w:r>
        <w:rPr>
          <w:rFonts w:hint="eastAsia" w:ascii="楷体_GB2312" w:hAnsi="楷体_GB2312" w:eastAsia="楷体_GB2312" w:cs="楷体_GB2312"/>
          <w:b/>
          <w:bCs w:val="0"/>
          <w:color w:val="000000"/>
          <w:kern w:val="0"/>
          <w:sz w:val="30"/>
          <w:szCs w:val="30"/>
          <w:highlight w:val="none"/>
          <w:lang w:val="en-US" w:eastAsia="zh-CN"/>
        </w:rPr>
        <w:t>（三）建立激励约束机制</w:t>
      </w:r>
      <w:r>
        <w:rPr>
          <w:rFonts w:hint="eastAsia" w:ascii="仿宋" w:hAnsi="仿宋" w:eastAsia="仿宋" w:cs="仿宋"/>
          <w:bCs/>
          <w:color w:val="000000"/>
          <w:kern w:val="0"/>
          <w:sz w:val="30"/>
          <w:szCs w:val="30"/>
          <w:highlight w:val="none"/>
          <w:lang w:val="en-US" w:eastAsia="zh-CN"/>
        </w:rPr>
        <w:t>。商票推广领导小组和</w:t>
      </w:r>
      <w:r>
        <w:rPr>
          <w:rFonts w:hint="eastAsia" w:ascii="仿宋_GB2312" w:hAnsi="宋体" w:eastAsia="仿宋_GB2312" w:cs="宋体"/>
          <w:bCs/>
          <w:color w:val="000000"/>
          <w:kern w:val="0"/>
          <w:sz w:val="30"/>
          <w:szCs w:val="30"/>
          <w:highlight w:val="none"/>
          <w:lang w:val="en-US" w:eastAsia="zh-CN"/>
        </w:rPr>
        <w:t>商票自律组织探索商票推广效果评估方法，每年对重点企业的商票使用情况、使用效果等进行客观评价，对规范使用商票、信用优良的企业予以表彰激励，依托商票信息服务平台和社会媒体进行公示、宣传、推介，帮助企业提升信誉度和知名度、扩大社会影响力和辐射范围。对存在不按本指导意见披露相关信息、滥签商票、无正当理由拒付票款、履约不及时的签票企业，依据《票据管理实施办法》给予行政处罚，</w:t>
      </w:r>
      <w:r>
        <w:rPr>
          <w:rFonts w:hint="eastAsia" w:ascii="仿宋_GB2312" w:hAnsi="宋体" w:eastAsia="仿宋_GB2312" w:cs="仿宋_GB2312"/>
          <w:color w:val="000000"/>
          <w:kern w:val="0"/>
          <w:sz w:val="30"/>
          <w:szCs w:val="30"/>
        </w:rPr>
        <w:t>停止为其办理商业承兑汇票贴现、保证、保贴等业务</w:t>
      </w:r>
      <w:r>
        <w:rPr>
          <w:rFonts w:hint="eastAsia" w:ascii="仿宋_GB2312" w:hAnsi="宋体" w:eastAsia="仿宋_GB2312" w:cs="仿宋_GB2312"/>
          <w:color w:val="000000"/>
          <w:kern w:val="0"/>
          <w:sz w:val="30"/>
          <w:szCs w:val="30"/>
          <w:lang w:eastAsia="zh-CN"/>
        </w:rPr>
        <w:t>。商票不良信息纳入人民银行征信系统。商业银行推广商票业务情况</w:t>
      </w:r>
      <w:r>
        <w:rPr>
          <w:rFonts w:hint="eastAsia" w:ascii="仿宋_GB2312" w:hAnsi="宋体" w:eastAsia="仿宋_GB2312" w:cs="仿宋_GB2312"/>
          <w:color w:val="000000"/>
          <w:kern w:val="0"/>
          <w:sz w:val="30"/>
          <w:szCs w:val="30"/>
          <w:lang w:val="en-US" w:eastAsia="zh-CN"/>
        </w:rPr>
        <w:t>纳入人民银行综合评价。</w:t>
      </w:r>
    </w:p>
    <w:p>
      <w:pPr>
        <w:widowControl/>
        <w:wordWrap/>
        <w:adjustRightInd w:val="0"/>
        <w:snapToGrid w:val="0"/>
        <w:spacing w:line="520" w:lineRule="exact"/>
        <w:ind w:left="0" w:leftChars="0" w:right="0" w:firstLine="600" w:firstLineChars="200"/>
        <w:jc w:val="both"/>
        <w:textAlignment w:val="auto"/>
        <w:outlineLvl w:val="9"/>
        <w:rPr>
          <w:rFonts w:hint="eastAsia" w:ascii="仿宋_GB2312" w:hAnsi="宋体" w:eastAsia="仿宋_GB2312" w:cs="仿宋_GB2312"/>
          <w:color w:val="000000"/>
          <w:kern w:val="0"/>
          <w:sz w:val="30"/>
          <w:szCs w:val="30"/>
          <w:lang w:eastAsia="zh-CN"/>
        </w:rPr>
      </w:pPr>
    </w:p>
    <w:p>
      <w:pPr>
        <w:widowControl/>
        <w:wordWrap/>
        <w:adjustRightInd w:val="0"/>
        <w:snapToGrid w:val="0"/>
        <w:spacing w:line="520" w:lineRule="exact"/>
        <w:ind w:left="0" w:leftChars="0" w:right="0" w:firstLine="600" w:firstLineChars="200"/>
        <w:jc w:val="both"/>
        <w:textAlignment w:val="auto"/>
        <w:outlineLvl w:val="9"/>
        <w:rPr>
          <w:rFonts w:hint="eastAsia" w:ascii="仿宋_GB2312" w:hAnsi="宋体" w:eastAsia="仿宋_GB2312" w:cs="仿宋_GB2312"/>
          <w:color w:val="000000"/>
          <w:kern w:val="0"/>
          <w:sz w:val="30"/>
          <w:szCs w:val="30"/>
          <w:lang w:eastAsia="zh-CN"/>
        </w:rPr>
      </w:pPr>
    </w:p>
    <w:p>
      <w:pPr>
        <w:wordWrap/>
        <w:spacing w:line="520" w:lineRule="exact"/>
        <w:ind w:left="0" w:leftChars="0" w:right="0" w:firstLine="639" w:firstLineChars="213"/>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color w:val="000000"/>
          <w:kern w:val="0"/>
          <w:sz w:val="30"/>
          <w:szCs w:val="30"/>
          <w:lang w:val="en-US" w:eastAsia="zh-CN"/>
        </w:rPr>
        <w:t>附件1:</w:t>
      </w:r>
      <w:r>
        <w:rPr>
          <w:rFonts w:hint="eastAsia" w:ascii="仿宋_GB2312" w:hAnsi="仿宋_GB2312" w:eastAsia="仿宋_GB2312" w:cs="仿宋_GB2312"/>
          <w:sz w:val="30"/>
          <w:szCs w:val="30"/>
          <w:lang w:eastAsia="zh-CN"/>
        </w:rPr>
        <w:t>济宁市商业承兑汇票业务重点推广企业名单</w:t>
      </w:r>
    </w:p>
    <w:p>
      <w:pPr>
        <w:wordWrap/>
        <w:spacing w:line="520" w:lineRule="exact"/>
        <w:ind w:left="0" w:leftChars="0" w:right="0" w:firstLine="639" w:firstLineChars="213"/>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附件</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lang w:eastAsia="zh-CN"/>
        </w:rPr>
        <w:t>济宁市商业承兑汇票业务推广领导小组名单</w:t>
      </w:r>
    </w:p>
    <w:p>
      <w:pPr>
        <w:wordWrap/>
        <w:spacing w:line="520" w:lineRule="exact"/>
        <w:ind w:left="0" w:leftChars="0" w:right="0" w:firstLine="639" w:firstLineChars="213"/>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附件</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lang w:eastAsia="zh-CN"/>
        </w:rPr>
        <w:t>济宁市商业承兑汇票业务推广专家小组名单</w:t>
      </w:r>
    </w:p>
    <w:p>
      <w:pPr>
        <w:wordWrap/>
        <w:spacing w:line="520" w:lineRule="exact"/>
        <w:ind w:left="0" w:leftChars="0" w:right="0" w:firstLine="639" w:firstLineChars="213"/>
        <w:jc w:val="both"/>
        <w:textAlignment w:val="auto"/>
        <w:outlineLvl w:val="9"/>
        <w:rPr>
          <w:rFonts w:hint="eastAsia" w:ascii="仿宋_GB2312" w:hAnsi="仿宋_GB2312" w:eastAsia="仿宋_GB2312" w:cs="仿宋_GB2312"/>
          <w:sz w:val="30"/>
          <w:szCs w:val="30"/>
          <w:lang w:eastAsia="zh-CN"/>
        </w:rPr>
      </w:pPr>
    </w:p>
    <w:p>
      <w:pPr>
        <w:wordWrap/>
        <w:spacing w:line="520" w:lineRule="exact"/>
        <w:ind w:left="0" w:leftChars="0" w:right="0" w:firstLine="639" w:firstLineChars="213"/>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br w:type="page"/>
      </w:r>
    </w:p>
    <w:p>
      <w:pPr>
        <w:wordWrap/>
        <w:spacing w:line="520" w:lineRule="exact"/>
        <w:ind w:left="0" w:leftChars="0" w:right="0"/>
        <w:jc w:val="left"/>
        <w:textAlignment w:val="auto"/>
        <w:outlineLvl w:val="9"/>
        <w:rPr>
          <w:rFonts w:hint="eastAsia" w:ascii="仿宋_GB2312" w:hAnsi="宋体" w:eastAsia="仿宋_GB2312" w:cs="仿宋_GB2312"/>
          <w:color w:val="000000"/>
          <w:kern w:val="0"/>
          <w:sz w:val="30"/>
          <w:szCs w:val="30"/>
          <w:lang w:val="en-US" w:eastAsia="zh-CN"/>
        </w:rPr>
      </w:pPr>
      <w:r>
        <w:rPr>
          <w:rFonts w:hint="eastAsia" w:ascii="仿宋_GB2312" w:hAnsi="宋体" w:eastAsia="仿宋_GB2312" w:cs="仿宋_GB2312"/>
          <w:color w:val="000000"/>
          <w:kern w:val="0"/>
          <w:sz w:val="30"/>
          <w:szCs w:val="30"/>
          <w:lang w:val="en-US" w:eastAsia="zh-CN"/>
        </w:rPr>
        <w:t>附件1：</w:t>
      </w:r>
    </w:p>
    <w:p>
      <w:pPr>
        <w:wordWrap/>
        <w:spacing w:line="520" w:lineRule="exact"/>
        <w:ind w:left="0" w:leftChars="0" w:right="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济宁市商业承兑汇票业务重点推广企业名单</w:t>
      </w:r>
    </w:p>
    <w:p>
      <w:pPr>
        <w:wordWrap/>
        <w:spacing w:line="520" w:lineRule="exact"/>
        <w:ind w:left="0" w:leftChars="0" w:right="0"/>
        <w:jc w:val="center"/>
        <w:textAlignment w:val="auto"/>
        <w:outlineLvl w:val="9"/>
        <w:rPr>
          <w:rFonts w:hint="eastAsia" w:ascii="黑体" w:hAnsi="黑体" w:eastAsia="黑体" w:cs="黑体"/>
          <w:sz w:val="32"/>
          <w:szCs w:val="32"/>
          <w:lang w:eastAsia="zh-CN"/>
        </w:rPr>
      </w:pPr>
    </w:p>
    <w:p>
      <w:pPr>
        <w:wordWrap/>
        <w:spacing w:line="520" w:lineRule="exact"/>
        <w:ind w:left="0" w:leftChars="0" w:right="0" w:firstLine="639" w:firstLineChars="213"/>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兖州煤业股份有限公司</w:t>
      </w:r>
    </w:p>
    <w:p>
      <w:pPr>
        <w:wordWrap/>
        <w:spacing w:line="520" w:lineRule="exact"/>
        <w:ind w:left="0" w:leftChars="0" w:right="0" w:firstLine="639" w:firstLineChars="213"/>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兖矿集团有限公司</w:t>
      </w:r>
    </w:p>
    <w:p>
      <w:pPr>
        <w:wordWrap/>
        <w:spacing w:line="520" w:lineRule="exact"/>
        <w:ind w:left="0" w:leftChars="0" w:right="0" w:firstLine="639" w:firstLineChars="213"/>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山东太阳纸业股份有限公司</w:t>
      </w:r>
    </w:p>
    <w:p>
      <w:pPr>
        <w:wordWrap/>
        <w:spacing w:line="520" w:lineRule="exact"/>
        <w:ind w:left="0" w:leftChars="0" w:right="0" w:firstLine="639" w:firstLineChars="213"/>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华勤橡胶工业集团有限公司</w:t>
      </w:r>
    </w:p>
    <w:p>
      <w:pPr>
        <w:wordWrap/>
        <w:spacing w:line="520" w:lineRule="exact"/>
        <w:ind w:left="0" w:leftChars="0" w:right="0" w:firstLine="639" w:firstLineChars="213"/>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山东如意科技集团有限公司</w:t>
      </w:r>
    </w:p>
    <w:p>
      <w:pPr>
        <w:wordWrap/>
        <w:spacing w:line="520" w:lineRule="exact"/>
        <w:ind w:left="0" w:leftChars="0" w:right="0" w:firstLine="639" w:firstLineChars="213"/>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山推工程机械股份有限公司</w:t>
      </w:r>
    </w:p>
    <w:p>
      <w:pPr>
        <w:wordWrap/>
        <w:spacing w:line="520" w:lineRule="exact"/>
        <w:ind w:left="0" w:leftChars="0" w:right="0" w:firstLine="639" w:firstLineChars="213"/>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山东东宏管业股份有限公司</w:t>
      </w:r>
    </w:p>
    <w:p>
      <w:pPr>
        <w:wordWrap/>
        <w:spacing w:line="520" w:lineRule="exact"/>
        <w:ind w:left="0" w:leftChars="0" w:right="0" w:firstLine="639" w:firstLineChars="213"/>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泰山玻璃纤维邹城有限公司</w:t>
      </w:r>
    </w:p>
    <w:p>
      <w:pPr>
        <w:wordWrap/>
        <w:spacing w:line="520" w:lineRule="exact"/>
        <w:ind w:left="0" w:leftChars="0" w:right="0" w:firstLine="639" w:firstLineChars="213"/>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永昌路桥集团有限公司</w:t>
      </w:r>
    </w:p>
    <w:p>
      <w:pPr>
        <w:wordWrap/>
        <w:spacing w:line="520" w:lineRule="exact"/>
        <w:ind w:left="0" w:leftChars="0" w:right="0" w:firstLine="639" w:firstLineChars="213"/>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邹城市国隆商贸有限公司</w:t>
      </w:r>
    </w:p>
    <w:p>
      <w:pPr>
        <w:wordWrap/>
        <w:spacing w:line="520" w:lineRule="exact"/>
        <w:ind w:left="0" w:leftChars="0" w:right="0"/>
        <w:jc w:val="left"/>
        <w:textAlignment w:val="auto"/>
        <w:outlineLvl w:val="9"/>
        <w:rPr>
          <w:rFonts w:hint="eastAsia" w:ascii="仿宋_GB2312" w:hAnsi="宋体" w:eastAsia="仿宋_GB2312" w:cs="仿宋_GB2312"/>
          <w:color w:val="000000"/>
          <w:kern w:val="0"/>
          <w:sz w:val="30"/>
          <w:szCs w:val="30"/>
          <w:lang w:val="en-US" w:eastAsia="zh-CN"/>
        </w:rPr>
      </w:pPr>
      <w:r>
        <w:rPr>
          <w:rFonts w:hint="eastAsia" w:ascii="仿宋_GB2312" w:hAnsi="宋体" w:eastAsia="仿宋_GB2312" w:cs="仿宋_GB2312"/>
          <w:color w:val="000000"/>
          <w:kern w:val="0"/>
          <w:sz w:val="30"/>
          <w:szCs w:val="30"/>
          <w:lang w:val="en-US" w:eastAsia="zh-CN"/>
        </w:rPr>
        <w:br w:type="page"/>
      </w:r>
      <w:r>
        <w:rPr>
          <w:rFonts w:hint="eastAsia" w:ascii="仿宋_GB2312" w:hAnsi="宋体" w:eastAsia="仿宋_GB2312" w:cs="仿宋_GB2312"/>
          <w:color w:val="000000"/>
          <w:kern w:val="0"/>
          <w:sz w:val="30"/>
          <w:szCs w:val="30"/>
          <w:lang w:val="en-US" w:eastAsia="zh-CN"/>
        </w:rPr>
        <w:t>附件2：</w:t>
      </w:r>
    </w:p>
    <w:p>
      <w:pPr>
        <w:wordWrap/>
        <w:spacing w:line="520" w:lineRule="exact"/>
        <w:ind w:left="0" w:leftChars="0" w:right="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济宁市商业承兑汇票业务推广领导小组名单</w:t>
      </w:r>
    </w:p>
    <w:p>
      <w:pPr>
        <w:wordWrap/>
        <w:spacing w:line="520" w:lineRule="exact"/>
        <w:ind w:left="0" w:leftChars="0" w:right="0"/>
        <w:jc w:val="center"/>
        <w:textAlignment w:val="auto"/>
        <w:outlineLvl w:val="9"/>
        <w:rPr>
          <w:rFonts w:hint="eastAsia" w:ascii="黑体" w:hAnsi="黑体" w:eastAsia="黑体" w:cs="黑体"/>
          <w:sz w:val="32"/>
          <w:szCs w:val="32"/>
          <w:lang w:eastAsia="zh-CN"/>
        </w:rPr>
      </w:pPr>
    </w:p>
    <w:p>
      <w:pPr>
        <w:widowControl w:val="0"/>
        <w:wordWrap/>
        <w:adjustRightInd/>
        <w:snapToGrid w:val="0"/>
        <w:spacing w:line="520" w:lineRule="exact"/>
        <w:ind w:left="0" w:leftChars="0" w:right="0" w:firstLine="640" w:firstLineChars="200"/>
        <w:jc w:val="both"/>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组</w:t>
      </w: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rPr>
        <w:t>长：</w:t>
      </w:r>
      <w:r>
        <w:rPr>
          <w:rFonts w:hint="eastAsia" w:ascii="仿宋_GB2312" w:hAnsi="仿宋_GB2312" w:eastAsia="仿宋_GB2312" w:cs="仿宋_GB2312"/>
          <w:b w:val="0"/>
          <w:bCs w:val="0"/>
          <w:sz w:val="30"/>
          <w:szCs w:val="30"/>
          <w:lang w:eastAsia="zh-CN"/>
        </w:rPr>
        <w:t>郑现中</w:t>
      </w:r>
      <w:r>
        <w:rPr>
          <w:rFonts w:hint="eastAsia" w:ascii="仿宋_GB2312" w:hAnsi="仿宋_GB2312" w:eastAsia="仿宋_GB2312" w:cs="仿宋_GB2312"/>
          <w:b w:val="0"/>
          <w:bCs w:val="0"/>
          <w:sz w:val="30"/>
          <w:szCs w:val="30"/>
          <w:lang w:val="en-US" w:eastAsia="zh-CN"/>
        </w:rPr>
        <w:t xml:space="preserve">    人行济宁中支</w:t>
      </w:r>
      <w:r>
        <w:rPr>
          <w:rFonts w:hint="eastAsia" w:ascii="仿宋_GB2312" w:hAnsi="仿宋_GB2312" w:eastAsia="仿宋_GB2312" w:cs="仿宋_GB2312"/>
          <w:b w:val="0"/>
          <w:bCs w:val="0"/>
          <w:sz w:val="30"/>
          <w:szCs w:val="30"/>
        </w:rPr>
        <w:t>行长</w:t>
      </w:r>
    </w:p>
    <w:p>
      <w:pPr>
        <w:widowControl w:val="0"/>
        <w:wordWrap/>
        <w:adjustRightInd/>
        <w:snapToGrid w:val="0"/>
        <w:spacing w:line="520" w:lineRule="exact"/>
        <w:ind w:left="0" w:leftChars="0" w:right="0" w:firstLine="640" w:firstLineChars="200"/>
        <w:jc w:val="both"/>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副组长：</w:t>
      </w:r>
      <w:r>
        <w:rPr>
          <w:rFonts w:hint="eastAsia" w:ascii="仿宋_GB2312" w:hAnsi="仿宋_GB2312" w:eastAsia="仿宋_GB2312" w:cs="仿宋_GB2312"/>
          <w:b w:val="0"/>
          <w:bCs w:val="0"/>
          <w:sz w:val="30"/>
          <w:szCs w:val="30"/>
          <w:lang w:eastAsia="zh-CN"/>
        </w:rPr>
        <w:t>薛昭顺</w:t>
      </w:r>
      <w:r>
        <w:rPr>
          <w:rFonts w:hint="eastAsia" w:ascii="仿宋_GB2312" w:hAnsi="仿宋_GB2312" w:eastAsia="仿宋_GB2312" w:cs="仿宋_GB2312"/>
          <w:b w:val="0"/>
          <w:bCs w:val="0"/>
          <w:sz w:val="30"/>
          <w:szCs w:val="30"/>
          <w:lang w:val="en-US" w:eastAsia="zh-CN"/>
        </w:rPr>
        <w:t xml:space="preserve">    人行济宁中支副</w:t>
      </w:r>
      <w:r>
        <w:rPr>
          <w:rFonts w:hint="eastAsia" w:ascii="仿宋_GB2312" w:hAnsi="仿宋_GB2312" w:eastAsia="仿宋_GB2312" w:cs="仿宋_GB2312"/>
          <w:b w:val="0"/>
          <w:bCs w:val="0"/>
          <w:sz w:val="30"/>
          <w:szCs w:val="30"/>
        </w:rPr>
        <w:t>行长</w:t>
      </w:r>
    </w:p>
    <w:p>
      <w:pPr>
        <w:widowControl w:val="0"/>
        <w:wordWrap/>
        <w:adjustRightInd/>
        <w:snapToGrid w:val="0"/>
        <w:spacing w:line="520" w:lineRule="exact"/>
        <w:ind w:left="0" w:leftChars="0" w:right="0" w:firstLine="640" w:firstLineChars="200"/>
        <w:jc w:val="both"/>
        <w:textAlignment w:val="auto"/>
        <w:outlineLvl w:val="9"/>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 xml:space="preserve">        刘 立     济宁市金融办副主任 </w:t>
      </w:r>
    </w:p>
    <w:p>
      <w:pPr>
        <w:widowControl w:val="0"/>
        <w:wordWrap/>
        <w:adjustRightInd/>
        <w:snapToGrid w:val="0"/>
        <w:spacing w:line="520" w:lineRule="exact"/>
        <w:ind w:left="0" w:leftChars="0" w:right="0" w:firstLine="640" w:firstLineChars="200"/>
        <w:jc w:val="both"/>
        <w:textAlignment w:val="auto"/>
        <w:outlineLvl w:val="9"/>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 xml:space="preserve">        盛作安    济宁银监分局副局长</w:t>
      </w:r>
    </w:p>
    <w:p>
      <w:pPr>
        <w:widowControl w:val="0"/>
        <w:wordWrap/>
        <w:adjustRightInd/>
        <w:snapToGrid w:val="0"/>
        <w:spacing w:line="52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0"/>
          <w:szCs w:val="30"/>
          <w:lang w:val="en-US" w:eastAsia="zh-CN"/>
        </w:rPr>
      </w:pPr>
      <w:r>
        <w:rPr>
          <w:rFonts w:hint="eastAsia" w:ascii="仿宋_GB2312" w:hAnsi="仿宋_GB2312" w:eastAsia="仿宋_GB2312" w:cs="仿宋_GB2312"/>
          <w:b w:val="0"/>
          <w:bCs w:val="0"/>
          <w:sz w:val="30"/>
          <w:szCs w:val="30"/>
        </w:rPr>
        <w:t>成</w:t>
      </w: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rPr>
        <w:t>员：</w:t>
      </w:r>
      <w:r>
        <w:rPr>
          <w:rFonts w:hint="eastAsia" w:ascii="仿宋_GB2312" w:hAnsi="仿宋_GB2312" w:eastAsia="仿宋_GB2312" w:cs="仿宋_GB2312"/>
          <w:b w:val="0"/>
          <w:bCs w:val="0"/>
          <w:color w:val="000000"/>
          <w:sz w:val="30"/>
          <w:szCs w:val="30"/>
          <w:lang w:val="en-US" w:eastAsia="zh-CN"/>
        </w:rPr>
        <w:t>夏春秋     工行济宁分行副行长</w:t>
      </w:r>
    </w:p>
    <w:p>
      <w:pPr>
        <w:widowControl w:val="0"/>
        <w:wordWrap/>
        <w:adjustRightInd/>
        <w:snapToGrid w:val="0"/>
        <w:spacing w:line="52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0"/>
          <w:szCs w:val="30"/>
          <w:lang w:val="en-US" w:eastAsia="zh-CN"/>
        </w:rPr>
      </w:pPr>
      <w:r>
        <w:rPr>
          <w:rFonts w:hint="eastAsia" w:ascii="仿宋_GB2312" w:hAnsi="仿宋_GB2312" w:eastAsia="仿宋_GB2312" w:cs="仿宋_GB2312"/>
          <w:b w:val="0"/>
          <w:bCs w:val="0"/>
          <w:color w:val="000000"/>
          <w:sz w:val="30"/>
          <w:szCs w:val="30"/>
          <w:lang w:val="en-US" w:eastAsia="zh-CN"/>
        </w:rPr>
        <w:t xml:space="preserve">        范学坤     农行济宁分行副行长</w:t>
      </w:r>
    </w:p>
    <w:p>
      <w:pPr>
        <w:widowControl w:val="0"/>
        <w:wordWrap/>
        <w:adjustRightInd/>
        <w:snapToGrid w:val="0"/>
        <w:spacing w:line="52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0"/>
          <w:szCs w:val="30"/>
          <w:lang w:val="en-US" w:eastAsia="zh-CN"/>
        </w:rPr>
      </w:pPr>
      <w:r>
        <w:rPr>
          <w:rFonts w:hint="eastAsia" w:ascii="仿宋_GB2312" w:hAnsi="仿宋_GB2312" w:eastAsia="仿宋_GB2312" w:cs="仿宋_GB2312"/>
          <w:b w:val="0"/>
          <w:bCs w:val="0"/>
          <w:color w:val="000000"/>
          <w:sz w:val="30"/>
          <w:szCs w:val="30"/>
          <w:lang w:val="en-US" w:eastAsia="zh-CN"/>
        </w:rPr>
        <w:t xml:space="preserve">         宫 明     中行济宁分行副行长</w:t>
      </w:r>
    </w:p>
    <w:p>
      <w:pPr>
        <w:widowControl w:val="0"/>
        <w:wordWrap/>
        <w:adjustRightInd/>
        <w:snapToGrid w:val="0"/>
        <w:spacing w:line="52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0"/>
          <w:szCs w:val="30"/>
          <w:lang w:val="en-US" w:eastAsia="zh-CN"/>
        </w:rPr>
      </w:pPr>
      <w:r>
        <w:rPr>
          <w:rFonts w:hint="eastAsia" w:ascii="仿宋_GB2312" w:hAnsi="仿宋_GB2312" w:eastAsia="仿宋_GB2312" w:cs="仿宋_GB2312"/>
          <w:b w:val="0"/>
          <w:bCs w:val="0"/>
          <w:color w:val="000000"/>
          <w:sz w:val="30"/>
          <w:szCs w:val="30"/>
          <w:lang w:val="en-US" w:eastAsia="zh-CN"/>
        </w:rPr>
        <w:t xml:space="preserve">        李广志     建行济宁分行副行长</w:t>
      </w:r>
    </w:p>
    <w:p>
      <w:pPr>
        <w:widowControl w:val="0"/>
        <w:wordWrap/>
        <w:adjustRightInd/>
        <w:snapToGrid w:val="0"/>
        <w:spacing w:line="52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0"/>
          <w:szCs w:val="30"/>
          <w:lang w:val="en-US" w:eastAsia="zh-CN"/>
        </w:rPr>
      </w:pPr>
      <w:r>
        <w:rPr>
          <w:rFonts w:hint="eastAsia" w:ascii="仿宋_GB2312" w:hAnsi="仿宋_GB2312" w:eastAsia="仿宋_GB2312" w:cs="仿宋_GB2312"/>
          <w:b w:val="0"/>
          <w:bCs w:val="0"/>
          <w:color w:val="000000"/>
          <w:sz w:val="30"/>
          <w:szCs w:val="30"/>
          <w:lang w:val="en-US" w:eastAsia="zh-CN"/>
        </w:rPr>
        <w:t xml:space="preserve">        梁汝亮     济宁银行副行长</w:t>
      </w:r>
    </w:p>
    <w:p>
      <w:pPr>
        <w:widowControl w:val="0"/>
        <w:wordWrap/>
        <w:adjustRightInd/>
        <w:snapToGrid w:val="0"/>
        <w:spacing w:line="52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0"/>
          <w:szCs w:val="30"/>
          <w:lang w:val="en-US" w:eastAsia="zh-CN"/>
        </w:rPr>
      </w:pPr>
      <w:r>
        <w:rPr>
          <w:rFonts w:hint="eastAsia" w:ascii="仿宋_GB2312" w:hAnsi="仿宋_GB2312" w:eastAsia="仿宋_GB2312" w:cs="仿宋_GB2312"/>
          <w:b w:val="0"/>
          <w:bCs w:val="0"/>
          <w:color w:val="000000"/>
          <w:sz w:val="30"/>
          <w:szCs w:val="30"/>
          <w:lang w:val="en-US" w:eastAsia="zh-CN"/>
        </w:rPr>
        <w:t xml:space="preserve">        李志春     恒丰银行济宁分行副行长</w:t>
      </w:r>
    </w:p>
    <w:p>
      <w:pPr>
        <w:widowControl w:val="0"/>
        <w:wordWrap/>
        <w:adjustRightInd/>
        <w:snapToGrid w:val="0"/>
        <w:spacing w:line="52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0"/>
          <w:szCs w:val="30"/>
          <w:lang w:val="en-US" w:eastAsia="zh-CN"/>
        </w:rPr>
      </w:pPr>
      <w:r>
        <w:rPr>
          <w:rFonts w:hint="eastAsia" w:ascii="仿宋_GB2312" w:hAnsi="仿宋_GB2312" w:eastAsia="仿宋_GB2312" w:cs="仿宋_GB2312"/>
          <w:b w:val="0"/>
          <w:bCs w:val="0"/>
          <w:color w:val="000000"/>
          <w:sz w:val="30"/>
          <w:szCs w:val="30"/>
          <w:lang w:val="en-US" w:eastAsia="zh-CN"/>
        </w:rPr>
        <w:t xml:space="preserve">        蔡胜利     浦发银行济宁分行副行长</w:t>
      </w:r>
    </w:p>
    <w:p>
      <w:pPr>
        <w:widowControl w:val="0"/>
        <w:wordWrap/>
        <w:adjustRightInd/>
        <w:snapToGrid w:val="0"/>
        <w:spacing w:line="52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0"/>
          <w:szCs w:val="30"/>
          <w:lang w:val="en-US" w:eastAsia="zh-CN"/>
        </w:rPr>
      </w:pPr>
      <w:r>
        <w:rPr>
          <w:rFonts w:hint="eastAsia" w:ascii="仿宋_GB2312" w:hAnsi="仿宋_GB2312" w:eastAsia="仿宋_GB2312" w:cs="仿宋_GB2312"/>
          <w:b w:val="0"/>
          <w:bCs w:val="0"/>
          <w:color w:val="000000"/>
          <w:sz w:val="30"/>
          <w:szCs w:val="30"/>
          <w:lang w:val="en-US" w:eastAsia="zh-CN"/>
        </w:rPr>
        <w:t xml:space="preserve">        杨金波     招商银行济宁分行副行长</w:t>
      </w:r>
    </w:p>
    <w:p>
      <w:pPr>
        <w:widowControl w:val="0"/>
        <w:wordWrap/>
        <w:adjustRightInd/>
        <w:snapToGrid w:val="0"/>
        <w:spacing w:line="52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0"/>
          <w:szCs w:val="30"/>
          <w:lang w:val="en-US" w:eastAsia="zh-CN"/>
        </w:rPr>
      </w:pPr>
      <w:r>
        <w:rPr>
          <w:rFonts w:hint="eastAsia" w:ascii="仿宋_GB2312" w:hAnsi="仿宋_GB2312" w:eastAsia="仿宋_GB2312" w:cs="仿宋_GB2312"/>
          <w:b w:val="0"/>
          <w:bCs w:val="0"/>
          <w:color w:val="000000"/>
          <w:sz w:val="30"/>
          <w:szCs w:val="30"/>
          <w:lang w:val="en-US" w:eastAsia="zh-CN"/>
        </w:rPr>
        <w:t xml:space="preserve">       </w:t>
      </w:r>
      <w:r>
        <w:rPr>
          <w:rFonts w:hint="eastAsia" w:ascii="仿宋_GB2312" w:hAnsi="仿宋_GB2312" w:eastAsia="仿宋_GB2312" w:cs="仿宋_GB2312"/>
          <w:color w:val="000000"/>
          <w:sz w:val="30"/>
          <w:szCs w:val="30"/>
        </w:rPr>
        <w:t xml:space="preserve"> 耿 惠</w:t>
      </w:r>
      <w:r>
        <w:rPr>
          <w:rFonts w:hint="eastAsia" w:ascii="仿宋_GB2312" w:hAnsi="仿宋_GB2312" w:eastAsia="仿宋_GB2312" w:cs="仿宋_GB2312"/>
          <w:b w:val="0"/>
          <w:bCs w:val="0"/>
          <w:color w:val="000000"/>
          <w:sz w:val="30"/>
          <w:szCs w:val="30"/>
          <w:lang w:val="en-US" w:eastAsia="zh-CN"/>
        </w:rPr>
        <w:t xml:space="preserve">      民生银行济宁分行副行长</w:t>
      </w:r>
    </w:p>
    <w:p>
      <w:pPr>
        <w:widowControl w:val="0"/>
        <w:wordWrap/>
        <w:adjustRightInd/>
        <w:snapToGrid w:val="0"/>
        <w:spacing w:line="52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0"/>
          <w:szCs w:val="30"/>
          <w:lang w:val="en-US" w:eastAsia="zh-CN"/>
        </w:rPr>
      </w:pPr>
      <w:r>
        <w:rPr>
          <w:rFonts w:hint="eastAsia" w:ascii="仿宋_GB2312" w:hAnsi="仿宋_GB2312" w:eastAsia="仿宋_GB2312" w:cs="仿宋_GB2312"/>
          <w:b w:val="0"/>
          <w:bCs w:val="0"/>
          <w:color w:val="000000"/>
          <w:sz w:val="30"/>
          <w:szCs w:val="30"/>
          <w:lang w:val="en-US" w:eastAsia="zh-CN"/>
        </w:rPr>
        <w:t xml:space="preserve">        曾凡成     日照银行济宁分行副行长</w:t>
      </w:r>
    </w:p>
    <w:p>
      <w:pPr>
        <w:widowControl w:val="0"/>
        <w:wordWrap/>
        <w:adjustRightInd/>
        <w:snapToGrid w:val="0"/>
        <w:spacing w:line="520" w:lineRule="exact"/>
        <w:ind w:left="0" w:leftChars="0" w:right="0" w:firstLine="640" w:firstLineChars="200"/>
        <w:jc w:val="both"/>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lang w:val="en-US" w:eastAsia="zh-CN"/>
        </w:rPr>
        <w:t xml:space="preserve">        刘海东    人行济宁中支</w:t>
      </w:r>
      <w:r>
        <w:rPr>
          <w:rFonts w:hint="eastAsia" w:ascii="仿宋_GB2312" w:hAnsi="仿宋_GB2312" w:eastAsia="仿宋_GB2312" w:cs="仿宋_GB2312"/>
          <w:b w:val="0"/>
          <w:bCs w:val="0"/>
          <w:sz w:val="30"/>
          <w:szCs w:val="30"/>
        </w:rPr>
        <w:t>货币信贷管理</w:t>
      </w:r>
      <w:r>
        <w:rPr>
          <w:rFonts w:hint="eastAsia" w:ascii="仿宋_GB2312" w:hAnsi="仿宋_GB2312" w:eastAsia="仿宋_GB2312" w:cs="仿宋_GB2312"/>
          <w:b w:val="0"/>
          <w:bCs w:val="0"/>
          <w:sz w:val="30"/>
          <w:szCs w:val="30"/>
          <w:lang w:eastAsia="zh-CN"/>
        </w:rPr>
        <w:t>科科长</w:t>
      </w:r>
    </w:p>
    <w:p>
      <w:pPr>
        <w:widowControl w:val="0"/>
        <w:wordWrap/>
        <w:adjustRightInd/>
        <w:snapToGrid w:val="0"/>
        <w:spacing w:line="520" w:lineRule="exact"/>
        <w:ind w:left="0" w:leftChars="0" w:right="0" w:firstLine="640" w:firstLineChars="200"/>
        <w:jc w:val="both"/>
        <w:textAlignment w:val="auto"/>
        <w:outlineLvl w:val="9"/>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 xml:space="preserve">        李腾飞    济宁市金融办银行科科长</w:t>
      </w:r>
    </w:p>
    <w:p>
      <w:pPr>
        <w:widowControl w:val="0"/>
        <w:wordWrap/>
        <w:adjustRightInd/>
        <w:snapToGrid w:val="0"/>
        <w:spacing w:line="520" w:lineRule="exact"/>
        <w:ind w:left="0" w:leftChars="0" w:right="0" w:firstLine="640" w:firstLineChars="200"/>
        <w:jc w:val="both"/>
        <w:textAlignment w:val="auto"/>
        <w:outlineLvl w:val="9"/>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val="0"/>
          <w:bCs w:val="0"/>
          <w:sz w:val="30"/>
          <w:szCs w:val="30"/>
          <w:lang w:val="en-US" w:eastAsia="zh-CN"/>
        </w:rPr>
        <w:t xml:space="preserve">        鞠洪平    济宁银监分局监管一科科长</w:t>
      </w:r>
    </w:p>
    <w:p>
      <w:pPr>
        <w:widowControl w:val="0"/>
        <w:wordWrap/>
        <w:adjustRightInd/>
        <w:snapToGrid w:val="0"/>
        <w:spacing w:line="520" w:lineRule="exact"/>
        <w:ind w:left="0" w:leftChars="0" w:right="0" w:firstLine="640" w:firstLineChars="200"/>
        <w:jc w:val="both"/>
        <w:textAlignment w:val="auto"/>
        <w:outlineLvl w:val="9"/>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lang w:eastAsia="zh-CN"/>
        </w:rPr>
        <w:t>来存领</w:t>
      </w:r>
      <w:r>
        <w:rPr>
          <w:rFonts w:hint="eastAsia" w:ascii="仿宋_GB2312" w:hAnsi="仿宋_GB2312" w:eastAsia="仿宋_GB2312" w:cs="仿宋_GB2312"/>
          <w:b w:val="0"/>
          <w:bCs w:val="0"/>
          <w:sz w:val="30"/>
          <w:szCs w:val="30"/>
          <w:lang w:val="en-US" w:eastAsia="zh-CN"/>
        </w:rPr>
        <w:t xml:space="preserve">    人行济宁中支</w:t>
      </w:r>
      <w:r>
        <w:rPr>
          <w:rFonts w:hint="eastAsia" w:ascii="仿宋_GB2312" w:hAnsi="仿宋_GB2312" w:eastAsia="仿宋_GB2312" w:cs="仿宋_GB2312"/>
          <w:b w:val="0"/>
          <w:bCs w:val="0"/>
          <w:sz w:val="30"/>
          <w:szCs w:val="30"/>
        </w:rPr>
        <w:t>支付结算</w:t>
      </w:r>
      <w:r>
        <w:rPr>
          <w:rFonts w:hint="eastAsia" w:ascii="仿宋_GB2312" w:hAnsi="仿宋_GB2312" w:eastAsia="仿宋_GB2312" w:cs="仿宋_GB2312"/>
          <w:b w:val="0"/>
          <w:bCs w:val="0"/>
          <w:sz w:val="30"/>
          <w:szCs w:val="30"/>
          <w:lang w:eastAsia="zh-CN"/>
        </w:rPr>
        <w:t>科科长</w:t>
      </w:r>
    </w:p>
    <w:p>
      <w:pPr>
        <w:widowControl w:val="0"/>
        <w:wordWrap/>
        <w:adjustRightInd/>
        <w:snapToGrid w:val="0"/>
        <w:spacing w:line="520" w:lineRule="exact"/>
        <w:ind w:left="0" w:leftChars="0" w:right="0" w:firstLine="640" w:firstLineChars="200"/>
        <w:jc w:val="both"/>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领导小组下设办公室，办公室设在</w:t>
      </w:r>
      <w:r>
        <w:rPr>
          <w:rFonts w:hint="eastAsia" w:ascii="仿宋_GB2312" w:hAnsi="仿宋_GB2312" w:eastAsia="仿宋_GB2312" w:cs="仿宋_GB2312"/>
          <w:b w:val="0"/>
          <w:bCs w:val="0"/>
          <w:sz w:val="30"/>
          <w:szCs w:val="30"/>
          <w:lang w:eastAsia="zh-CN"/>
        </w:rPr>
        <w:t>人行济宁中支</w:t>
      </w:r>
      <w:r>
        <w:rPr>
          <w:rFonts w:hint="eastAsia" w:ascii="仿宋_GB2312" w:hAnsi="仿宋_GB2312" w:eastAsia="仿宋_GB2312" w:cs="仿宋_GB2312"/>
          <w:b w:val="0"/>
          <w:bCs w:val="0"/>
          <w:sz w:val="30"/>
          <w:szCs w:val="30"/>
        </w:rPr>
        <w:t>货币信贷管理</w:t>
      </w:r>
      <w:r>
        <w:rPr>
          <w:rFonts w:hint="eastAsia" w:ascii="仿宋_GB2312" w:hAnsi="仿宋_GB2312" w:eastAsia="仿宋_GB2312" w:cs="仿宋_GB2312"/>
          <w:b w:val="0"/>
          <w:bCs w:val="0"/>
          <w:sz w:val="30"/>
          <w:szCs w:val="30"/>
          <w:lang w:eastAsia="zh-CN"/>
        </w:rPr>
        <w:t>科</w:t>
      </w:r>
      <w:r>
        <w:rPr>
          <w:rFonts w:hint="eastAsia" w:ascii="仿宋_GB2312" w:hAnsi="仿宋_GB2312" w:eastAsia="仿宋_GB2312" w:cs="仿宋_GB2312"/>
          <w:b w:val="0"/>
          <w:bCs w:val="0"/>
          <w:sz w:val="30"/>
          <w:szCs w:val="30"/>
        </w:rPr>
        <w:t>，具体负责组织开展全</w:t>
      </w:r>
      <w:r>
        <w:rPr>
          <w:rFonts w:hint="eastAsia" w:ascii="仿宋_GB2312" w:hAnsi="仿宋_GB2312" w:eastAsia="仿宋_GB2312" w:cs="仿宋_GB2312"/>
          <w:b w:val="0"/>
          <w:bCs w:val="0"/>
          <w:sz w:val="30"/>
          <w:szCs w:val="30"/>
          <w:lang w:eastAsia="zh-CN"/>
        </w:rPr>
        <w:t>市</w:t>
      </w:r>
      <w:r>
        <w:rPr>
          <w:rFonts w:hint="eastAsia" w:ascii="仿宋_GB2312" w:hAnsi="仿宋_GB2312" w:eastAsia="仿宋_GB2312" w:cs="仿宋_GB2312"/>
          <w:sz w:val="30"/>
          <w:szCs w:val="30"/>
          <w:lang w:eastAsia="zh-CN"/>
        </w:rPr>
        <w:t>商业承兑汇票业务推广</w:t>
      </w:r>
      <w:r>
        <w:rPr>
          <w:rFonts w:hint="eastAsia" w:ascii="仿宋_GB2312" w:hAnsi="仿宋_GB2312" w:eastAsia="仿宋_GB2312" w:cs="仿宋_GB2312"/>
          <w:b w:val="0"/>
          <w:bCs w:val="0"/>
          <w:sz w:val="30"/>
          <w:szCs w:val="30"/>
        </w:rPr>
        <w:t>工作。领导小组成员组成部门主要负责人调整的，成员自动变更为新任的部门主要负责人。</w:t>
      </w:r>
    </w:p>
    <w:p>
      <w:pPr>
        <w:widowControl w:val="0"/>
        <w:wordWrap/>
        <w:adjustRightInd/>
        <w:snapToGrid w:val="0"/>
        <w:spacing w:line="520" w:lineRule="exact"/>
        <w:ind w:left="0" w:leftChars="0" w:right="0" w:firstLine="640" w:firstLineChars="200"/>
        <w:jc w:val="both"/>
        <w:textAlignment w:val="auto"/>
        <w:outlineLvl w:val="9"/>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val="0"/>
          <w:bCs w:val="0"/>
          <w:sz w:val="30"/>
          <w:szCs w:val="30"/>
          <w:lang w:eastAsia="zh-CN"/>
        </w:rPr>
        <w:br w:type="page"/>
      </w:r>
    </w:p>
    <w:p>
      <w:pPr>
        <w:widowControl w:val="0"/>
        <w:wordWrap/>
        <w:adjustRightInd/>
        <w:snapToGrid w:val="0"/>
        <w:spacing w:line="520" w:lineRule="exact"/>
        <w:ind w:left="0" w:leftChars="0" w:right="0"/>
        <w:jc w:val="both"/>
        <w:textAlignment w:val="auto"/>
        <w:outlineLvl w:val="9"/>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附件3：</w:t>
      </w:r>
    </w:p>
    <w:p>
      <w:pPr>
        <w:wordWrap/>
        <w:spacing w:line="520" w:lineRule="exact"/>
        <w:ind w:left="0" w:leftChars="0" w:right="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济宁市商业承兑汇票业务推广专家小组名单</w:t>
      </w:r>
    </w:p>
    <w:p>
      <w:pPr>
        <w:wordWrap/>
        <w:spacing w:line="520" w:lineRule="exact"/>
        <w:ind w:left="0" w:leftChars="0" w:right="0"/>
        <w:jc w:val="center"/>
        <w:textAlignment w:val="auto"/>
        <w:outlineLvl w:val="9"/>
        <w:rPr>
          <w:rFonts w:hint="eastAsia" w:ascii="黑体" w:hAnsi="黑体" w:eastAsia="黑体" w:cs="黑体"/>
          <w:sz w:val="30"/>
          <w:szCs w:val="30"/>
          <w:lang w:eastAsia="zh-CN"/>
        </w:rPr>
      </w:pPr>
    </w:p>
    <w:p>
      <w:pPr>
        <w:widowControl w:val="0"/>
        <w:wordWrap/>
        <w:adjustRightInd/>
        <w:snapToGrid w:val="0"/>
        <w:spacing w:line="520" w:lineRule="exact"/>
        <w:ind w:left="0" w:leftChars="0" w:right="0" w:firstLine="640" w:firstLineChars="200"/>
        <w:jc w:val="both"/>
        <w:textAlignment w:val="auto"/>
        <w:outlineLvl w:val="9"/>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val="0"/>
          <w:bCs w:val="0"/>
          <w:sz w:val="30"/>
          <w:szCs w:val="30"/>
          <w:lang w:val="en-US" w:eastAsia="zh-CN"/>
        </w:rPr>
        <w:t>张  勇    人行济宁中支</w:t>
      </w:r>
      <w:r>
        <w:rPr>
          <w:rFonts w:hint="eastAsia" w:ascii="仿宋_GB2312" w:hAnsi="仿宋_GB2312" w:eastAsia="仿宋_GB2312" w:cs="仿宋_GB2312"/>
          <w:b w:val="0"/>
          <w:bCs w:val="0"/>
          <w:sz w:val="30"/>
          <w:szCs w:val="30"/>
        </w:rPr>
        <w:t>货币信贷管理</w:t>
      </w:r>
      <w:r>
        <w:rPr>
          <w:rFonts w:hint="eastAsia" w:ascii="仿宋_GB2312" w:hAnsi="仿宋_GB2312" w:eastAsia="仿宋_GB2312" w:cs="仿宋_GB2312"/>
          <w:b w:val="0"/>
          <w:bCs w:val="0"/>
          <w:sz w:val="30"/>
          <w:szCs w:val="30"/>
          <w:lang w:eastAsia="zh-CN"/>
        </w:rPr>
        <w:t>科副科长</w:t>
      </w:r>
    </w:p>
    <w:p>
      <w:pPr>
        <w:widowControl w:val="0"/>
        <w:wordWrap/>
        <w:adjustRightInd/>
        <w:snapToGrid w:val="0"/>
        <w:spacing w:line="520" w:lineRule="exact"/>
        <w:ind w:left="0" w:leftChars="0" w:right="0" w:firstLine="640" w:firstLineChars="200"/>
        <w:jc w:val="both"/>
        <w:textAlignment w:val="auto"/>
        <w:outlineLvl w:val="9"/>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eastAsia="zh-CN"/>
        </w:rPr>
        <w:t>张</w:t>
      </w:r>
      <w:r>
        <w:rPr>
          <w:rFonts w:hint="eastAsia" w:ascii="仿宋_GB2312" w:hAnsi="仿宋_GB2312" w:eastAsia="仿宋_GB2312" w:cs="仿宋_GB2312"/>
          <w:b w:val="0"/>
          <w:bCs w:val="0"/>
          <w:sz w:val="30"/>
          <w:szCs w:val="30"/>
          <w:lang w:val="en-US" w:eastAsia="zh-CN"/>
        </w:rPr>
        <w:t xml:space="preserve">  丽    工行济宁分行公司金融业务部副总经理</w:t>
      </w:r>
    </w:p>
    <w:p>
      <w:pPr>
        <w:widowControl w:val="0"/>
        <w:wordWrap/>
        <w:adjustRightInd/>
        <w:snapToGrid w:val="0"/>
        <w:spacing w:line="520" w:lineRule="exact"/>
        <w:ind w:left="0" w:leftChars="0" w:right="0" w:firstLine="640" w:firstLineChars="200"/>
        <w:jc w:val="both"/>
        <w:textAlignment w:val="auto"/>
        <w:outlineLvl w:val="9"/>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方大伟    济宁银行公司金融部经理</w:t>
      </w:r>
    </w:p>
    <w:p>
      <w:pPr>
        <w:widowControl w:val="0"/>
        <w:wordWrap/>
        <w:adjustRightInd/>
        <w:snapToGrid w:val="0"/>
        <w:spacing w:line="520" w:lineRule="exact"/>
        <w:ind w:left="0" w:leftChars="0" w:right="0" w:firstLine="640" w:firstLineChars="200"/>
        <w:jc w:val="both"/>
        <w:textAlignment w:val="auto"/>
        <w:outlineLvl w:val="9"/>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杨  莉    恒丰银行济宁分行金融市场部总经理</w:t>
      </w:r>
    </w:p>
    <w:p>
      <w:pPr>
        <w:widowControl w:val="0"/>
        <w:wordWrap/>
        <w:adjustRightInd/>
        <w:snapToGrid w:val="0"/>
        <w:spacing w:line="520" w:lineRule="exact"/>
        <w:ind w:left="0" w:leftChars="0" w:right="0" w:firstLine="640" w:firstLineChars="200"/>
        <w:jc w:val="both"/>
        <w:textAlignment w:val="auto"/>
        <w:outlineLvl w:val="9"/>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吕  剑    招商银行济宁分行公司客户一部总经理</w:t>
      </w:r>
    </w:p>
    <w:p>
      <w:pPr>
        <w:wordWrap/>
        <w:autoSpaceDE w:val="0"/>
        <w:autoSpaceDN w:val="0"/>
        <w:adjustRightInd w:val="0"/>
        <w:spacing w:line="520" w:lineRule="exact"/>
        <w:ind w:left="0" w:leftChars="0" w:right="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李</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峰</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兖矿财务公司业务部副总经理</w:t>
      </w:r>
    </w:p>
    <w:p>
      <w:pPr>
        <w:widowControl w:val="0"/>
        <w:wordWrap/>
        <w:adjustRightInd/>
        <w:snapToGrid w:val="0"/>
        <w:spacing w:line="520" w:lineRule="exact"/>
        <w:ind w:left="0" w:leftChars="0" w:right="0" w:firstLine="640" w:firstLineChars="20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刘树果</w:t>
      </w:r>
      <w:r>
        <w:rPr>
          <w:rFonts w:hint="eastAsia" w:ascii="仿宋_GB2312" w:hAnsi="仿宋_GB2312" w:eastAsia="仿宋_GB2312" w:cs="仿宋_GB2312"/>
          <w:sz w:val="30"/>
          <w:szCs w:val="30"/>
          <w:lang w:val="en-US" w:eastAsia="zh-CN"/>
        </w:rPr>
        <w:t xml:space="preserve">    乐赛财盈投资有限公司总经理</w:t>
      </w:r>
    </w:p>
    <w:p>
      <w:pPr>
        <w:widowControl w:val="0"/>
        <w:wordWrap/>
        <w:adjustRightInd/>
        <w:snapToGrid w:val="0"/>
        <w:spacing w:line="520" w:lineRule="exact"/>
        <w:ind w:left="0" w:leftChars="0" w:right="0" w:firstLine="64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郭翼飞</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兖州煤业股份有限公司财务部</w:t>
      </w:r>
      <w:r>
        <w:rPr>
          <w:rFonts w:hint="eastAsia" w:ascii="仿宋_GB2312" w:hAnsi="仿宋_GB2312" w:eastAsia="仿宋_GB2312" w:cs="仿宋_GB2312"/>
          <w:sz w:val="30"/>
          <w:szCs w:val="30"/>
          <w:lang w:val="en-US" w:eastAsia="zh-CN"/>
        </w:rPr>
        <w:t>副科长</w:t>
      </w:r>
    </w:p>
    <w:p>
      <w:pPr>
        <w:widowControl w:val="0"/>
        <w:wordWrap/>
        <w:adjustRightInd/>
        <w:snapToGrid w:val="0"/>
        <w:spacing w:line="520" w:lineRule="exact"/>
        <w:ind w:left="0" w:leftChars="0" w:right="0" w:firstLine="640" w:firstLineChars="20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王</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蓓</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如意科技集团资金中心副总经理</w:t>
      </w:r>
    </w:p>
    <w:p>
      <w:pPr>
        <w:widowControl w:val="0"/>
        <w:wordWrap/>
        <w:adjustRightInd/>
        <w:snapToGrid w:val="0"/>
        <w:spacing w:line="520" w:lineRule="exact"/>
        <w:ind w:left="0" w:leftChars="0" w:right="0" w:firstLine="640" w:firstLineChars="20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臧会华</w:t>
      </w:r>
      <w:r>
        <w:rPr>
          <w:rFonts w:hint="eastAsia" w:ascii="仿宋_GB2312" w:hAnsi="仿宋_GB2312" w:eastAsia="仿宋_GB2312" w:cs="仿宋_GB2312"/>
          <w:sz w:val="30"/>
          <w:szCs w:val="30"/>
          <w:lang w:val="en-US" w:eastAsia="zh-CN"/>
        </w:rPr>
        <w:t xml:space="preserve">    万国纸业太阳白卡纸有限公司</w:t>
      </w:r>
      <w:r>
        <w:rPr>
          <w:rFonts w:hint="eastAsia" w:ascii="仿宋_GB2312" w:hAnsi="仿宋_GB2312" w:eastAsia="仿宋_GB2312" w:cs="仿宋_GB2312"/>
          <w:sz w:val="30"/>
          <w:szCs w:val="30"/>
          <w:lang w:eastAsia="zh-CN"/>
        </w:rPr>
        <w:t>财务经理</w:t>
      </w:r>
    </w:p>
    <w:p>
      <w:pPr>
        <w:widowControl w:val="0"/>
        <w:wordWrap/>
        <w:adjustRightInd/>
        <w:snapToGrid w:val="0"/>
        <w:spacing w:line="600" w:lineRule="atLeast"/>
        <w:ind w:left="0" w:leftChars="0" w:right="0" w:firstLine="640" w:firstLineChars="200"/>
        <w:jc w:val="both"/>
        <w:textAlignment w:val="auto"/>
        <w:outlineLvl w:val="9"/>
        <w:rPr>
          <w:rFonts w:hint="eastAsia" w:ascii="仿宋_GB2312" w:hAnsi="仿宋_GB2312" w:eastAsia="仿宋_GB2312" w:cs="仿宋_GB2312"/>
          <w:sz w:val="30"/>
          <w:szCs w:val="30"/>
          <w:lang w:eastAsia="zh-CN"/>
        </w:rPr>
      </w:pPr>
    </w:p>
    <w:p>
      <w:pPr>
        <w:rPr>
          <w:sz w:val="30"/>
          <w:szCs w:val="30"/>
        </w:rPr>
      </w:pPr>
    </w:p>
    <w:p>
      <w:pPr>
        <w:widowControl/>
        <w:wordWrap/>
        <w:adjustRightInd w:val="0"/>
        <w:snapToGrid w:val="0"/>
        <w:spacing w:line="520" w:lineRule="exact"/>
        <w:ind w:left="0" w:leftChars="0" w:right="0" w:firstLine="600" w:firstLineChars="200"/>
        <w:jc w:val="both"/>
        <w:textAlignment w:val="auto"/>
        <w:outlineLvl w:val="9"/>
        <w:rPr>
          <w:rFonts w:hint="eastAsia" w:ascii="仿宋_GB2312" w:hAnsi="宋体" w:eastAsia="仿宋_GB2312" w:cs="仿宋_GB2312"/>
          <w:color w:val="000000"/>
          <w:kern w:val="0"/>
          <w:sz w:val="30"/>
          <w:szCs w:val="30"/>
          <w:lang w:val="en-US" w:eastAsia="zh-CN"/>
        </w:rPr>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auto"/>
    <w:pitch w:val="default"/>
    <w:sig w:usb0="E00002FF" w:usb1="4000ACFF" w:usb2="00000001" w:usb3="00000000" w:csb0="2000019F" w:csb1="00000000"/>
  </w:font>
  <w:font w:name="MS PMincho">
    <w:panose1 w:val="02020600040205080304"/>
    <w:charset w:val="80"/>
    <w:family w:val="auto"/>
    <w:pitch w:val="default"/>
    <w:sig w:usb0="E00002FF" w:usb1="6AC7FDFB" w:usb2="00000012" w:usb3="00000000" w:csb0="4002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87F4965"/>
    <w:rsid w:val="379C16B7"/>
    <w:rsid w:val="551A7903"/>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0"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iPriority="0" w:name="Light Shading"/>
    <w:lsdException w:uiPriority="0" w:name="Light List"/>
    <w:lsdException w:uiPriority="0" w:name="Light Grid"/>
    <w:lsdException w:uiPriority="0" w:name="Medium Shading 1"/>
    <w:lsdException w:uiPriority="0" w:name="Medium Shading 2"/>
    <w:lsdException w:uiPriority="0" w:name="Medium List 1"/>
    <w:lsdException w:uiPriority="0" w:name="Medium List 2"/>
    <w:lsdException w:uiPriority="0" w:name="Medium Grid 1"/>
    <w:lsdException w:uiPriority="0" w:name="Medium Grid 2"/>
    <w:lsdException w:uiPriority="0" w:name="Medium Grid 3"/>
    <w:lsdException w:uiPriority="0" w:name="Dark List"/>
    <w:lsdException w:uiPriority="0" w:name="Colorful Shading"/>
    <w:lsdException w:uiPriority="0" w:name="Colorful List"/>
    <w:lsdException w:uiPriority="0" w:name="Colorful Grid"/>
    <w:lsdException w:uiPriority="0" w:name="Light Shading Accent 1"/>
    <w:lsdException w:uiPriority="0" w:name="Light List Accent 1"/>
    <w:lsdException w:uiPriority="0" w:name="Light Grid Accent 1"/>
    <w:lsdException w:uiPriority="0" w:name="Medium Shading 1 Accent 1"/>
    <w:lsdException w:uiPriority="0" w:name="Medium Shading 2 Accent 1"/>
    <w:lsdException w:uiPriority="0" w:name="Medium List 1 Accent 1"/>
    <w:lsdException w:uiPriority="0" w:name="Medium List 2 Accent 1"/>
    <w:lsdException w:uiPriority="0" w:name="Medium Grid 1 Accent 1"/>
    <w:lsdException w:uiPriority="0" w:name="Medium Grid 2 Accent 1"/>
    <w:lsdException w:uiPriority="0" w:name="Medium Grid 3 Accent 1"/>
    <w:lsdException w:uiPriority="0" w:name="Dark List Accent 1"/>
    <w:lsdException w:uiPriority="0" w:name="Colorful Shading Accent 1"/>
    <w:lsdException w:uiPriority="0" w:name="Colorful List Accent 1"/>
    <w:lsdException w:uiPriority="0" w:name="Colorful Grid Accent 1"/>
    <w:lsdException w:uiPriority="0" w:name="Light Shading Accent 2"/>
    <w:lsdException w:uiPriority="0" w:name="Light List Accent 2"/>
    <w:lsdException w:uiPriority="0" w:name="Light Grid Accent 2"/>
    <w:lsdException w:uiPriority="0" w:name="Medium Shading 1 Accent 2"/>
    <w:lsdException w:uiPriority="0" w:name="Medium Shading 2 Accent 2"/>
    <w:lsdException w:uiPriority="0" w:name="Medium List 1 Accent 2"/>
    <w:lsdException w:uiPriority="0" w:name="Medium List 2 Accent 2"/>
    <w:lsdException w:uiPriority="0" w:name="Medium Grid 1 Accent 2"/>
    <w:lsdException w:uiPriority="0" w:name="Medium Grid 2 Accent 2"/>
    <w:lsdException w:uiPriority="0" w:name="Medium Grid 3 Accent 2"/>
    <w:lsdException w:uiPriority="0" w:name="Dark List Accent 2"/>
    <w:lsdException w:uiPriority="0" w:name="Colorful Shading Accent 2"/>
    <w:lsdException w:uiPriority="0" w:name="Colorful List Accent 2"/>
    <w:lsdException w:uiPriority="0" w:name="Colorful Grid Accent 2"/>
    <w:lsdException w:uiPriority="0" w:name="Light Shading Accent 3"/>
    <w:lsdException w:uiPriority="0" w:name="Light List Accent 3"/>
    <w:lsdException w:uiPriority="0" w:name="Light Grid Accent 3"/>
    <w:lsdException w:uiPriority="0" w:name="Medium Shading 1 Accent 3"/>
    <w:lsdException w:uiPriority="0" w:name="Medium Shading 2 Accent 3"/>
    <w:lsdException w:uiPriority="0" w:name="Medium List 1 Accent 3"/>
    <w:lsdException w:uiPriority="0" w:name="Medium List 2 Accent 3"/>
    <w:lsdException w:uiPriority="0" w:name="Medium Grid 1 Accent 3"/>
    <w:lsdException w:uiPriority="0" w:name="Medium Grid 2 Accent 3"/>
    <w:lsdException w:uiPriority="0" w:name="Medium Grid 3 Accent 3"/>
    <w:lsdException w:uiPriority="0" w:name="Dark List Accent 3"/>
    <w:lsdException w:uiPriority="0" w:name="Colorful Shading Accent 3"/>
    <w:lsdException w:uiPriority="0" w:name="Colorful List Accent 3"/>
    <w:lsdException w:uiPriority="0" w:name="Colorful Grid Accent 3"/>
    <w:lsdException w:uiPriority="0" w:name="Light Shading Accent 4"/>
    <w:lsdException w:uiPriority="0" w:name="Light List Accent 4"/>
    <w:lsdException w:uiPriority="0" w:name="Light Grid Accent 4"/>
    <w:lsdException w:uiPriority="0" w:name="Medium Shading 1 Accent 4"/>
    <w:lsdException w:uiPriority="0" w:name="Medium Shading 2 Accent 4"/>
    <w:lsdException w:uiPriority="0" w:name="Medium List 1 Accent 4"/>
    <w:lsdException w:uiPriority="0" w:name="Medium List 2 Accent 4"/>
    <w:lsdException w:uiPriority="0" w:name="Medium Grid 1 Accent 4"/>
    <w:lsdException w:uiPriority="0" w:name="Medium Grid 2 Accent 4"/>
    <w:lsdException w:uiPriority="0" w:name="Medium Grid 3 Accent 4"/>
    <w:lsdException w:uiPriority="0" w:name="Dark List Accent 4"/>
    <w:lsdException w:uiPriority="0" w:name="Colorful Shading Accent 4"/>
    <w:lsdException w:uiPriority="0" w:name="Colorful List Accent 4"/>
    <w:lsdException w:uiPriority="0" w:name="Colorful Grid Accent 4"/>
    <w:lsdException w:uiPriority="0" w:name="Light Shading Accent 5"/>
    <w:lsdException w:uiPriority="0" w:name="Light List Accent 5"/>
    <w:lsdException w:uiPriority="0" w:name="Light Grid Accent 5"/>
    <w:lsdException w:uiPriority="0" w:name="Medium Shading 1 Accent 5"/>
    <w:lsdException w:uiPriority="0" w:name="Medium Shading 2 Accent 5"/>
    <w:lsdException w:uiPriority="0" w:name="Medium List 1 Accent 5"/>
    <w:lsdException w:uiPriority="0" w:name="Medium List 2 Accent 5"/>
    <w:lsdException w:uiPriority="0" w:name="Medium Grid 1 Accent 5"/>
    <w:lsdException w:uiPriority="0" w:name="Medium Grid 2 Accent 5"/>
    <w:lsdException w:uiPriority="0" w:name="Medium Grid 3 Accent 5"/>
    <w:lsdException w:uiPriority="0" w:name="Dark List Accent 5"/>
    <w:lsdException w:uiPriority="0" w:name="Colorful Shading Accent 5"/>
    <w:lsdException w:uiPriority="0" w:name="Colorful List Accent 5"/>
    <w:lsdException w:uiPriority="0" w:name="Colorful Grid Accent 5"/>
    <w:lsdException w:uiPriority="0" w:name="Light Shading Accent 6"/>
    <w:lsdException w:uiPriority="0" w:name="Light List Accent 6"/>
    <w:lsdException w:uiPriority="0" w:name="Light Grid Accent 6"/>
    <w:lsdException w:uiPriority="0" w:name="Medium Shading 1 Accent 6"/>
    <w:lsdException w:uiPriority="0" w:name="Medium Shading 2 Accent 6"/>
    <w:lsdException w:uiPriority="0" w:name="Medium List 1 Accent 6"/>
    <w:lsdException w:uiPriority="0" w:name="Medium List 2 Accent 6"/>
    <w:lsdException w:uiPriority="0" w:name="Medium Grid 1 Accent 6"/>
    <w:lsdException w:uiPriority="0" w:name="Medium Grid 2 Accent 6"/>
    <w:lsdException w:uiPriority="0" w:name="Medium Grid 3 Accent 6"/>
    <w:lsdException w:uiPriority="0" w:name="Dark List Accent 6"/>
    <w:lsdException w:uiPriority="0" w:name="Colorful Shading Accent 6"/>
    <w:lsdException w:uiPriority="0" w:name="Colorful List Accent 6"/>
    <w:lsdException w:uiPriority="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link w:val="7"/>
    <w:semiHidden/>
    <w:uiPriority w:val="0"/>
  </w:style>
  <w:style w:type="table" w:default="1" w:styleId="10">
    <w:name w:val="Normal Table"/>
    <w:unhideWhenUsed/>
    <w:uiPriority w:val="0"/>
    <w:tblPr>
      <w:tblStyle w:val="10"/>
      <w:tblLayout w:type="fixed"/>
      <w:tblCellMar>
        <w:top w:w="0" w:type="dxa"/>
        <w:left w:w="108" w:type="dxa"/>
        <w:bottom w:w="0" w:type="dxa"/>
        <w:right w:w="108" w:type="dxa"/>
      </w:tblCellMar>
    </w:tblPr>
    <w:tcPr>
      <w:textDirection w:val="lrTb"/>
    </w:tcPr>
  </w:style>
  <w:style w:type="paragraph" w:styleId="2">
    <w:name w:val="toc 3"/>
    <w:basedOn w:val="1"/>
    <w:next w:val="1"/>
    <w:uiPriority w:val="0"/>
    <w:pPr>
      <w:ind w:left="840" w:leftChars="4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Autospacing="1" w:afterAutospacing="1"/>
      <w:jc w:val="left"/>
    </w:pPr>
    <w:rPr>
      <w:rFonts w:hint="eastAsia"/>
      <w:sz w:val="24"/>
    </w:rPr>
  </w:style>
  <w:style w:type="paragraph" w:customStyle="1" w:styleId="7">
    <w:name w:val="Char Char Char Char Char Char Char Char Char Char Char Char Char"/>
    <w:basedOn w:val="1"/>
    <w:link w:val="6"/>
    <w:uiPriority w:val="0"/>
  </w:style>
  <w:style w:type="character" w:styleId="8">
    <w:name w:val="Strong"/>
    <w:basedOn w:val="6"/>
    <w:qFormat/>
    <w:uiPriority w:val="0"/>
    <w:rPr>
      <w:rFonts w:hint="default" w:ascii="Times New Roman"/>
      <w:b/>
    </w:rPr>
  </w:style>
  <w:style w:type="character" w:styleId="9">
    <w:name w:val="page number"/>
    <w:basedOn w:val="6"/>
    <w:uiPriority w:val="0"/>
    <w:rPr/>
  </w:style>
  <w:style w:type="paragraph" w:customStyle="1" w:styleId="11">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2017-12-25T10:14:00Z</dcterms:created>
  <dc:creator>mac</dc:creator>
  <cp:lastModifiedBy>李东泽</cp:lastModifiedBy>
  <cp:lastPrinted>2018-11-26T08:55:00Z</cp:lastPrinted>
  <dcterms:modified xsi:type="dcterms:W3CDTF">2018-12-06T06:14:07Z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