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9D" w:rsidRDefault="00D15E9D" w:rsidP="00D15E9D">
      <w:pPr>
        <w:adjustRightInd w:val="0"/>
        <w:snapToGrid w:val="0"/>
        <w:jc w:val="center"/>
        <w:rPr>
          <w:rFonts w:ascii="方正小标宋_GBK" w:eastAsia="方正小标宋_GBK" w:hAnsi="华文中宋" w:cs="Times New Roman" w:hint="eastAsia"/>
          <w:sz w:val="38"/>
          <w:szCs w:val="20"/>
        </w:rPr>
      </w:pPr>
      <w:r>
        <w:rPr>
          <w:rFonts w:ascii="方正小标宋_GBK" w:eastAsia="方正小标宋_GBK" w:hAnsi="华文中宋" w:cs="Times New Roman" w:hint="eastAsia"/>
          <w:sz w:val="38"/>
          <w:szCs w:val="20"/>
        </w:rPr>
        <w:t>济宁市督办问题清单</w:t>
      </w:r>
    </w:p>
    <w:p w:rsidR="00D15E9D" w:rsidRDefault="00D15E9D" w:rsidP="00D15E9D">
      <w:pPr>
        <w:adjustRightInd w:val="0"/>
        <w:snapToGrid w:val="0"/>
        <w:jc w:val="center"/>
        <w:rPr>
          <w:rFonts w:ascii="方正小标宋_GBK" w:eastAsia="方正小标宋_GBK" w:hAnsi="华文中宋" w:cs="Times New Roman" w:hint="eastAsia"/>
          <w:sz w:val="38"/>
          <w:szCs w:val="2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/>
      </w:tblPr>
      <w:tblGrid>
        <w:gridCol w:w="650"/>
        <w:gridCol w:w="1049"/>
        <w:gridCol w:w="713"/>
        <w:gridCol w:w="869"/>
        <w:gridCol w:w="1010"/>
        <w:gridCol w:w="1093"/>
        <w:gridCol w:w="601"/>
        <w:gridCol w:w="2204"/>
        <w:gridCol w:w="1947"/>
        <w:gridCol w:w="1076"/>
        <w:gridCol w:w="1350"/>
        <w:gridCol w:w="1124"/>
        <w:gridCol w:w="1220"/>
      </w:tblGrid>
      <w:tr w:rsidR="00D15E9D" w:rsidTr="007C039A">
        <w:trPr>
          <w:cantSplit/>
          <w:tblHeader/>
          <w:jc w:val="center"/>
        </w:trPr>
        <w:tc>
          <w:tcPr>
            <w:tcW w:w="6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15E9D" w:rsidRDefault="00D15E9D" w:rsidP="007C039A">
            <w:pPr>
              <w:adjustRightInd w:val="0"/>
              <w:snapToGrid w:val="0"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编号</w:t>
            </w:r>
          </w:p>
        </w:tc>
        <w:tc>
          <w:tcPr>
            <w:tcW w:w="104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15E9D" w:rsidRDefault="00D15E9D" w:rsidP="007C039A">
            <w:pPr>
              <w:adjustRightInd w:val="0"/>
              <w:snapToGrid w:val="0"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检查时间</w:t>
            </w:r>
          </w:p>
        </w:tc>
        <w:tc>
          <w:tcPr>
            <w:tcW w:w="71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15E9D" w:rsidRDefault="00D15E9D" w:rsidP="007C039A">
            <w:pPr>
              <w:adjustRightInd w:val="0"/>
              <w:snapToGrid w:val="0"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县区</w:t>
            </w:r>
          </w:p>
        </w:tc>
        <w:tc>
          <w:tcPr>
            <w:tcW w:w="86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15E9D" w:rsidRDefault="00D15E9D" w:rsidP="007C039A">
            <w:pPr>
              <w:adjustRightInd w:val="0"/>
              <w:snapToGrid w:val="0"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乡镇</w:t>
            </w:r>
          </w:p>
          <w:p w:rsidR="00D15E9D" w:rsidRDefault="00D15E9D" w:rsidP="007C039A">
            <w:pPr>
              <w:adjustRightInd w:val="0"/>
              <w:snapToGrid w:val="0"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（街道）</w:t>
            </w:r>
          </w:p>
        </w:tc>
        <w:tc>
          <w:tcPr>
            <w:tcW w:w="101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15E9D" w:rsidRDefault="00D15E9D" w:rsidP="007C039A">
            <w:pPr>
              <w:adjustRightInd w:val="0"/>
              <w:snapToGrid w:val="0"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污染源名称</w:t>
            </w:r>
          </w:p>
        </w:tc>
        <w:tc>
          <w:tcPr>
            <w:tcW w:w="109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15E9D" w:rsidRDefault="00D15E9D" w:rsidP="007C039A">
            <w:pPr>
              <w:adjustRightInd w:val="0"/>
              <w:snapToGrid w:val="0"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污染源地址</w:t>
            </w:r>
          </w:p>
        </w:tc>
        <w:tc>
          <w:tcPr>
            <w:tcW w:w="60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15E9D" w:rsidRDefault="00D15E9D" w:rsidP="007C039A">
            <w:pPr>
              <w:adjustRightInd w:val="0"/>
              <w:snapToGrid w:val="0"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问题类型</w:t>
            </w:r>
          </w:p>
        </w:tc>
        <w:tc>
          <w:tcPr>
            <w:tcW w:w="220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15E9D" w:rsidRDefault="00D15E9D" w:rsidP="007C039A">
            <w:pPr>
              <w:adjustRightInd w:val="0"/>
              <w:snapToGrid w:val="0"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现场问题情况详述</w:t>
            </w:r>
          </w:p>
        </w:tc>
        <w:tc>
          <w:tcPr>
            <w:tcW w:w="194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15E9D" w:rsidRDefault="00D15E9D" w:rsidP="007C039A">
            <w:pPr>
              <w:adjustRightInd w:val="0"/>
              <w:snapToGrid w:val="0"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整改要求</w:t>
            </w:r>
          </w:p>
        </w:tc>
        <w:tc>
          <w:tcPr>
            <w:tcW w:w="107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15E9D" w:rsidRDefault="00D15E9D" w:rsidP="007C039A">
            <w:pPr>
              <w:adjustRightInd w:val="0"/>
              <w:snapToGrid w:val="0"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完成时限</w:t>
            </w:r>
          </w:p>
        </w:tc>
        <w:tc>
          <w:tcPr>
            <w:tcW w:w="13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15E9D" w:rsidRDefault="00D15E9D" w:rsidP="007C039A">
            <w:pPr>
              <w:adjustRightInd w:val="0"/>
              <w:snapToGrid w:val="0"/>
              <w:jc w:val="center"/>
              <w:textAlignment w:val="center"/>
              <w:rPr>
                <w:rFonts w:ascii="黑体" w:eastAsia="黑体" w:hAnsi="黑体" w:cs="Times New Roman" w:hint="eastAsia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整改措施（立行立改、停业关闭、取缔拆除、限期整改、补办手续、行政处罚等）</w:t>
            </w:r>
          </w:p>
        </w:tc>
        <w:tc>
          <w:tcPr>
            <w:tcW w:w="112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15E9D" w:rsidRDefault="00D15E9D" w:rsidP="007C039A">
            <w:pPr>
              <w:adjustRightInd w:val="0"/>
              <w:snapToGrid w:val="0"/>
              <w:jc w:val="center"/>
              <w:textAlignment w:val="center"/>
              <w:rPr>
                <w:rFonts w:ascii="黑体" w:eastAsia="黑体" w:hAnsi="黑体" w:cs="Times New Roman" w:hint="eastAsia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整改进展（详细描述整改情况和完成时间）</w:t>
            </w:r>
          </w:p>
        </w:tc>
        <w:tc>
          <w:tcPr>
            <w:tcW w:w="122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15E9D" w:rsidRDefault="00D15E9D" w:rsidP="007C039A">
            <w:pPr>
              <w:adjustRightInd w:val="0"/>
              <w:snapToGrid w:val="0"/>
              <w:jc w:val="center"/>
              <w:textAlignment w:val="center"/>
              <w:rPr>
                <w:rFonts w:ascii="黑体" w:eastAsia="黑体" w:hAnsi="黑体" w:cs="Times New Roman" w:hint="eastAsia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整改完成情况（已完成、正在进行、未完成）</w:t>
            </w:r>
          </w:p>
        </w:tc>
      </w:tr>
      <w:tr w:rsidR="00D15E9D" w:rsidTr="007C039A">
        <w:trPr>
          <w:cantSplit/>
          <w:trHeight w:val="1921"/>
          <w:jc w:val="center"/>
        </w:trPr>
        <w:tc>
          <w:tcPr>
            <w:tcW w:w="6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SD-YP-030</w:t>
            </w:r>
          </w:p>
        </w:tc>
        <w:tc>
          <w:tcPr>
            <w:tcW w:w="104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2019/5/8</w:t>
            </w:r>
          </w:p>
        </w:tc>
        <w:tc>
          <w:tcPr>
            <w:tcW w:w="71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高新区</w:t>
            </w:r>
          </w:p>
        </w:tc>
        <w:tc>
          <w:tcPr>
            <w:tcW w:w="86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柳行街道</w:t>
            </w:r>
          </w:p>
        </w:tc>
        <w:tc>
          <w:tcPr>
            <w:tcW w:w="101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许厂煤矿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东临加油点</w:t>
            </w:r>
          </w:p>
        </w:tc>
        <w:tc>
          <w:tcPr>
            <w:tcW w:w="109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济宁市高新区柳行街道驻地</w:t>
            </w:r>
          </w:p>
        </w:tc>
        <w:tc>
          <w:tcPr>
            <w:tcW w:w="60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15E9D" w:rsidRDefault="00D15E9D" w:rsidP="007C039A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黑加油站</w:t>
            </w:r>
          </w:p>
        </w:tc>
        <w:tc>
          <w:tcPr>
            <w:tcW w:w="220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现场检查时，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发现许厂煤矿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东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临存在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加油点，已停业，现场有加油枪1个、加油机1个，无任何证照。加油枪已锁住，设备已停用没有拆除。</w:t>
            </w:r>
          </w:p>
        </w:tc>
        <w:tc>
          <w:tcPr>
            <w:tcW w:w="194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进一步调查核实，证照不全不符或过期的、具备办证条件的进行停业整改，整改完成前不得恢复营业；不具备办证条件的依法取缔；构成犯罪的移送公安机关依法追究刑事责任。</w:t>
            </w:r>
          </w:p>
        </w:tc>
        <w:tc>
          <w:tcPr>
            <w:tcW w:w="107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2019/5/22</w:t>
            </w:r>
          </w:p>
        </w:tc>
        <w:tc>
          <w:tcPr>
            <w:tcW w:w="13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</w:tr>
      <w:tr w:rsidR="00D15E9D" w:rsidTr="007C039A">
        <w:trPr>
          <w:cantSplit/>
          <w:trHeight w:val="1921"/>
          <w:jc w:val="center"/>
        </w:trPr>
        <w:tc>
          <w:tcPr>
            <w:tcW w:w="650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lastRenderedPageBreak/>
              <w:t>SD-YP-031</w:t>
            </w:r>
          </w:p>
        </w:tc>
        <w:tc>
          <w:tcPr>
            <w:tcW w:w="1049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2019/5/8</w:t>
            </w:r>
          </w:p>
        </w:tc>
        <w:tc>
          <w:tcPr>
            <w:tcW w:w="713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梁山县</w:t>
            </w:r>
          </w:p>
        </w:tc>
        <w:tc>
          <w:tcPr>
            <w:tcW w:w="869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水泊南路万美洗车城内</w:t>
            </w:r>
          </w:p>
        </w:tc>
        <w:tc>
          <w:tcPr>
            <w:tcW w:w="1010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济宁市梁山县水泊南路万美洗车城内加油点</w:t>
            </w:r>
          </w:p>
        </w:tc>
        <w:tc>
          <w:tcPr>
            <w:tcW w:w="1093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山东省济宁市梁山县水泊南路万美洗车城内</w:t>
            </w:r>
          </w:p>
        </w:tc>
        <w:tc>
          <w:tcPr>
            <w:tcW w:w="601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黑加油站</w:t>
            </w:r>
          </w:p>
        </w:tc>
        <w:tc>
          <w:tcPr>
            <w:tcW w:w="2204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现场检查时，发现万美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洗车城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存在加油点，未在营业，现场有加油枪、加油机等设备。该单位现经营地址与营业执照地址不符，现场检查时未能提供相关证照原件，未见相关消防设施。</w:t>
            </w:r>
          </w:p>
        </w:tc>
        <w:tc>
          <w:tcPr>
            <w:tcW w:w="1947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进一步调查核实，证照不全不符或过期的、具备办证条件的进行停业整改，整改完成前不得恢复营业；不具备办证条件的依法取缔；构成犯罪的移送公安机关依法追究刑事责任。</w:t>
            </w:r>
          </w:p>
        </w:tc>
        <w:tc>
          <w:tcPr>
            <w:tcW w:w="1076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2019/5/22</w:t>
            </w:r>
          </w:p>
        </w:tc>
        <w:tc>
          <w:tcPr>
            <w:tcW w:w="1350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</w:tr>
      <w:tr w:rsidR="00D15E9D" w:rsidTr="007C039A">
        <w:trPr>
          <w:cantSplit/>
          <w:trHeight w:val="1921"/>
          <w:jc w:val="center"/>
        </w:trPr>
        <w:tc>
          <w:tcPr>
            <w:tcW w:w="650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SD-YP-032</w:t>
            </w:r>
          </w:p>
        </w:tc>
        <w:tc>
          <w:tcPr>
            <w:tcW w:w="1049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2019/5/10</w:t>
            </w:r>
          </w:p>
        </w:tc>
        <w:tc>
          <w:tcPr>
            <w:tcW w:w="713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曲阜市</w:t>
            </w:r>
          </w:p>
        </w:tc>
        <w:tc>
          <w:tcPr>
            <w:tcW w:w="869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单家村</w:t>
            </w:r>
          </w:p>
        </w:tc>
        <w:tc>
          <w:tcPr>
            <w:tcW w:w="1010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曲阜泉龙煤炭公司加油点</w:t>
            </w:r>
          </w:p>
        </w:tc>
        <w:tc>
          <w:tcPr>
            <w:tcW w:w="1093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济宁市曲阜市张庄村济宁轿车汽车运输公司北100米路东</w:t>
            </w:r>
          </w:p>
        </w:tc>
        <w:tc>
          <w:tcPr>
            <w:tcW w:w="601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黑加油站</w:t>
            </w:r>
          </w:p>
        </w:tc>
        <w:tc>
          <w:tcPr>
            <w:tcW w:w="2204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现场检查时，发现曲阜泉龙煤炭公司存在加油点，已停业，现场有两台加油机，未找到相关工作人员，无人提供相应证照信息。</w:t>
            </w:r>
          </w:p>
        </w:tc>
        <w:tc>
          <w:tcPr>
            <w:tcW w:w="1947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进一步调查核实，证照不全不符或过期的、具备办证条件的进行停业整改，整改完成前不得恢复营业；不具备办证条件的依法取缔；构成犯罪的移送公安机关依法追究刑事责任。</w:t>
            </w:r>
          </w:p>
        </w:tc>
        <w:tc>
          <w:tcPr>
            <w:tcW w:w="1076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2019/5/22</w:t>
            </w:r>
          </w:p>
        </w:tc>
        <w:tc>
          <w:tcPr>
            <w:tcW w:w="1350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</w:tr>
      <w:tr w:rsidR="00D15E9D" w:rsidTr="007C039A">
        <w:trPr>
          <w:cantSplit/>
          <w:trHeight w:val="1921"/>
          <w:jc w:val="center"/>
        </w:trPr>
        <w:tc>
          <w:tcPr>
            <w:tcW w:w="650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lastRenderedPageBreak/>
              <w:t>SD-YP-033</w:t>
            </w:r>
          </w:p>
        </w:tc>
        <w:tc>
          <w:tcPr>
            <w:tcW w:w="1049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2019/5/9</w:t>
            </w:r>
          </w:p>
        </w:tc>
        <w:tc>
          <w:tcPr>
            <w:tcW w:w="713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曲阜市</w:t>
            </w:r>
          </w:p>
        </w:tc>
        <w:tc>
          <w:tcPr>
            <w:tcW w:w="869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曲阜市书院街道转盘路东</w:t>
            </w:r>
          </w:p>
        </w:tc>
        <w:tc>
          <w:tcPr>
            <w:tcW w:w="1010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曲阜市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礼宾路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交叉口路西加油点</w:t>
            </w:r>
          </w:p>
        </w:tc>
        <w:tc>
          <w:tcPr>
            <w:tcW w:w="1093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山东省济宁市曲阜市</w:t>
            </w:r>
          </w:p>
        </w:tc>
        <w:tc>
          <w:tcPr>
            <w:tcW w:w="601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黑加油站</w:t>
            </w:r>
          </w:p>
        </w:tc>
        <w:tc>
          <w:tcPr>
            <w:tcW w:w="2204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现场检查时，发现曲阜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市慧达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实业有限公司内存在加油点，未在营业。该地原加油站点于2018年12月底开始改造建设，现场有4台加油机，油气回收设施已安装。该加油站已通过曲阜市经济和信息化局审批，审批文号为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曲经信字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〔2018〕111号，现场已提供该加油站营业执照，但未提供危险化学品经营许可证和成品油零售经营批准证书。</w:t>
            </w:r>
          </w:p>
        </w:tc>
        <w:tc>
          <w:tcPr>
            <w:tcW w:w="1947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进一步调查核实，证照不全不符或过期的、具备办证条件的进行停业整改，整改完成前不得恢复营业；不具备办证条件的依法取缔；构成犯罪的移送公安机关依法追究刑事责任。</w:t>
            </w:r>
          </w:p>
        </w:tc>
        <w:tc>
          <w:tcPr>
            <w:tcW w:w="1076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2019/5/22</w:t>
            </w:r>
          </w:p>
        </w:tc>
        <w:tc>
          <w:tcPr>
            <w:tcW w:w="1350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</w:tr>
      <w:tr w:rsidR="00D15E9D" w:rsidTr="007C039A">
        <w:trPr>
          <w:cantSplit/>
          <w:trHeight w:val="1921"/>
          <w:jc w:val="center"/>
        </w:trPr>
        <w:tc>
          <w:tcPr>
            <w:tcW w:w="650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lastRenderedPageBreak/>
              <w:t>SD-YP-034</w:t>
            </w:r>
          </w:p>
        </w:tc>
        <w:tc>
          <w:tcPr>
            <w:tcW w:w="1049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2019/5/12</w:t>
            </w:r>
          </w:p>
        </w:tc>
        <w:tc>
          <w:tcPr>
            <w:tcW w:w="713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任城区</w:t>
            </w:r>
          </w:p>
        </w:tc>
        <w:tc>
          <w:tcPr>
            <w:tcW w:w="869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太白湖街道</w:t>
            </w:r>
          </w:p>
        </w:tc>
        <w:tc>
          <w:tcPr>
            <w:tcW w:w="1010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济宁市任城区远正加油站</w:t>
            </w:r>
          </w:p>
        </w:tc>
        <w:tc>
          <w:tcPr>
            <w:tcW w:w="1093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山东省济宁市任城区车站西路121号</w:t>
            </w:r>
          </w:p>
        </w:tc>
        <w:tc>
          <w:tcPr>
            <w:tcW w:w="601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黑加油站</w:t>
            </w:r>
          </w:p>
        </w:tc>
        <w:tc>
          <w:tcPr>
            <w:tcW w:w="2204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现场检查时，该加油站正在营业，现场能提供营业执照和成品油零售经营批准证，但无危险化学品经营许可证。据加油站负责人介绍，危险化学品经营许可证已于一年前申请，但尚未得到批准。</w:t>
            </w:r>
          </w:p>
        </w:tc>
        <w:tc>
          <w:tcPr>
            <w:tcW w:w="1947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进一步调查核实，证照不全不符或过期的、具备办证条件的进行停业整改，整改完成前不得恢复营业；不具备办证条件的依法取缔；构成犯罪的移送公安机关依法追究刑事责任。</w:t>
            </w:r>
          </w:p>
        </w:tc>
        <w:tc>
          <w:tcPr>
            <w:tcW w:w="1076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2019/5/22</w:t>
            </w:r>
          </w:p>
        </w:tc>
        <w:tc>
          <w:tcPr>
            <w:tcW w:w="1350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</w:tr>
      <w:tr w:rsidR="00D15E9D" w:rsidTr="007C039A">
        <w:trPr>
          <w:cantSplit/>
          <w:trHeight w:val="1921"/>
          <w:jc w:val="center"/>
        </w:trPr>
        <w:tc>
          <w:tcPr>
            <w:tcW w:w="650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SD-YP-035</w:t>
            </w:r>
          </w:p>
        </w:tc>
        <w:tc>
          <w:tcPr>
            <w:tcW w:w="1049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2019/5/8</w:t>
            </w:r>
          </w:p>
        </w:tc>
        <w:tc>
          <w:tcPr>
            <w:tcW w:w="713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兖州区</w:t>
            </w:r>
            <w:proofErr w:type="gramEnd"/>
          </w:p>
        </w:tc>
        <w:tc>
          <w:tcPr>
            <w:tcW w:w="869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兖州区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南外环路官庄村对过</w:t>
            </w:r>
          </w:p>
        </w:tc>
        <w:tc>
          <w:tcPr>
            <w:tcW w:w="1010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山东宏运物流有限公司加油点</w:t>
            </w:r>
          </w:p>
        </w:tc>
        <w:tc>
          <w:tcPr>
            <w:tcW w:w="1093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济宁市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兖州区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南环城路互通立交桥附近</w:t>
            </w:r>
          </w:p>
        </w:tc>
        <w:tc>
          <w:tcPr>
            <w:tcW w:w="601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黑加油站</w:t>
            </w:r>
          </w:p>
        </w:tc>
        <w:tc>
          <w:tcPr>
            <w:tcW w:w="2204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现场检查时，该物流公司正在经营，公司院内南侧有两台柴油加油机，两把加油枪，有营业执照和加油相关票据，无其它相关加油手续。</w:t>
            </w:r>
          </w:p>
        </w:tc>
        <w:tc>
          <w:tcPr>
            <w:tcW w:w="1947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进一步调查核实，证照不全不符或过期的、具备办证条件的进行停业整改，整改完成前不得恢复营业；不具备办证条件的依法取缔；构成犯罪的移送公安机关依法追究刑事责任。</w:t>
            </w:r>
          </w:p>
        </w:tc>
        <w:tc>
          <w:tcPr>
            <w:tcW w:w="1076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2019/5/22</w:t>
            </w:r>
          </w:p>
        </w:tc>
        <w:tc>
          <w:tcPr>
            <w:tcW w:w="1350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</w:tr>
      <w:tr w:rsidR="00D15E9D" w:rsidTr="007C039A">
        <w:trPr>
          <w:cantSplit/>
          <w:trHeight w:val="1921"/>
          <w:jc w:val="center"/>
        </w:trPr>
        <w:tc>
          <w:tcPr>
            <w:tcW w:w="650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lastRenderedPageBreak/>
              <w:t>SD-YP-036</w:t>
            </w:r>
          </w:p>
        </w:tc>
        <w:tc>
          <w:tcPr>
            <w:tcW w:w="1049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2019/5/8</w:t>
            </w:r>
          </w:p>
        </w:tc>
        <w:tc>
          <w:tcPr>
            <w:tcW w:w="713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兖州区</w:t>
            </w:r>
            <w:proofErr w:type="gramEnd"/>
          </w:p>
        </w:tc>
        <w:tc>
          <w:tcPr>
            <w:tcW w:w="869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开发区吉安路中段北侧</w:t>
            </w:r>
          </w:p>
        </w:tc>
        <w:tc>
          <w:tcPr>
            <w:tcW w:w="1010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山东瀚邦胶带有限公司加油点</w:t>
            </w:r>
          </w:p>
        </w:tc>
        <w:tc>
          <w:tcPr>
            <w:tcW w:w="1093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济宁市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兖州区兖州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经济开发区吉安路中段北侧</w:t>
            </w:r>
          </w:p>
        </w:tc>
        <w:tc>
          <w:tcPr>
            <w:tcW w:w="601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黑加油站</w:t>
            </w:r>
          </w:p>
        </w:tc>
        <w:tc>
          <w:tcPr>
            <w:tcW w:w="2204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现场检查时，该企业正在经营，公司院内西侧有一库房存放柴油，检查时发现有10桶(170升容量桶)柴油，加油枪一把，有柴油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出入台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帐。无成品油经营许可证。</w:t>
            </w:r>
          </w:p>
        </w:tc>
        <w:tc>
          <w:tcPr>
            <w:tcW w:w="1947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进一步调查核实，证照不全不符或过期的、具备办证条件的进行停业整改，整改完成前不得恢复营业；不具备办证条件的依法取缔；构成犯罪的移送公安机关依法追究刑事责任。</w:t>
            </w:r>
          </w:p>
        </w:tc>
        <w:tc>
          <w:tcPr>
            <w:tcW w:w="1076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2019/5/22</w:t>
            </w:r>
          </w:p>
        </w:tc>
        <w:tc>
          <w:tcPr>
            <w:tcW w:w="1350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</w:tr>
      <w:tr w:rsidR="00D15E9D" w:rsidTr="007C039A">
        <w:trPr>
          <w:cantSplit/>
          <w:trHeight w:val="1921"/>
          <w:jc w:val="center"/>
        </w:trPr>
        <w:tc>
          <w:tcPr>
            <w:tcW w:w="650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SD-YP-037</w:t>
            </w:r>
          </w:p>
        </w:tc>
        <w:tc>
          <w:tcPr>
            <w:tcW w:w="1049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2019/5/11</w:t>
            </w:r>
          </w:p>
        </w:tc>
        <w:tc>
          <w:tcPr>
            <w:tcW w:w="713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鱼台县</w:t>
            </w:r>
          </w:p>
        </w:tc>
        <w:tc>
          <w:tcPr>
            <w:tcW w:w="869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滨湖街道</w:t>
            </w:r>
          </w:p>
        </w:tc>
        <w:tc>
          <w:tcPr>
            <w:tcW w:w="1010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济宁市鱼台县福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昌农业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科技有限公司院内流动加油罐车</w:t>
            </w:r>
          </w:p>
        </w:tc>
        <w:tc>
          <w:tcPr>
            <w:tcW w:w="1093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山东省济宁市鱼台县福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昌农业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科技有限公司院内，汇金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码头北</w:t>
            </w:r>
            <w:proofErr w:type="gramEnd"/>
          </w:p>
        </w:tc>
        <w:tc>
          <w:tcPr>
            <w:tcW w:w="601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流动加油罐车</w:t>
            </w:r>
          </w:p>
        </w:tc>
        <w:tc>
          <w:tcPr>
            <w:tcW w:w="2204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现场检查时，发现济宁市鱼台县福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昌农业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科技有限公司院内存在流动加油罐车一辆，未在营业，现场有加油枪一只、加油机一个、油罐一个，无任何证照。车辆无车牌，企业工作人员声称对该车辆情况不了解。</w:t>
            </w:r>
          </w:p>
        </w:tc>
        <w:tc>
          <w:tcPr>
            <w:tcW w:w="1947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进一步调查核实，证照不全不符或过期的、具备办证条件的进行停业整改，整改完成前不得恢复营业；不具备办证条件的依法取缔；构成犯罪的移送公安机关依法追究刑事责任。</w:t>
            </w:r>
          </w:p>
        </w:tc>
        <w:tc>
          <w:tcPr>
            <w:tcW w:w="1076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2019/5/22</w:t>
            </w:r>
          </w:p>
        </w:tc>
        <w:tc>
          <w:tcPr>
            <w:tcW w:w="1350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vAlign w:val="center"/>
          </w:tcPr>
          <w:p w:rsidR="00D15E9D" w:rsidRDefault="00D15E9D" w:rsidP="007C039A">
            <w:pPr>
              <w:widowControl/>
              <w:textAlignment w:val="bottom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</w:tr>
    </w:tbl>
    <w:p w:rsidR="00755AFB" w:rsidRDefault="00755AFB"/>
    <w:sectPr w:rsidR="00755AFB" w:rsidSect="00D15E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392" w:rsidRDefault="00E25392" w:rsidP="00D15E9D">
      <w:r>
        <w:separator/>
      </w:r>
    </w:p>
  </w:endnote>
  <w:endnote w:type="continuationSeparator" w:id="0">
    <w:p w:rsidR="00E25392" w:rsidRDefault="00E25392" w:rsidP="00D15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392" w:rsidRDefault="00E25392" w:rsidP="00D15E9D">
      <w:r>
        <w:separator/>
      </w:r>
    </w:p>
  </w:footnote>
  <w:footnote w:type="continuationSeparator" w:id="0">
    <w:p w:rsidR="00E25392" w:rsidRDefault="00E25392" w:rsidP="00D15E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5E9D"/>
    <w:rsid w:val="00755AFB"/>
    <w:rsid w:val="00D15E9D"/>
    <w:rsid w:val="00E2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9D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5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5E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5E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5E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2019-05-14T00:38:00Z</dcterms:created>
  <dcterms:modified xsi:type="dcterms:W3CDTF">2019-05-14T00:38:00Z</dcterms:modified>
</cp:coreProperties>
</file>