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540" w:lineRule="exact"/>
        <w:ind w:right="0" w:rightChars="0"/>
        <w:jc w:val="center"/>
        <w:textAlignment w:val="auto"/>
        <w:rPr>
          <w:rFonts w:hint="eastAsia" w:ascii="方正小标宋简体" w:hAnsi="方正小标宋简体" w:eastAsia="方正小标宋简体" w:cs="方正小标宋简体"/>
          <w:snapToGrid w:val="0"/>
          <w:spacing w:val="-6"/>
          <w:kern w:val="0"/>
          <w:sz w:val="44"/>
          <w:szCs w:val="44"/>
          <w:lang w:val="en-US" w:eastAsia="zh-CN" w:bidi="ar-SA"/>
        </w:rPr>
      </w:pPr>
      <w:r>
        <w:rPr>
          <w:rFonts w:hint="eastAsia" w:ascii="方正小标宋简体" w:hAnsi="方正小标宋简体" w:eastAsia="方正小标宋简体" w:cs="方正小标宋简体"/>
          <w:snapToGrid w:val="0"/>
          <w:spacing w:val="-6"/>
          <w:kern w:val="0"/>
          <w:sz w:val="44"/>
          <w:szCs w:val="44"/>
          <w:lang w:val="en-US" w:eastAsia="zh-CN" w:bidi="ar-SA"/>
        </w:rPr>
        <w:t>水、大气、土壤、农保等环境污染物综合生态补偿及环保重点发展类项目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540" w:lineRule="exact"/>
        <w:ind w:right="0" w:rightChars="0"/>
        <w:jc w:val="center"/>
        <w:textAlignment w:val="auto"/>
        <w:rPr>
          <w:rStyle w:val="6"/>
          <w:rFonts w:hint="eastAsia" w:ascii="方正小标宋简体" w:hAnsi="方正小标宋简体" w:eastAsia="方正小标宋简体" w:cs="方正小标宋简体"/>
          <w:i w:val="0"/>
          <w:caps w:val="0"/>
          <w:color w:val="000000"/>
          <w:spacing w:val="0"/>
          <w:sz w:val="44"/>
          <w:szCs w:val="44"/>
          <w:shd w:val="clear" w:fill="FFFFFF"/>
          <w:lang w:eastAsia="zh-CN"/>
        </w:rPr>
      </w:pPr>
      <w:r>
        <w:rPr>
          <w:rFonts w:hint="eastAsia" w:ascii="方正小标宋简体" w:hAnsi="方正小标宋简体" w:eastAsia="方正小标宋简体" w:cs="方正小标宋简体"/>
          <w:snapToGrid w:val="0"/>
          <w:spacing w:val="-6"/>
          <w:kern w:val="0"/>
          <w:sz w:val="44"/>
          <w:szCs w:val="44"/>
          <w:lang w:val="en-US" w:eastAsia="zh-CN" w:bidi="ar-SA"/>
        </w:rPr>
        <w:t>绩效评价报告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3" w:firstLineChars="200"/>
        <w:jc w:val="both"/>
        <w:textAlignment w:val="auto"/>
        <w:rPr>
          <w:rStyle w:val="6"/>
          <w:rFonts w:hint="eastAsia" w:ascii="黑体" w:hAnsi="宋体" w:eastAsia="黑体" w:cs="黑体"/>
          <w:i w:val="0"/>
          <w:caps w:val="0"/>
          <w:color w:val="000000"/>
          <w:spacing w:val="0"/>
          <w:sz w:val="32"/>
          <w:szCs w:val="32"/>
          <w:shd w:val="clear" w:fill="FFFFFF"/>
          <w:lang w:eastAsia="zh-CN"/>
        </w:rPr>
      </w:pPr>
      <w:r>
        <w:rPr>
          <w:rStyle w:val="6"/>
          <w:rFonts w:hint="eastAsia" w:ascii="黑体" w:hAnsi="宋体" w:eastAsia="黑体" w:cs="黑体"/>
          <w:i w:val="0"/>
          <w:caps w:val="0"/>
          <w:color w:val="000000"/>
          <w:spacing w:val="0"/>
          <w:sz w:val="32"/>
          <w:szCs w:val="32"/>
          <w:shd w:val="clear" w:fill="FFFFFF"/>
          <w:lang w:eastAsia="zh-CN"/>
        </w:rPr>
        <w:t>一、项目概况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项目基本性质和主要内容、涉及范围</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项目基本性质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该项目属于财政全额拨款，根据</w:t>
      </w:r>
      <w:r>
        <w:rPr>
          <w:rFonts w:hint="eastAsia" w:ascii="仿宋_GB2312" w:hAnsi="仿宋_GB2312" w:eastAsia="仿宋_GB2312" w:cs="仿宋_GB2312"/>
          <w:sz w:val="32"/>
          <w:szCs w:val="32"/>
          <w:lang w:eastAsia="zh-CN"/>
        </w:rPr>
        <w:t>市生态环境局</w:t>
      </w:r>
      <w:r>
        <w:rPr>
          <w:rFonts w:hint="eastAsia" w:ascii="仿宋_GB2312" w:hAnsi="仿宋_GB2312" w:eastAsia="仿宋_GB2312" w:cs="仿宋_GB2312"/>
          <w:sz w:val="32"/>
          <w:szCs w:val="32"/>
        </w:rPr>
        <w:t>年度工作计划安排，开展</w:t>
      </w:r>
      <w:r>
        <w:rPr>
          <w:rFonts w:hint="eastAsia" w:ascii="仿宋_GB2312" w:hAnsi="仿宋_GB2312" w:eastAsia="仿宋_GB2312" w:cs="仿宋_GB2312"/>
          <w:sz w:val="32"/>
          <w:szCs w:val="32"/>
          <w:lang w:eastAsia="zh-CN"/>
        </w:rPr>
        <w:t>污染防治及生态环境保护</w:t>
      </w:r>
      <w:r>
        <w:rPr>
          <w:rFonts w:hint="eastAsia" w:ascii="仿宋_GB2312" w:hAnsi="仿宋_GB2312" w:eastAsia="仿宋_GB2312" w:cs="仿宋_GB2312"/>
          <w:sz w:val="32"/>
          <w:szCs w:val="32"/>
          <w:lang w:val="en-US" w:eastAsia="zh-CN"/>
        </w:rPr>
        <w:t>工作，2018年预算安排5619万元</w:t>
      </w:r>
      <w:r>
        <w:rPr>
          <w:rFonts w:hint="eastAsia" w:ascii="仿宋_GB2312" w:hAnsi="仿宋_GB2312" w:eastAsia="仿宋_GB2312" w:cs="仿宋_GB2312"/>
          <w:sz w:val="32"/>
          <w:szCs w:val="32"/>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rPr>
        <w:t>主要内容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多措并举打好蓝天保卫战。制定《2018年大气污染防治实施方案》,加大工业污染整治,对焦化、建材、铸造等行业实施提标改造,废气排放稳定达到国家和省排放限值要求;推进重点行业VOCs污染防治,确保稳定达标排放;在济宁市城区安装6台(套)左右固定垂直式遥感监测设备,配备1台(套)移动式遥感监测设备。完成行业治污技术导则的修订完善;PM2.5、PM10浓度和重污染天数均再降10%,让“济宁蓝”成为城市新名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巩固提升水污染防治成果。明确年度重点水污染防治工作任务,形成工作清单,制定《2018年水污染防治实施方案》,加强水质断面达标的保障力度,对各县市区河流水质进行每月考核排名,对水质不达标的县市区进行约谈、问责。对重点涉水企业、工业园区污水处理厂进行外排水脱盐工艺改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扎实推进土壤和固废管理及环境安全工作。全面落实“土十条”,开展污染土壤治理和修复试点,搞好固体废物管理和综合利用。加快推进危险废物集中处置及收集转运能力建设,开展危险废物规范化管理专项检查。重点加强环境风险评估、预警监测能力、环境应急预案、应急演练、应急物质和装备储备等方面的管理，完善突发环境安全应急防控能力建设，妥善处置各类突发环境事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持续保持环境执法高压态势。进一步加大执法力度，以最严格的标准、最严厉的措施，从严查处超标排污等环境违法行为，加大突出问题公开曝光力度，提升环境执法影响力和震慑力。开展污染源日常监管随机抽查,每季度对全市重点污染源按照5%比例开展随机抽查,对发现环境违法行为及时立案查处;组织参加全省环境应急演练暨监察监测竞赛比武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扎实开展第二次污染源普查工作。结合上级提供的名单进行地毯式排查，摸清污染源的基本信息，确定普查入户调查目录，并开展针对工业源、生活源锅炉、入河（湖）排污口、规模化畜禽养殖、集中式污染治理设施及放射性矿进行入户调查的阶段性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深入推进农村环境综合整治。完成2017年度任城、曲阜、金乡、嘉祥、梁山中央农村环保资金项目建设工作。年底前完成250个村庄农村环境综合整治工作。加快推进任城爱福地畜禽养殖废弃物收集转化应用三级网络项目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推进总量减排及排污许可证制度改革。全市主要污染物化学需氧量、氨氮、二氧化硫、氮氧化物排放总量分别比2015年削减7.94%、9.24%、19.54%、21.16%，全面完成年度主要污染物总量减排约束性指标任务。完成屠宰、淀粉等重点行业的企业国家版排污许可证核发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（8）加强人工湿地水质净化工程建设及运行管理。新建成3处人工湿地,完成5000亩人工湿地和湿地修复，编制环南四湖生态保护规划,推进南四湖生态修复。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（9）加强辐射安全监管工作。完成两轮核技术利用单位安全检查,组织国家核技术利用辐射安全监管系统培训;组织全市核与辐射应急演练。组织辖区内企业开展强制性清洁生产工作。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（10）加强对行业企业的监管力度，做好企业环境信用评价及“红黑榜”企业名单评价发布。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加强环保宣传与教育工作。开展好纪念“65”世界环境日主题宣传活动,出版2次《中国环境报》济宁地方专版。紧紧围绕生态济宁建设的重点任务，贴近群众、贴近生活、贴近基层，全方位、多形式地开展生态环境宣传教育。推进绿色学校、绿色社区、环境教育基地创建工作。着力创新环保宣传教育形式和工作机制，积极统筹媒体和公众参与的力量，推动建立全民参与环境保护的社会行动体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项目绩效目标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打好污染防治攻坚战，持续改善生态环境质量，不断满足人民群众日益增长的优美生态环境需要，推动我市生态文明建设再上新台阶。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3" w:firstLineChars="200"/>
        <w:jc w:val="left"/>
        <w:textAlignment w:val="auto"/>
        <w:rPr>
          <w:rStyle w:val="6"/>
          <w:rFonts w:hint="eastAsia" w:ascii="黑体" w:hAnsi="宋体" w:eastAsia="黑体" w:cs="黑体"/>
          <w:i w:val="0"/>
          <w:caps w:val="0"/>
          <w:color w:val="000000"/>
          <w:spacing w:val="0"/>
          <w:sz w:val="32"/>
          <w:szCs w:val="32"/>
          <w:shd w:val="clear" w:fill="FFFFFF"/>
          <w:lang w:eastAsia="zh-CN"/>
        </w:rPr>
      </w:pPr>
      <w:r>
        <w:rPr>
          <w:rStyle w:val="6"/>
          <w:rFonts w:hint="eastAsia" w:ascii="黑体" w:hAnsi="宋体" w:eastAsia="黑体" w:cs="黑体"/>
          <w:i w:val="0"/>
          <w:caps w:val="0"/>
          <w:color w:val="000000"/>
          <w:spacing w:val="0"/>
          <w:sz w:val="32"/>
          <w:szCs w:val="32"/>
          <w:shd w:val="clear" w:fill="FFFFFF"/>
        </w:rPr>
        <w:t xml:space="preserve">二、项目资金使用及管理情况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（一）项目资金到位情况分析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财政安排</w:t>
      </w:r>
      <w:r>
        <w:rPr>
          <w:rFonts w:hint="eastAsia" w:ascii="仿宋_GB2312" w:hAnsi="仿宋" w:eastAsia="仿宋_GB2312" w:cs="宋体"/>
          <w:snapToGrid w:val="0"/>
          <w:spacing w:val="-6"/>
          <w:kern w:val="0"/>
          <w:sz w:val="32"/>
          <w:szCs w:val="32"/>
          <w:lang w:val="en-US" w:eastAsia="zh-CN" w:bidi="ar-SA"/>
        </w:rPr>
        <w:t>水、大气、土壤、农保等环境污染物综合生态补偿及环保重点发展类项目</w:t>
      </w:r>
      <w:r>
        <w:rPr>
          <w:rFonts w:hint="eastAsia" w:ascii="仿宋_GB2312" w:hAnsi="仿宋_GB2312" w:eastAsia="仿宋_GB2312" w:cs="仿宋_GB2312"/>
          <w:sz w:val="32"/>
          <w:szCs w:val="32"/>
        </w:rPr>
        <w:t>经费预算</w:t>
      </w:r>
      <w:r>
        <w:rPr>
          <w:rFonts w:hint="eastAsia" w:ascii="仿宋_GB2312" w:hAnsi="仿宋_GB2312" w:eastAsia="仿宋_GB2312" w:cs="仿宋_GB2312"/>
          <w:sz w:val="32"/>
          <w:szCs w:val="32"/>
          <w:lang w:val="en-US" w:eastAsia="zh-CN"/>
        </w:rPr>
        <w:t>2425</w:t>
      </w:r>
      <w:r>
        <w:rPr>
          <w:rFonts w:hint="eastAsia" w:ascii="仿宋_GB2312" w:hAnsi="仿宋_GB2312" w:eastAsia="仿宋_GB2312" w:cs="仿宋_GB2312"/>
          <w:sz w:val="32"/>
          <w:szCs w:val="32"/>
        </w:rPr>
        <w:t>万元，按年度工作计划和预算经费拨付，资金到位率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%。无其他自筹资金。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（二）项目资金使用情况分析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 w:eastAsia="仿宋_GB2312" w:cs="宋体"/>
          <w:snapToGrid w:val="0"/>
          <w:spacing w:val="-6"/>
          <w:kern w:val="0"/>
          <w:sz w:val="32"/>
          <w:szCs w:val="32"/>
          <w:lang w:val="en-US" w:eastAsia="zh-CN" w:bidi="ar-SA"/>
        </w:rPr>
        <w:t>水、大气、土壤、农保等环境污染物综合生态补偿及环保重点发展类项目</w:t>
      </w:r>
      <w:r>
        <w:rPr>
          <w:rFonts w:hint="eastAsia" w:ascii="仿宋_GB2312" w:hAnsi="仿宋_GB2312" w:eastAsia="仿宋_GB2312" w:cs="仿宋_GB2312"/>
          <w:sz w:val="32"/>
          <w:szCs w:val="32"/>
        </w:rPr>
        <w:t>经费预算</w:t>
      </w:r>
      <w:r>
        <w:rPr>
          <w:rFonts w:hint="eastAsia" w:ascii="仿宋_GB2312" w:hAnsi="仿宋_GB2312" w:eastAsia="仿宋_GB2312" w:cs="仿宋_GB2312"/>
          <w:sz w:val="32"/>
          <w:szCs w:val="32"/>
          <w:lang w:val="en-US" w:eastAsia="zh-CN"/>
        </w:rPr>
        <w:t>5619</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1550.45</w:t>
      </w:r>
      <w:r>
        <w:rPr>
          <w:rFonts w:hint="eastAsia" w:ascii="仿宋_GB2312" w:hAnsi="仿宋_GB2312" w:eastAsia="仿宋_GB2312" w:cs="仿宋_GB2312"/>
          <w:sz w:val="32"/>
          <w:szCs w:val="32"/>
        </w:rPr>
        <w:t>万元，结余</w:t>
      </w:r>
      <w:r>
        <w:rPr>
          <w:rFonts w:hint="eastAsia" w:ascii="仿宋_GB2312" w:hAnsi="仿宋_GB2312" w:eastAsia="仿宋_GB2312" w:cs="仿宋_GB2312"/>
          <w:sz w:val="32"/>
          <w:szCs w:val="32"/>
          <w:lang w:val="en-US" w:eastAsia="zh-CN"/>
        </w:rPr>
        <w:t>874.55万元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商品和服务支出1349.24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资本性支出201.21</w:t>
      </w:r>
      <w:r>
        <w:rPr>
          <w:rFonts w:hint="eastAsia" w:ascii="仿宋_GB2312" w:hAnsi="仿宋_GB2312" w:eastAsia="仿宋_GB2312" w:cs="仿宋_GB2312"/>
          <w:sz w:val="32"/>
          <w:szCs w:val="32"/>
        </w:rPr>
        <w:t xml:space="preserve">万元，。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（三）项目资金管理情况分析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 w:eastAsia="仿宋_GB2312" w:cs="宋体"/>
          <w:snapToGrid w:val="0"/>
          <w:spacing w:val="-6"/>
          <w:kern w:val="0"/>
          <w:sz w:val="32"/>
          <w:szCs w:val="32"/>
          <w:lang w:val="en-US" w:eastAsia="zh-CN" w:bidi="ar-SA"/>
        </w:rPr>
        <w:t>水、大气、土壤、农保等环境污染物综合生态补偿及环保重点发展类</w:t>
      </w:r>
      <w:r>
        <w:rPr>
          <w:rFonts w:hint="eastAsia" w:ascii="仿宋_GB2312" w:hAnsi="仿宋_GB2312" w:eastAsia="仿宋_GB2312" w:cs="仿宋_GB2312"/>
          <w:sz w:val="32"/>
          <w:szCs w:val="32"/>
        </w:rPr>
        <w:t>项目经费在使用过程中，始终</w:t>
      </w:r>
      <w:r>
        <w:rPr>
          <w:rFonts w:hint="eastAsia" w:ascii="仿宋_GB2312" w:hAnsi="仿宋_GB2312" w:eastAsia="仿宋_GB2312" w:cs="仿宋_GB2312"/>
          <w:sz w:val="32"/>
          <w:szCs w:val="32"/>
          <w:lang w:eastAsia="zh-CN"/>
        </w:rPr>
        <w:t>秉承</w:t>
      </w:r>
      <w:r>
        <w:rPr>
          <w:rFonts w:hint="eastAsia" w:ascii="仿宋_GB2312" w:hAnsi="仿宋_GB2312" w:eastAsia="仿宋_GB2312" w:cs="仿宋_GB2312"/>
          <w:sz w:val="32"/>
          <w:szCs w:val="32"/>
        </w:rPr>
        <w:t>“管好、用好、效益最大化”的原则，严格执行中央、省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 xml:space="preserve">相关财务管理规定，严格执行年度工作预算，明确项目各项工作任务管理和实施的具体责任部门和责任人，所有资金实行专款专用，经费始终按照项目计划拨付，根据实际工作情况开支，资金拨付严格审批程序，使用规范，会计核算结果真实、准确。同时强化资金使用的监督，包括经费使用前预算和计划的审核审批，经费使用过程中预算执行情况和程序的监督，经费使用后支出内容真实、合理、合法性的审核监督等确保了资金的使用效率和项目的顺利实施。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此次绩效评价过程中未发现有截留、挤占或挪用项目资金的情况。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6"/>
          <w:rFonts w:hint="eastAsia" w:ascii="黑体" w:hAnsi="宋体" w:eastAsia="黑体" w:cs="黑体"/>
          <w:i w:val="0"/>
          <w:caps w:val="0"/>
          <w:color w:val="000000"/>
          <w:spacing w:val="0"/>
          <w:sz w:val="32"/>
          <w:szCs w:val="32"/>
          <w:shd w:val="clear" w:fill="FFFFFF"/>
        </w:rPr>
        <w:t xml:space="preserve">　三、项目组织实施情况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xml:space="preserve">（一）项目组织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为保证项目顺利实施，确保项目实施成效，</w:t>
      </w:r>
      <w:r>
        <w:rPr>
          <w:rFonts w:hint="eastAsia" w:ascii="仿宋_GB2312" w:hAnsi="仿宋_GB2312" w:eastAsia="仿宋_GB2312" w:cs="仿宋_GB2312"/>
          <w:sz w:val="32"/>
          <w:szCs w:val="32"/>
          <w:lang w:eastAsia="zh-CN"/>
        </w:rPr>
        <w:t>市生态环境局</w:t>
      </w:r>
      <w:r>
        <w:rPr>
          <w:rFonts w:hint="eastAsia" w:ascii="仿宋_GB2312" w:hAnsi="仿宋_GB2312" w:eastAsia="仿宋_GB2312" w:cs="仿宋_GB2312"/>
          <w:sz w:val="32"/>
          <w:szCs w:val="32"/>
        </w:rPr>
        <w:t>严格按照工作计划，按时按量完成工作任务，并以合同协议为基准，对项目完成情况与质量进行严格验收，各项工作任务成效达到预期目标。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（二）项目管理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16" w:firstLineChars="200"/>
        <w:jc w:val="left"/>
        <w:textAlignment w:val="auto"/>
        <w:rPr>
          <w:rFonts w:hint="eastAsia" w:ascii="仿宋_GB2312" w:hAnsi="仿宋_GB2312" w:eastAsia="仿宋_GB2312" w:cs="仿宋_GB2312"/>
          <w:sz w:val="32"/>
          <w:szCs w:val="32"/>
        </w:rPr>
      </w:pPr>
      <w:r>
        <w:rPr>
          <w:rFonts w:hint="eastAsia" w:ascii="仿宋_GB2312" w:hAnsi="仿宋" w:eastAsia="仿宋_GB2312" w:cs="宋体"/>
          <w:snapToGrid w:val="0"/>
          <w:spacing w:val="-6"/>
          <w:kern w:val="0"/>
          <w:sz w:val="32"/>
          <w:szCs w:val="32"/>
          <w:lang w:val="en-US" w:eastAsia="zh-CN" w:bidi="ar-SA"/>
        </w:rPr>
        <w:t>水、大气、土壤、农保等环境污染物综合生态补偿及环保重点发展类</w:t>
      </w:r>
      <w:r>
        <w:rPr>
          <w:rFonts w:hint="eastAsia" w:ascii="仿宋_GB2312" w:hAnsi="仿宋_GB2312" w:eastAsia="仿宋_GB2312" w:cs="仿宋_GB2312"/>
          <w:sz w:val="32"/>
          <w:szCs w:val="32"/>
        </w:rPr>
        <w:t>项目的实施和管理由</w:t>
      </w:r>
      <w:r>
        <w:rPr>
          <w:rFonts w:hint="eastAsia" w:ascii="仿宋_GB2312" w:hAnsi="仿宋_GB2312" w:eastAsia="仿宋_GB2312" w:cs="仿宋_GB2312"/>
          <w:sz w:val="32"/>
          <w:szCs w:val="32"/>
          <w:lang w:val="en-US" w:eastAsia="zh-CN"/>
        </w:rPr>
        <w:t>大气、水、土壤等业务科室</w:t>
      </w:r>
      <w:r>
        <w:rPr>
          <w:rFonts w:hint="eastAsia" w:ascii="仿宋_GB2312" w:hAnsi="仿宋_GB2312" w:eastAsia="仿宋_GB2312" w:cs="仿宋_GB2312"/>
          <w:sz w:val="32"/>
          <w:szCs w:val="32"/>
        </w:rPr>
        <w:t>负责，所有项目活动计划和预算均通过</w:t>
      </w:r>
      <w:r>
        <w:rPr>
          <w:rFonts w:hint="eastAsia" w:ascii="仿宋_GB2312" w:hAnsi="仿宋_GB2312" w:eastAsia="仿宋_GB2312" w:cs="仿宋_GB2312"/>
          <w:sz w:val="32"/>
          <w:szCs w:val="32"/>
          <w:lang w:eastAsia="zh-CN"/>
        </w:rPr>
        <w:t>局党组</w:t>
      </w:r>
      <w:r>
        <w:rPr>
          <w:rFonts w:hint="eastAsia" w:ascii="仿宋_GB2312" w:hAnsi="仿宋_GB2312" w:eastAsia="仿宋_GB2312" w:cs="仿宋_GB2312"/>
          <w:sz w:val="32"/>
          <w:szCs w:val="32"/>
        </w:rPr>
        <w:t xml:space="preserve">研究决定。通过制定工作计划、工作方案、工作任务细化分解、督导合同协议执行等方式，不断完善项目管理制度，确保项目管理科学化、高效化。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Style w:val="6"/>
          <w:rFonts w:hint="eastAsia" w:ascii="黑体" w:hAnsi="宋体" w:eastAsia="黑体" w:cs="黑体"/>
          <w:i w:val="0"/>
          <w:caps w:val="0"/>
          <w:color w:val="000000"/>
          <w:spacing w:val="0"/>
          <w:sz w:val="32"/>
          <w:szCs w:val="32"/>
          <w:shd w:val="clear" w:fill="FFFFFF"/>
        </w:rPr>
      </w:pPr>
      <w:r>
        <w:rPr>
          <w:rStyle w:val="6"/>
          <w:rFonts w:hint="eastAsia" w:ascii="黑体" w:hAnsi="宋体" w:eastAsia="黑体" w:cs="黑体"/>
          <w:i w:val="0"/>
          <w:caps w:val="0"/>
          <w:color w:val="000000"/>
          <w:spacing w:val="0"/>
          <w:sz w:val="32"/>
          <w:szCs w:val="32"/>
          <w:shd w:val="clear" w:fill="FFFFFF"/>
        </w:rPr>
        <w:t xml:space="preserve">　　四、项目绩效情况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xml:space="preserve">（一）项目绩效目标完成情况分析。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8" w:lineRule="atLeast"/>
        <w:ind w:right="0" w:righ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项目的经济性分析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（1）项目成本（预算）控制情况。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 w:eastAsia="仿宋_GB2312" w:cs="宋体"/>
          <w:snapToGrid w:val="0"/>
          <w:spacing w:val="-6"/>
          <w:kern w:val="0"/>
          <w:sz w:val="32"/>
          <w:szCs w:val="32"/>
          <w:lang w:val="en-US" w:eastAsia="zh-CN" w:bidi="ar-SA"/>
        </w:rPr>
        <w:t>水、大气、土壤、农保等环境污染物综合生态补偿及环保重点发展类</w:t>
      </w:r>
      <w:r>
        <w:rPr>
          <w:rFonts w:hint="eastAsia" w:ascii="仿宋_GB2312" w:hAnsi="仿宋_GB2312" w:eastAsia="仿宋_GB2312" w:cs="仿宋_GB2312"/>
          <w:sz w:val="32"/>
          <w:szCs w:val="32"/>
        </w:rPr>
        <w:t>项目经费始终遵循严格控制成本的原则，按照有关财务制度执行，严格控制各项费用支出，较好的控制了成本，财政支出总预算</w:t>
      </w:r>
      <w:r>
        <w:rPr>
          <w:rFonts w:hint="eastAsia" w:ascii="仿宋_GB2312" w:hAnsi="仿宋_GB2312" w:eastAsia="仿宋_GB2312" w:cs="仿宋_GB2312"/>
          <w:sz w:val="32"/>
          <w:szCs w:val="32"/>
          <w:lang w:val="en-US" w:eastAsia="zh-CN"/>
        </w:rPr>
        <w:t>5619</w:t>
      </w:r>
      <w:r>
        <w:rPr>
          <w:rFonts w:hint="eastAsia" w:ascii="仿宋_GB2312" w:hAnsi="仿宋_GB2312" w:eastAsia="仿宋_GB2312" w:cs="仿宋_GB2312"/>
          <w:sz w:val="32"/>
          <w:szCs w:val="32"/>
        </w:rPr>
        <w:t>万元，实际支出为</w:t>
      </w:r>
      <w:r>
        <w:rPr>
          <w:rFonts w:hint="eastAsia" w:ascii="仿宋_GB2312" w:hAnsi="仿宋_GB2312" w:eastAsia="仿宋_GB2312" w:cs="仿宋_GB2312"/>
          <w:sz w:val="32"/>
          <w:szCs w:val="32"/>
          <w:lang w:val="en-US" w:eastAsia="zh-CN"/>
        </w:rPr>
        <w:t>1550.45</w:t>
      </w:r>
      <w:r>
        <w:rPr>
          <w:rFonts w:hint="eastAsia" w:ascii="仿宋_GB2312" w:hAnsi="仿宋_GB2312" w:eastAsia="仿宋_GB2312" w:cs="仿宋_GB2312"/>
          <w:sz w:val="32"/>
          <w:szCs w:val="32"/>
        </w:rPr>
        <w:t xml:space="preserve">万元。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（2）项目成本（预算）节约情况。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 w:eastAsia="仿宋_GB2312" w:cs="宋体"/>
          <w:snapToGrid w:val="0"/>
          <w:spacing w:val="-6"/>
          <w:kern w:val="0"/>
          <w:sz w:val="32"/>
          <w:szCs w:val="32"/>
          <w:lang w:val="en-US" w:eastAsia="zh-CN" w:bidi="ar-SA"/>
        </w:rPr>
        <w:t>水、大气、土壤、农保等环境污染物综合生态补偿及环保重点发展类</w:t>
      </w:r>
      <w:r>
        <w:rPr>
          <w:rFonts w:hint="eastAsia" w:ascii="仿宋_GB2312" w:hAnsi="仿宋_GB2312" w:eastAsia="仿宋_GB2312" w:cs="仿宋_GB2312"/>
          <w:sz w:val="32"/>
          <w:szCs w:val="32"/>
        </w:rPr>
        <w:t>项目始终遵循厉行节约原则，涉及大宗采购或购买社会服务时，都由</w:t>
      </w:r>
      <w:r>
        <w:rPr>
          <w:rFonts w:hint="eastAsia" w:ascii="仿宋_GB2312" w:hAnsi="仿宋_GB2312" w:eastAsia="仿宋_GB2312" w:cs="仿宋_GB2312"/>
          <w:sz w:val="32"/>
          <w:szCs w:val="32"/>
          <w:lang w:eastAsia="zh-CN"/>
        </w:rPr>
        <w:t>生态环境局</w:t>
      </w:r>
      <w:r>
        <w:rPr>
          <w:rFonts w:hint="eastAsia" w:ascii="仿宋_GB2312" w:hAnsi="仿宋_GB2312" w:eastAsia="仿宋_GB2312" w:cs="仿宋_GB2312"/>
          <w:sz w:val="32"/>
          <w:szCs w:val="32"/>
        </w:rPr>
        <w:t>采购小组进行集中采购和</w:t>
      </w:r>
      <w:r>
        <w:rPr>
          <w:rFonts w:hint="eastAsia" w:ascii="仿宋_GB2312" w:hAnsi="仿宋_GB2312" w:eastAsia="仿宋_GB2312" w:cs="仿宋_GB2312"/>
          <w:sz w:val="32"/>
          <w:szCs w:val="32"/>
          <w:lang w:val="en-US" w:eastAsia="zh-CN"/>
        </w:rPr>
        <w:t>局党组</w:t>
      </w:r>
      <w:r>
        <w:rPr>
          <w:rFonts w:hint="eastAsia" w:ascii="仿宋_GB2312" w:hAnsi="仿宋_GB2312" w:eastAsia="仿宋_GB2312" w:cs="仿宋_GB2312"/>
          <w:sz w:val="32"/>
          <w:szCs w:val="32"/>
        </w:rPr>
        <w:t xml:space="preserve">审核后再签订合作协议，经费始终按照项目计划拨付，根据实际工作情况开支，较好的落实厉行节约要求。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项目的效率性分析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 w:eastAsia="仿宋_GB2312" w:cs="宋体"/>
          <w:snapToGrid w:val="0"/>
          <w:spacing w:val="-6"/>
          <w:kern w:val="0"/>
          <w:sz w:val="32"/>
          <w:szCs w:val="32"/>
          <w:lang w:val="en-US" w:eastAsia="zh-CN" w:bidi="ar-SA"/>
        </w:rPr>
        <w:t>水、大气、土壤、农保等环境污染物综合生态补偿及环保重点发展类</w:t>
      </w:r>
      <w:r>
        <w:rPr>
          <w:rFonts w:hint="eastAsia" w:ascii="仿宋_GB2312" w:hAnsi="仿宋_GB2312" w:eastAsia="仿宋_GB2312" w:cs="仿宋_GB2312"/>
          <w:sz w:val="32"/>
          <w:szCs w:val="32"/>
        </w:rPr>
        <w:t>项目按照年初制定的详细计划，工作方案和经费预算，按既定的工作步骤逐步推进实施，各项工作任务均有序高效完成，得到</w:t>
      </w:r>
      <w:r>
        <w:rPr>
          <w:rFonts w:hint="eastAsia" w:ascii="仿宋_GB2312" w:hAnsi="仿宋_GB2312" w:eastAsia="仿宋_GB2312" w:cs="仿宋_GB2312"/>
          <w:sz w:val="32"/>
          <w:szCs w:val="32"/>
          <w:lang w:val="en-US" w:eastAsia="zh-CN"/>
        </w:rPr>
        <w:t>显著成绩</w:t>
      </w:r>
      <w:r>
        <w:rPr>
          <w:rFonts w:hint="eastAsia" w:ascii="仿宋_GB2312" w:hAnsi="仿宋_GB2312" w:eastAsia="仿宋_GB2312" w:cs="仿宋_GB2312"/>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3、</w:t>
      </w:r>
      <w:r>
        <w:rPr>
          <w:rFonts w:hint="eastAsia" w:ascii="仿宋_GB2312" w:hAnsi="仿宋_GB2312" w:eastAsia="仿宋_GB2312" w:cs="仿宋_GB2312"/>
          <w:b/>
          <w:bCs/>
          <w:sz w:val="32"/>
          <w:szCs w:val="32"/>
        </w:rPr>
        <w:t>项目的效益性分析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（1）项目预期目标完成程度。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大气污染防治方面、水污染防治方面等方面</w:t>
      </w:r>
      <w:r>
        <w:rPr>
          <w:rFonts w:hint="eastAsia" w:ascii="仿宋_GB2312" w:hAnsi="仿宋_GB2312" w:eastAsia="仿宋_GB2312" w:cs="仿宋_GB2312"/>
          <w:sz w:val="32"/>
          <w:szCs w:val="32"/>
        </w:rPr>
        <w:t>均达到预期绩效目的。</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ind w:left="64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项目实施对经济和社会的影响。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项目实施后，</w:t>
      </w:r>
      <w:r>
        <w:rPr>
          <w:rFonts w:hint="default" w:ascii="仿宋_GB2312" w:hAnsi="仿宋_GB2312" w:eastAsia="仿宋_GB2312" w:cs="仿宋_GB2312"/>
          <w:sz w:val="32"/>
          <w:szCs w:val="32"/>
          <w:lang w:val="en-US" w:eastAsia="zh-CN"/>
        </w:rPr>
        <w:t>全面推进</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环境质量改善，全市环保工作取得了积极进展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Style w:val="6"/>
          <w:rFonts w:hint="eastAsia" w:ascii="黑体" w:hAnsi="宋体" w:eastAsia="黑体" w:cs="黑体"/>
          <w:i w:val="0"/>
          <w:caps w:val="0"/>
          <w:color w:val="000000"/>
          <w:spacing w:val="0"/>
          <w:sz w:val="32"/>
          <w:szCs w:val="32"/>
          <w:shd w:val="clear" w:fill="FFFFFF"/>
        </w:rPr>
        <w:t>五、综合评价情况及评价结论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jc w:val="left"/>
        <w:textAlignment w:val="auto"/>
        <w:rPr>
          <w:rFonts w:hint="eastAsia" w:ascii="仿宋_GB2312" w:hAnsi="仿宋_GB2312" w:eastAsia="仿宋_GB2312" w:cs="仿宋_GB2312"/>
          <w:sz w:val="32"/>
          <w:szCs w:val="32"/>
        </w:rPr>
      </w:pPr>
      <w:r>
        <w:rPr>
          <w:rFonts w:hint="eastAsia" w:ascii="仿宋_GB2312" w:hAnsi="仿宋" w:eastAsia="仿宋_GB2312" w:cs="宋体"/>
          <w:snapToGrid w:val="0"/>
          <w:spacing w:val="-6"/>
          <w:kern w:val="0"/>
          <w:sz w:val="32"/>
          <w:szCs w:val="32"/>
          <w:lang w:val="en-US" w:eastAsia="zh-CN" w:bidi="ar-SA"/>
        </w:rPr>
        <w:t>水、大气、土壤、农保等环境污染物综合生态补偿及环保重点发展类</w:t>
      </w:r>
      <w:r>
        <w:rPr>
          <w:rFonts w:hint="eastAsia" w:ascii="仿宋_GB2312" w:hAnsi="仿宋_GB2312" w:eastAsia="仿宋_GB2312" w:cs="仿宋_GB2312"/>
          <w:sz w:val="32"/>
          <w:szCs w:val="32"/>
        </w:rPr>
        <w:t>项目责任部门认真履行职责职能，严格按照财务规定和制度使用、管理项目经费，成效明显。</w:t>
      </w:r>
      <w:r>
        <w:rPr>
          <w:rFonts w:hint="eastAsia" w:ascii="仿宋_GB2312" w:hAnsi="仿宋_GB2312" w:eastAsia="仿宋_GB2312" w:cs="仿宋_GB2312"/>
          <w:sz w:val="32"/>
          <w:szCs w:val="32"/>
          <w:lang w:val="en-US" w:eastAsia="zh-CN"/>
        </w:rPr>
        <w:t>大气、水、土壤</w:t>
      </w:r>
      <w:r>
        <w:rPr>
          <w:rFonts w:hint="eastAsia" w:ascii="仿宋_GB2312" w:hAnsi="仿宋_GB2312" w:eastAsia="仿宋_GB2312" w:cs="仿宋_GB2312"/>
          <w:sz w:val="32"/>
          <w:szCs w:val="32"/>
        </w:rPr>
        <w:t>等各项</w:t>
      </w:r>
      <w:r>
        <w:rPr>
          <w:rFonts w:hint="eastAsia" w:ascii="仿宋_GB2312" w:hAnsi="仿宋_GB2312" w:eastAsia="仿宋_GB2312" w:cs="仿宋_GB2312"/>
          <w:sz w:val="32"/>
          <w:szCs w:val="32"/>
          <w:lang w:eastAsia="zh-CN"/>
        </w:rPr>
        <w:t>污染防治</w:t>
      </w:r>
      <w:r>
        <w:rPr>
          <w:rFonts w:hint="eastAsia" w:ascii="仿宋_GB2312" w:hAnsi="仿宋_GB2312" w:eastAsia="仿宋_GB2312" w:cs="仿宋_GB2312"/>
          <w:sz w:val="32"/>
          <w:szCs w:val="32"/>
        </w:rPr>
        <w:t>工作紧紧围绕着中央和省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有关精神的安排与部署，较好完成各项工作任务，实现了预期目标，按“财政支出绩效评价指标体系”进行综合评价，本项目综合得分</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分，评价等次为“</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rPr>
        <w:t xml:space="preserve">”。各项评分结果见“项目基本信息”表。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jc w:val="left"/>
        <w:textAlignment w:val="auto"/>
        <w:rPr>
          <w:rFonts w:hint="eastAsia" w:ascii="仿宋_GB2312" w:hAnsi="仿宋_GB2312" w:eastAsia="仿宋_GB2312" w:cs="仿宋_GB2312"/>
          <w:sz w:val="32"/>
          <w:szCs w:val="32"/>
        </w:rPr>
      </w:pPr>
    </w:p>
    <w:tbl>
      <w:tblPr>
        <w:tblStyle w:val="4"/>
        <w:tblpPr w:leftFromText="180" w:rightFromText="180" w:vertAnchor="page" w:horzAnchor="page" w:tblpX="1987" w:tblpY="211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03"/>
        <w:gridCol w:w="710"/>
        <w:gridCol w:w="304"/>
        <w:gridCol w:w="351"/>
        <w:gridCol w:w="866"/>
        <w:gridCol w:w="838"/>
        <w:gridCol w:w="379"/>
        <w:gridCol w:w="812"/>
        <w:gridCol w:w="405"/>
        <w:gridCol w:w="305"/>
        <w:gridCol w:w="103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3"/>
            <w:vAlign w:val="center"/>
          </w:tcPr>
          <w:p>
            <w:pPr>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项目实施单位</w:t>
            </w:r>
          </w:p>
        </w:tc>
        <w:tc>
          <w:tcPr>
            <w:tcW w:w="2359" w:type="dxa"/>
            <w:gridSpan w:val="4"/>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济宁市生态环境局</w:t>
            </w:r>
          </w:p>
        </w:tc>
        <w:tc>
          <w:tcPr>
            <w:tcW w:w="1901" w:type="dxa"/>
            <w:gridSpan w:val="4"/>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主管部门</w:t>
            </w:r>
          </w:p>
        </w:tc>
        <w:tc>
          <w:tcPr>
            <w:tcW w:w="2132"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项目责任人</w:t>
            </w:r>
          </w:p>
        </w:tc>
        <w:tc>
          <w:tcPr>
            <w:tcW w:w="2359" w:type="dxa"/>
            <w:gridSpan w:val="4"/>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许伟</w:t>
            </w:r>
          </w:p>
        </w:tc>
        <w:tc>
          <w:tcPr>
            <w:tcW w:w="1901" w:type="dxa"/>
            <w:gridSpan w:val="4"/>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联系电话</w:t>
            </w:r>
          </w:p>
        </w:tc>
        <w:tc>
          <w:tcPr>
            <w:tcW w:w="2132"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2321099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地址</w:t>
            </w:r>
          </w:p>
        </w:tc>
        <w:tc>
          <w:tcPr>
            <w:tcW w:w="6392" w:type="dxa"/>
            <w:gridSpan w:val="10"/>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济宁市任城区琵琶山路</w:t>
            </w:r>
            <w:r>
              <w:rPr>
                <w:rFonts w:hint="eastAsia" w:asciiTheme="minorEastAsia" w:hAnsiTheme="minorEastAsia" w:eastAsiaTheme="minorEastAsia" w:cstheme="minorEastAsia"/>
                <w:sz w:val="24"/>
                <w:szCs w:val="24"/>
                <w:vertAlign w:val="baseline"/>
                <w:lang w:val="en-US" w:eastAsia="zh-CN"/>
              </w:rPr>
              <w:t>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项目类型</w:t>
            </w:r>
          </w:p>
        </w:tc>
        <w:tc>
          <w:tcPr>
            <w:tcW w:w="6392" w:type="dxa"/>
            <w:gridSpan w:val="10"/>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经常性项目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计划投资额（万元）</w:t>
            </w:r>
          </w:p>
        </w:tc>
        <w:tc>
          <w:tcPr>
            <w:tcW w:w="1365" w:type="dxa"/>
            <w:gridSpan w:val="3"/>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5619</w:t>
            </w: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实际到位资金（万元）</w:t>
            </w:r>
          </w:p>
        </w:tc>
        <w:tc>
          <w:tcPr>
            <w:tcW w:w="1191" w:type="dxa"/>
            <w:gridSpan w:val="2"/>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2425</w:t>
            </w:r>
          </w:p>
        </w:tc>
        <w:tc>
          <w:tcPr>
            <w:tcW w:w="1749"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实际使用情况</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（万元）</w:t>
            </w:r>
          </w:p>
        </w:tc>
        <w:tc>
          <w:tcPr>
            <w:tcW w:w="109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其中：中央财政</w:t>
            </w:r>
          </w:p>
        </w:tc>
        <w:tc>
          <w:tcPr>
            <w:tcW w:w="1365"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其中：中央财政</w:t>
            </w:r>
          </w:p>
        </w:tc>
        <w:tc>
          <w:tcPr>
            <w:tcW w:w="1191"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p>
        </w:tc>
        <w:tc>
          <w:tcPr>
            <w:tcW w:w="1749"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p>
        </w:tc>
        <w:tc>
          <w:tcPr>
            <w:tcW w:w="1093"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省财政</w:t>
            </w:r>
          </w:p>
        </w:tc>
        <w:tc>
          <w:tcPr>
            <w:tcW w:w="1365"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省财政</w:t>
            </w:r>
          </w:p>
        </w:tc>
        <w:tc>
          <w:tcPr>
            <w:tcW w:w="1191"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p>
        </w:tc>
        <w:tc>
          <w:tcPr>
            <w:tcW w:w="1749"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p>
        </w:tc>
        <w:tc>
          <w:tcPr>
            <w:tcW w:w="1093"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市级财政</w:t>
            </w:r>
          </w:p>
        </w:tc>
        <w:tc>
          <w:tcPr>
            <w:tcW w:w="1365" w:type="dxa"/>
            <w:gridSpan w:val="3"/>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5619</w:t>
            </w: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市级财政</w:t>
            </w:r>
          </w:p>
        </w:tc>
        <w:tc>
          <w:tcPr>
            <w:tcW w:w="1191" w:type="dxa"/>
            <w:gridSpan w:val="2"/>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2425</w:t>
            </w:r>
          </w:p>
        </w:tc>
        <w:tc>
          <w:tcPr>
            <w:tcW w:w="1749"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p>
        </w:tc>
        <w:tc>
          <w:tcPr>
            <w:tcW w:w="1093"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其他</w:t>
            </w:r>
          </w:p>
        </w:tc>
        <w:tc>
          <w:tcPr>
            <w:tcW w:w="1365"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p>
        </w:tc>
        <w:tc>
          <w:tcPr>
            <w:tcW w:w="1704"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其他</w:t>
            </w:r>
          </w:p>
        </w:tc>
        <w:tc>
          <w:tcPr>
            <w:tcW w:w="1191"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p>
        </w:tc>
        <w:tc>
          <w:tcPr>
            <w:tcW w:w="1749"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p>
        </w:tc>
        <w:tc>
          <w:tcPr>
            <w:tcW w:w="1093"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3"/>
            <w:vAlign w:val="center"/>
          </w:tcPr>
          <w:p>
            <w:pPr>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二、绩效评价指标评分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一级指标</w:t>
            </w:r>
          </w:p>
        </w:tc>
        <w:tc>
          <w:tcPr>
            <w:tcW w:w="1217" w:type="dxa"/>
            <w:gridSpan w:val="3"/>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分值</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二级指标</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分值</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三级指标</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分值</w:t>
            </w:r>
          </w:p>
        </w:tc>
        <w:tc>
          <w:tcPr>
            <w:tcW w:w="1093"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7" w:type="dxa"/>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项目决策</w:t>
            </w:r>
          </w:p>
        </w:tc>
        <w:tc>
          <w:tcPr>
            <w:tcW w:w="1217" w:type="dxa"/>
            <w:gridSpan w:val="3"/>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项目目标</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目标内容</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17" w:type="dxa"/>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决策过程</w:t>
            </w: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决策依据</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17" w:type="dxa"/>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决策程序</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17"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资金分配</w:t>
            </w: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分配方法</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17" w:type="dxa"/>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分配结果</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17" w:type="dxa"/>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项目管理</w:t>
            </w:r>
          </w:p>
        </w:tc>
        <w:tc>
          <w:tcPr>
            <w:tcW w:w="1217" w:type="dxa"/>
            <w:gridSpan w:val="3"/>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w:t>
            </w: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资金到位</w:t>
            </w: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到位率</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17" w:type="dxa"/>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到位时效</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17" w:type="dxa"/>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资金管理</w:t>
            </w: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资金使用</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17" w:type="dxa"/>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财务管理</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17"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组织实施</w:t>
            </w: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组织机构</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17" w:type="dxa"/>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管理制度</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217" w:type="dxa"/>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项目绩效</w:t>
            </w:r>
          </w:p>
        </w:tc>
        <w:tc>
          <w:tcPr>
            <w:tcW w:w="1217" w:type="dxa"/>
            <w:gridSpan w:val="3"/>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55</w:t>
            </w: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项目产出</w:t>
            </w: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产出数量</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217" w:type="dxa"/>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产出质量</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217"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产出时效</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217"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产出成本</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217" w:type="dxa"/>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项目效益</w:t>
            </w:r>
          </w:p>
        </w:tc>
        <w:tc>
          <w:tcPr>
            <w:tcW w:w="1217" w:type="dxa"/>
            <w:gridSpan w:val="2"/>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40</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经济效益</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217" w:type="dxa"/>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社会效益</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217"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环境效益</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217"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可持续影响</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217" w:type="dxa"/>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3"/>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Merge w:val="continue"/>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服务对象满意度</w:t>
            </w: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217"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总分</w:t>
            </w:r>
          </w:p>
        </w:tc>
        <w:tc>
          <w:tcPr>
            <w:tcW w:w="1217" w:type="dxa"/>
            <w:gridSpan w:val="3"/>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c>
          <w:tcPr>
            <w:tcW w:w="1217" w:type="dxa"/>
            <w:gridSpan w:val="2"/>
            <w:vAlign w:val="center"/>
          </w:tcPr>
          <w:p>
            <w:pPr>
              <w:jc w:val="center"/>
              <w:rPr>
                <w:rFonts w:hint="eastAsia" w:asciiTheme="minorEastAsia" w:hAnsiTheme="minorEastAsia" w:eastAsiaTheme="minorEastAsia" w:cstheme="minorEastAsia"/>
                <w:sz w:val="24"/>
                <w:szCs w:val="24"/>
                <w:vertAlign w:val="baseline"/>
                <w:lang w:eastAsia="zh-CN"/>
              </w:rPr>
            </w:pPr>
          </w:p>
        </w:tc>
        <w:tc>
          <w:tcPr>
            <w:tcW w:w="1344"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c>
          <w:tcPr>
            <w:tcW w:w="1093"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489" w:type="dxa"/>
            <w:gridSpan w:val="7"/>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评价等级</w:t>
            </w:r>
          </w:p>
        </w:tc>
        <w:tc>
          <w:tcPr>
            <w:tcW w:w="4033" w:type="dxa"/>
            <w:gridSpan w:val="6"/>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优秀</w:t>
            </w:r>
          </w:p>
        </w:tc>
      </w:tr>
    </w:tbl>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项目基本信息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03148"/>
    <w:multiLevelType w:val="singleLevel"/>
    <w:tmpl w:val="8C103148"/>
    <w:lvl w:ilvl="0" w:tentative="0">
      <w:start w:val="1"/>
      <w:numFmt w:val="decimal"/>
      <w:suff w:val="nothing"/>
      <w:lvlText w:val="%1、"/>
      <w:lvlJc w:val="left"/>
    </w:lvl>
  </w:abstractNum>
  <w:abstractNum w:abstractNumId="1">
    <w:nsid w:val="F6C06867"/>
    <w:multiLevelType w:val="singleLevel"/>
    <w:tmpl w:val="F6C06867"/>
    <w:lvl w:ilvl="0" w:tentative="0">
      <w:start w:val="2"/>
      <w:numFmt w:val="decimal"/>
      <w:suff w:val="nothing"/>
      <w:lvlText w:val="（%1）"/>
      <w:lvlJc w:val="left"/>
      <w:pPr>
        <w:ind w:left="6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4633B"/>
    <w:rsid w:val="28E679A2"/>
    <w:rsid w:val="2BC51341"/>
    <w:rsid w:val="52EF7032"/>
    <w:rsid w:val="6F3518D8"/>
    <w:rsid w:val="7EB5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三公主</cp:lastModifiedBy>
  <dcterms:modified xsi:type="dcterms:W3CDTF">2020-05-28T03:20:27Z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