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Times New Roman" w:hAnsi="Times New Roman" w:cs="Times New Roman"/>
          <w:b/>
          <w:bCs/>
          <w:sz w:val="20"/>
          <w:vertAlign w:val="baseline"/>
        </w:rPr>
      </w:pPr>
    </w:p>
    <w:p>
      <w:pPr>
        <w:pStyle w:val="2"/>
        <w:rPr>
          <w:rFonts w:hint="default" w:ascii="Times New Roman" w:hAnsi="Times New Roman" w:cs="Times New Roman"/>
          <w:b/>
          <w:bCs/>
          <w:sz w:val="20"/>
          <w:vertAlign w:val="baseline"/>
        </w:rPr>
      </w:pPr>
    </w:p>
    <w:p>
      <w:pPr>
        <w:pStyle w:val="2"/>
        <w:spacing w:before="10"/>
        <w:rPr>
          <w:rFonts w:hint="default" w:ascii="Times New Roman" w:hAnsi="Times New Roman" w:cs="Times New Roman"/>
          <w:b/>
          <w:bCs/>
          <w:sz w:val="24"/>
          <w:vertAlign w:val="baseline"/>
        </w:rPr>
      </w:pPr>
    </w:p>
    <w:p>
      <w:pPr>
        <w:spacing w:before="0" w:line="2321" w:lineRule="exact"/>
        <w:ind w:left="111" w:right="0" w:firstLine="0"/>
        <w:jc w:val="center"/>
        <w:rPr>
          <w:rFonts w:hint="default" w:ascii="Times New Roman" w:hAnsi="Times New Roman" w:eastAsia="方正小标宋简体" w:cs="Times New Roman"/>
          <w:b w:val="0"/>
          <w:bCs w:val="0"/>
          <w:sz w:val="150"/>
          <w:vertAlign w:val="baseline"/>
        </w:rPr>
      </w:pPr>
      <w:r>
        <w:rPr>
          <w:rFonts w:hint="default" w:ascii="Times New Roman" w:hAnsi="Times New Roman" w:eastAsia="方正小标宋简体" w:cs="Times New Roman"/>
          <w:b w:val="0"/>
          <w:bCs w:val="0"/>
          <w:color w:val="FF0000"/>
          <w:w w:val="55"/>
          <w:sz w:val="150"/>
          <w:vertAlign w:val="baseline"/>
          <w:lang w:eastAsia="zh-CN"/>
        </w:rPr>
        <w:t>济宁</w:t>
      </w:r>
      <w:r>
        <w:rPr>
          <w:rFonts w:hint="default" w:ascii="Times New Roman" w:hAnsi="Times New Roman" w:eastAsia="方正小标宋简体" w:cs="Times New Roman"/>
          <w:b w:val="0"/>
          <w:bCs w:val="0"/>
          <w:color w:val="FF0000"/>
          <w:w w:val="55"/>
          <w:sz w:val="150"/>
          <w:vertAlign w:val="baseline"/>
        </w:rPr>
        <w:t>市医疗保障局文件</w:t>
      </w:r>
    </w:p>
    <w:p>
      <w:pPr>
        <w:pStyle w:val="2"/>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default" w:ascii="Times New Roman" w:hAnsi="Times New Roman" w:eastAsia="仿宋_GB2312" w:cs="Times New Roman"/>
          <w:b/>
          <w:bCs/>
          <w:vertAlign w:val="baseline"/>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default" w:ascii="Times New Roman" w:hAnsi="Times New Roman" w:eastAsia="仿宋_GB2312" w:cs="Times New Roman"/>
          <w:b/>
          <w:bCs/>
          <w:vertAlign w:val="baseline"/>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ind w:left="0" w:right="0"/>
        <w:jc w:val="center"/>
        <w:textAlignment w:val="auto"/>
        <w:rPr>
          <w:rFonts w:hint="default" w:ascii="Times New Roman" w:hAnsi="Times New Roman" w:eastAsia="仿宋_GB2312" w:cs="Times New Roman"/>
          <w:b/>
          <w:bCs/>
          <w:vertAlign w:val="baseline"/>
        </w:rPr>
      </w:pPr>
      <w:r>
        <w:rPr>
          <w:rFonts w:hint="default" w:ascii="Times New Roman" w:hAnsi="Times New Roman" w:eastAsia="仿宋_GB2312" w:cs="Times New Roman"/>
          <w:b/>
          <w:bCs/>
          <w:vertAlign w:val="baseline"/>
          <w:lang w:eastAsia="zh-CN"/>
        </w:rPr>
        <w:t>济</w:t>
      </w:r>
      <w:r>
        <w:rPr>
          <w:rFonts w:hint="default" w:ascii="Times New Roman" w:hAnsi="Times New Roman" w:eastAsia="仿宋_GB2312" w:cs="Times New Roman"/>
          <w:b/>
          <w:bCs/>
          <w:vertAlign w:val="baseline"/>
        </w:rPr>
        <w:t>医保</w:t>
      </w:r>
      <w:r>
        <w:rPr>
          <w:rFonts w:hint="default" w:ascii="Times New Roman" w:hAnsi="Times New Roman" w:eastAsia="仿宋_GB2312" w:cs="Times New Roman"/>
          <w:b/>
          <w:bCs/>
          <w:vertAlign w:val="baseline"/>
          <w:lang w:eastAsia="zh-CN"/>
        </w:rPr>
        <w:t>发</w:t>
      </w:r>
      <w:r>
        <w:rPr>
          <w:rFonts w:hint="default" w:ascii="Times New Roman" w:hAnsi="Times New Roman" w:eastAsia="仿宋_GB2312" w:cs="Times New Roman"/>
          <w:b/>
          <w:bCs/>
          <w:vertAlign w:val="baseline"/>
        </w:rPr>
        <w:t>〔2021〕</w:t>
      </w:r>
      <w:r>
        <w:rPr>
          <w:rFonts w:hint="default" w:ascii="Times New Roman" w:hAnsi="Times New Roman" w:eastAsia="仿宋_GB2312" w:cs="Times New Roman"/>
          <w:b/>
          <w:bCs/>
          <w:vertAlign w:val="baseline"/>
          <w:lang w:val="en-US" w:eastAsia="zh-CN"/>
        </w:rPr>
        <w:t>18</w:t>
      </w:r>
      <w:r>
        <w:rPr>
          <w:rFonts w:hint="default" w:ascii="Times New Roman" w:hAnsi="Times New Roman" w:eastAsia="仿宋_GB2312" w:cs="Times New Roman"/>
          <w:b/>
          <w:bCs/>
          <w:vertAlign w:val="baseline"/>
        </w:rPr>
        <w:t>号</w:t>
      </w:r>
    </w:p>
    <w:p>
      <w:pPr>
        <w:pStyle w:val="2"/>
        <w:spacing w:before="6"/>
        <w:rPr>
          <w:rFonts w:hint="default" w:ascii="Times New Roman" w:hAnsi="Times New Roman" w:cs="Times New Roman"/>
          <w:b/>
          <w:bCs/>
          <w:sz w:val="30"/>
          <w:vertAlign w:val="baseline"/>
        </w:rPr>
      </w:pPr>
      <w:r>
        <w:rPr>
          <w:rFonts w:hint="default" w:ascii="Times New Roman" w:hAnsi="Times New Roman" w:eastAsia="仿宋_GB2312" w:cs="Times New Roman"/>
          <w:b/>
          <w:bCs/>
          <w:vertAlign w:val="baseline"/>
        </w:rPr>
        <mc:AlternateContent>
          <mc:Choice Requires="wps">
            <w:drawing>
              <wp:anchor distT="0" distB="0" distL="114300" distR="114300" simplePos="0" relativeHeight="251659264" behindDoc="1" locked="0" layoutInCell="1" allowOverlap="1">
                <wp:simplePos x="0" y="0"/>
                <wp:positionH relativeFrom="page">
                  <wp:posOffset>1019175</wp:posOffset>
                </wp:positionH>
                <wp:positionV relativeFrom="paragraph">
                  <wp:posOffset>98425</wp:posOffset>
                </wp:positionV>
                <wp:extent cx="5535295"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535295" cy="635"/>
                        </a:xfrm>
                        <a:prstGeom prst="line">
                          <a:avLst/>
                        </a:prstGeom>
                        <a:ln w="158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0.25pt;margin-top:7.75pt;height:0.05pt;width:435.85pt;mso-position-horizontal-relative:page;z-index:-251657216;mso-width-relative:page;mso-height-relative:page;" filled="f" stroked="t" coordsize="21600,21600" o:gfxdata="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csWL61wAAAAoBAAAPAAAA&#10;AAAAAAEAIAAAACIAAABkcnMvZG93bnJldi54bWxQSwECFAAUAAAACACHTuJADU/Vtd0BAACZAwAA&#10;DgAAAAAAAAABACAAAAAmAQAAZHJzL2Uyb0RvYy54bWxQSwUGAAAAAAYABgBZAQAAdQUAAAAA&#10;">
                <v:fill on="f" focussize="0,0"/>
                <v:stroke weight="1.25pt" color="#FF0000" joinstyle="round"/>
                <v:imagedata o:title=""/>
                <o:lock v:ext="edit" aspectratio="f"/>
              </v:line>
            </w:pict>
          </mc:Fallback>
        </mc:AlternateContent>
      </w:r>
    </w:p>
    <w:p>
      <w:pPr>
        <w:pStyle w:val="2"/>
        <w:keepNext w:val="0"/>
        <w:keepLines w:val="0"/>
        <w:pageBreakBefore w:val="0"/>
        <w:widowControl w:val="0"/>
        <w:kinsoku/>
        <w:wordWrap/>
        <w:overflowPunct/>
        <w:topLinePunct w:val="0"/>
        <w:autoSpaceDE w:val="0"/>
        <w:autoSpaceDN w:val="0"/>
        <w:bidi w:val="0"/>
        <w:adjustRightInd/>
        <w:snapToGrid/>
        <w:spacing w:before="0" w:line="400" w:lineRule="exact"/>
        <w:ind w:left="0" w:leftChars="0"/>
        <w:textAlignment w:val="auto"/>
        <w:rPr>
          <w:rFonts w:hint="default" w:ascii="Times New Roman" w:hAnsi="Times New Roman" w:cs="Times New Roman"/>
          <w:b/>
          <w:bCs/>
          <w:sz w:val="30"/>
          <w:vertAlign w:val="baseline"/>
        </w:rPr>
      </w:pPr>
    </w:p>
    <w:p>
      <w:pPr>
        <w:pStyle w:val="2"/>
        <w:keepNext w:val="0"/>
        <w:keepLines w:val="0"/>
        <w:pageBreakBefore w:val="0"/>
        <w:widowControl w:val="0"/>
        <w:kinsoku/>
        <w:wordWrap/>
        <w:overflowPunct/>
        <w:topLinePunct w:val="0"/>
        <w:autoSpaceDE w:val="0"/>
        <w:autoSpaceDN w:val="0"/>
        <w:bidi w:val="0"/>
        <w:adjustRightInd/>
        <w:snapToGrid/>
        <w:spacing w:before="0" w:line="400" w:lineRule="exact"/>
        <w:ind w:left="0" w:leftChars="0"/>
        <w:textAlignment w:val="auto"/>
        <w:rPr>
          <w:rFonts w:hint="default" w:ascii="Times New Roman" w:hAnsi="Times New Roman" w:cs="Times New Roman"/>
          <w:b/>
          <w:bCs/>
          <w:sz w:val="30"/>
          <w:vertAlign w:val="baseline"/>
        </w:rPr>
      </w:pPr>
    </w:p>
    <w:p>
      <w:pPr>
        <w:keepNext w:val="0"/>
        <w:keepLines w:val="0"/>
        <w:pageBreakBefore w:val="0"/>
        <w:widowControl w:val="0"/>
        <w:kinsoku/>
        <w:wordWrap/>
        <w:overflowPunct/>
        <w:topLinePunct w:val="0"/>
        <w:autoSpaceDE w:val="0"/>
        <w:autoSpaceDN w:val="0"/>
        <w:bidi w:val="0"/>
        <w:adjustRightInd/>
        <w:snapToGrid/>
        <w:spacing w:after="0" w:line="620" w:lineRule="exact"/>
        <w:ind w:left="0" w:leftChars="0" w:right="0"/>
        <w:jc w:val="center"/>
        <w:textAlignment w:val="auto"/>
        <w:rPr>
          <w:rFonts w:hint="default" w:ascii="Times New Roman" w:hAnsi="Times New Roman" w:eastAsia="方正小标宋简体" w:cs="Times New Roman"/>
          <w:b/>
          <w:bCs/>
          <w:color w:val="000000"/>
          <w:spacing w:val="0"/>
          <w:w w:val="100"/>
          <w:kern w:val="0"/>
          <w:position w:val="0"/>
          <w:sz w:val="44"/>
          <w:szCs w:val="44"/>
          <w:vertAlign w:val="baseline"/>
          <w:lang w:val="zh-CN" w:eastAsia="zh-CN" w:bidi="zh-CN"/>
        </w:rPr>
      </w:pPr>
      <w:r>
        <w:rPr>
          <w:rFonts w:hint="default" w:ascii="Times New Roman" w:hAnsi="Times New Roman" w:eastAsia="方正小标宋简体" w:cs="Times New Roman"/>
          <w:b/>
          <w:bCs/>
          <w:color w:val="000000"/>
          <w:spacing w:val="0"/>
          <w:w w:val="100"/>
          <w:kern w:val="0"/>
          <w:position w:val="0"/>
          <w:sz w:val="44"/>
          <w:szCs w:val="44"/>
          <w:vertAlign w:val="baseline"/>
          <w:lang w:val="zh-CN" w:eastAsia="zh-CN" w:bidi="zh-CN"/>
        </w:rPr>
        <w:t>关于调整《济宁市医疗保障局权责清单》的</w:t>
      </w:r>
    </w:p>
    <w:p>
      <w:pPr>
        <w:keepNext w:val="0"/>
        <w:keepLines w:val="0"/>
        <w:pageBreakBefore w:val="0"/>
        <w:widowControl w:val="0"/>
        <w:kinsoku/>
        <w:wordWrap/>
        <w:overflowPunct/>
        <w:topLinePunct w:val="0"/>
        <w:autoSpaceDE w:val="0"/>
        <w:autoSpaceDN w:val="0"/>
        <w:bidi w:val="0"/>
        <w:adjustRightInd/>
        <w:snapToGrid/>
        <w:spacing w:after="0" w:line="620" w:lineRule="exact"/>
        <w:ind w:left="0" w:leftChars="0" w:right="0"/>
        <w:jc w:val="center"/>
        <w:textAlignment w:val="auto"/>
        <w:rPr>
          <w:rFonts w:hint="default" w:ascii="Times New Roman" w:hAnsi="Times New Roman" w:eastAsia="方正小标宋简体" w:cs="Times New Roman"/>
          <w:b/>
          <w:bCs/>
          <w:color w:val="000000"/>
          <w:spacing w:val="0"/>
          <w:w w:val="100"/>
          <w:kern w:val="0"/>
          <w:position w:val="0"/>
          <w:sz w:val="44"/>
          <w:szCs w:val="44"/>
          <w:vertAlign w:val="baseline"/>
          <w:lang w:val="zh-CN" w:eastAsia="zh-CN" w:bidi="zh-CN"/>
        </w:rPr>
      </w:pPr>
      <w:r>
        <w:rPr>
          <w:rFonts w:hint="default" w:ascii="Times New Roman" w:hAnsi="Times New Roman" w:eastAsia="方正小标宋简体" w:cs="Times New Roman"/>
          <w:b/>
          <w:bCs/>
          <w:color w:val="000000"/>
          <w:spacing w:val="0"/>
          <w:w w:val="100"/>
          <w:kern w:val="0"/>
          <w:position w:val="0"/>
          <w:sz w:val="44"/>
          <w:szCs w:val="44"/>
          <w:vertAlign w:val="baseline"/>
          <w:lang w:val="zh-CN" w:eastAsia="zh-CN" w:bidi="zh-CN"/>
        </w:rPr>
        <w:t>通</w:t>
      </w:r>
      <w:r>
        <w:rPr>
          <w:rFonts w:hint="default" w:ascii="Times New Roman" w:hAnsi="Times New Roman" w:eastAsia="方正小标宋简体" w:cs="Times New Roman"/>
          <w:b/>
          <w:bCs/>
          <w:color w:val="000000"/>
          <w:spacing w:val="0"/>
          <w:w w:val="100"/>
          <w:kern w:val="0"/>
          <w:position w:val="0"/>
          <w:sz w:val="44"/>
          <w:szCs w:val="44"/>
          <w:vertAlign w:val="baseline"/>
          <w:lang w:val="en-US" w:eastAsia="zh-CN" w:bidi="zh-CN"/>
        </w:rPr>
        <w:t xml:space="preserve">    </w:t>
      </w:r>
      <w:r>
        <w:rPr>
          <w:rFonts w:hint="default" w:ascii="Times New Roman" w:hAnsi="Times New Roman" w:eastAsia="方正小标宋简体" w:cs="Times New Roman"/>
          <w:b/>
          <w:bCs/>
          <w:color w:val="000000"/>
          <w:spacing w:val="0"/>
          <w:w w:val="100"/>
          <w:kern w:val="0"/>
          <w:position w:val="0"/>
          <w:sz w:val="44"/>
          <w:szCs w:val="44"/>
          <w:vertAlign w:val="baseline"/>
          <w:lang w:val="zh-CN" w:eastAsia="zh-CN" w:bidi="zh-CN"/>
        </w:rPr>
        <w:t>知</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b/>
          <w:bCs/>
          <w:sz w:val="44"/>
          <w:szCs w:val="44"/>
          <w:vertAlign w:val="baseline"/>
          <w:lang w:eastAsia="zh-CN"/>
        </w:rPr>
      </w:pP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rPr>
          <w:rFonts w:hint="default" w:ascii="Times New Roman" w:hAnsi="Times New Roman" w:eastAsia="仿宋_GB2312" w:cs="Times New Roman"/>
          <w:b/>
          <w:bCs/>
          <w:color w:val="000000"/>
          <w:sz w:val="32"/>
          <w:szCs w:val="32"/>
          <w:shd w:val="clear" w:color="auto" w:fill="FFFFFF"/>
          <w:vertAlign w:val="baseline"/>
          <w:lang w:val="en-US" w:eastAsia="zh-CN"/>
        </w:rPr>
      </w:pPr>
      <w:r>
        <w:rPr>
          <w:rFonts w:hint="default" w:ascii="Times New Roman" w:hAnsi="Times New Roman" w:eastAsia="仿宋_GB2312" w:cs="Times New Roman"/>
          <w:b/>
          <w:bCs/>
          <w:color w:val="000000"/>
          <w:sz w:val="32"/>
          <w:szCs w:val="32"/>
          <w:shd w:val="clear" w:color="auto" w:fill="FFFFFF"/>
          <w:vertAlign w:val="baseline"/>
          <w:lang w:val="en-US" w:eastAsia="zh-CN"/>
        </w:rPr>
        <w:t>各县（市、区）医疗保障局，济宁高新区人力资源部、太白湖新区社会保障事业服务中心、济宁经济开发区人力资源和社会保障服务中心，兖州煤业有限公司人力资源服务中心、市</w:t>
      </w:r>
      <w:r>
        <w:rPr>
          <w:rFonts w:hint="eastAsia" w:ascii="Times New Roman" w:hAnsi="Times New Roman" w:eastAsia="仿宋_GB2312" w:cs="Times New Roman"/>
          <w:b/>
          <w:bCs/>
          <w:color w:val="000000"/>
          <w:sz w:val="32"/>
          <w:szCs w:val="32"/>
          <w:shd w:val="clear" w:color="auto" w:fill="FFFFFF"/>
          <w:vertAlign w:val="baseline"/>
          <w:lang w:val="en-US" w:eastAsia="zh-CN"/>
        </w:rPr>
        <w:t>医疗保障</w:t>
      </w:r>
      <w:r>
        <w:rPr>
          <w:rFonts w:hint="default" w:ascii="Times New Roman" w:hAnsi="Times New Roman" w:eastAsia="仿宋_GB2312" w:cs="Times New Roman"/>
          <w:b/>
          <w:bCs/>
          <w:color w:val="000000"/>
          <w:sz w:val="32"/>
          <w:szCs w:val="32"/>
          <w:shd w:val="clear" w:color="auto" w:fill="FFFFFF"/>
          <w:vertAlign w:val="baseline"/>
          <w:lang w:val="en-US" w:eastAsia="zh-CN"/>
        </w:rPr>
        <w:t>综合执法支队，市医疗保险事业中心：</w:t>
      </w:r>
    </w:p>
    <w:p>
      <w:pPr>
        <w:keepNext w:val="0"/>
        <w:keepLines w:val="0"/>
        <w:pageBreakBefore w:val="0"/>
        <w:widowControl w:val="0"/>
        <w:kinsoku/>
        <w:wordWrap/>
        <w:overflowPunct/>
        <w:topLinePunct w:val="0"/>
        <w:autoSpaceDE/>
        <w:autoSpaceDN/>
        <w:bidi w:val="0"/>
        <w:adjustRightInd/>
        <w:snapToGrid/>
        <w:spacing w:line="620" w:lineRule="exact"/>
        <w:ind w:firstLine="680"/>
        <w:jc w:val="both"/>
        <w:textAlignment w:val="auto"/>
        <w:rPr>
          <w:rFonts w:hint="default" w:ascii="Times New Roman" w:hAnsi="Times New Roman" w:eastAsia="仿宋_GB2312" w:cs="Times New Roman"/>
          <w:b/>
          <w:bCs/>
          <w:color w:val="000000"/>
          <w:sz w:val="32"/>
          <w:szCs w:val="32"/>
          <w:shd w:val="clear" w:color="auto" w:fill="FFFFFF"/>
          <w:vertAlign w:val="baseline"/>
          <w:lang w:val="en-US" w:eastAsia="zh-CN"/>
        </w:rPr>
      </w:pPr>
      <w:r>
        <w:rPr>
          <w:rFonts w:hint="default" w:ascii="Times New Roman" w:hAnsi="Times New Roman" w:eastAsia="仿宋_GB2312" w:cs="Times New Roman"/>
          <w:b/>
          <w:bCs/>
          <w:color w:val="000000"/>
          <w:sz w:val="32"/>
          <w:szCs w:val="32"/>
          <w:shd w:val="clear" w:color="auto" w:fill="FFFFFF"/>
          <w:vertAlign w:val="baseline"/>
          <w:lang w:val="en-US" w:eastAsia="zh-CN"/>
        </w:rPr>
        <w:t>根据《关于调整&lt;山东省医疗保障系统权责清单&gt;的通知》（鲁医保发〔2020〕82号）及法律法规规章调整和职责任务变化情况，结合我市医保工作实际，对《济宁市医疗保障局权责清单》进行了调整，现印发给你们，请认真抓好贯彻落实。</w:t>
      </w:r>
    </w:p>
    <w:p>
      <w:pPr>
        <w:keepNext w:val="0"/>
        <w:keepLines w:val="0"/>
        <w:pageBreakBefore w:val="0"/>
        <w:widowControl w:val="0"/>
        <w:kinsoku/>
        <w:wordWrap/>
        <w:overflowPunct/>
        <w:topLinePunct w:val="0"/>
        <w:autoSpaceDE/>
        <w:autoSpaceDN/>
        <w:bidi w:val="0"/>
        <w:adjustRightInd/>
        <w:snapToGrid/>
        <w:spacing w:line="620" w:lineRule="exact"/>
        <w:ind w:firstLine="680"/>
        <w:jc w:val="both"/>
        <w:textAlignment w:val="auto"/>
        <w:rPr>
          <w:rFonts w:hint="default" w:ascii="Times New Roman" w:hAnsi="Times New Roman" w:eastAsia="仿宋_GB2312" w:cs="Times New Roman"/>
          <w:b/>
          <w:bCs/>
          <w:color w:val="000000"/>
          <w:sz w:val="32"/>
          <w:szCs w:val="32"/>
          <w:shd w:val="clear" w:color="auto" w:fill="FFFFFF"/>
          <w:vertAlign w:val="baseline"/>
          <w:lang w:val="en-US" w:eastAsia="zh-CN"/>
        </w:rPr>
      </w:pPr>
      <w:r>
        <w:rPr>
          <w:rFonts w:hint="default" w:ascii="Times New Roman" w:hAnsi="Times New Roman" w:eastAsia="仿宋_GB2312" w:cs="Times New Roman"/>
          <w:b/>
          <w:bCs/>
          <w:color w:val="000000"/>
          <w:sz w:val="32"/>
          <w:szCs w:val="32"/>
          <w:shd w:val="clear" w:color="auto" w:fill="FFFFFF"/>
          <w:vertAlign w:val="baseline"/>
          <w:lang w:val="en-US" w:eastAsia="zh-CN"/>
        </w:rPr>
        <w:t>《关于印发&lt;济宁市医疗保障系统权责清单&gt;的通知</w:t>
      </w:r>
      <w:r>
        <w:rPr>
          <w:rFonts w:hint="default" w:ascii="Times New Roman" w:hAnsi="Times New Roman" w:eastAsia="仿宋_GB2312" w:cs="Times New Roman"/>
          <w:b/>
          <w:bCs/>
          <w:color w:val="000000"/>
          <w:spacing w:val="11"/>
          <w:sz w:val="32"/>
          <w:szCs w:val="32"/>
          <w:shd w:val="clear" w:color="auto" w:fill="FFFFFF"/>
          <w:vertAlign w:val="baseline"/>
          <w:lang w:val="en-US" w:eastAsia="zh-CN"/>
        </w:rPr>
        <w:t>》（</w:t>
      </w:r>
      <w:r>
        <w:rPr>
          <w:rFonts w:hint="default" w:ascii="Times New Roman" w:hAnsi="Times New Roman" w:eastAsia="仿宋_GB2312" w:cs="Times New Roman"/>
          <w:b/>
          <w:bCs/>
          <w:color w:val="000000"/>
          <w:sz w:val="32"/>
          <w:szCs w:val="32"/>
          <w:shd w:val="clear" w:color="auto" w:fill="FFFFFF"/>
          <w:vertAlign w:val="baseline"/>
          <w:lang w:val="en-US" w:eastAsia="zh-CN"/>
        </w:rPr>
        <w:t>济医保发〔2019〕31号）同时废止。</w:t>
      </w:r>
    </w:p>
    <w:p>
      <w:pPr>
        <w:keepNext w:val="0"/>
        <w:keepLines w:val="0"/>
        <w:pageBreakBefore w:val="0"/>
        <w:widowControl w:val="0"/>
        <w:kinsoku/>
        <w:wordWrap/>
        <w:overflowPunct/>
        <w:topLinePunct w:val="0"/>
        <w:autoSpaceDE/>
        <w:autoSpaceDN/>
        <w:bidi w:val="0"/>
        <w:adjustRightInd/>
        <w:snapToGrid/>
        <w:spacing w:line="620" w:lineRule="exact"/>
        <w:ind w:firstLine="640"/>
        <w:jc w:val="both"/>
        <w:textAlignment w:val="auto"/>
        <w:rPr>
          <w:rFonts w:hint="default" w:ascii="Times New Roman" w:hAnsi="Times New Roman" w:eastAsia="仿宋_GB2312" w:cs="Times New Roman"/>
          <w:b/>
          <w:bCs/>
          <w:color w:val="000000"/>
          <w:sz w:val="32"/>
          <w:szCs w:val="32"/>
          <w:shd w:val="clear" w:color="auto" w:fill="FFFFFF"/>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jc w:val="both"/>
        <w:textAlignment w:val="auto"/>
        <w:rPr>
          <w:rFonts w:hint="default" w:ascii="Times New Roman" w:hAnsi="Times New Roman" w:eastAsia="仿宋_GB2312" w:cs="Times New Roman"/>
          <w:b/>
          <w:bCs/>
          <w:color w:val="000000"/>
          <w:sz w:val="32"/>
          <w:szCs w:val="32"/>
          <w:shd w:val="clear" w:color="auto" w:fill="FFFFFF"/>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jc w:val="both"/>
        <w:textAlignment w:val="auto"/>
        <w:rPr>
          <w:rFonts w:hint="default" w:ascii="Times New Roman" w:hAnsi="Times New Roman" w:eastAsia="仿宋_GB2312" w:cs="Times New Roman"/>
          <w:b/>
          <w:bCs/>
          <w:color w:val="000000"/>
          <w:sz w:val="32"/>
          <w:szCs w:val="32"/>
          <w:shd w:val="clear" w:color="auto" w:fill="FFFFFF"/>
          <w:vertAlign w:val="baseline"/>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20" w:lineRule="exact"/>
        <w:ind w:firstLine="4825" w:firstLineChars="1502"/>
        <w:jc w:val="both"/>
        <w:textAlignment w:val="auto"/>
        <w:rPr>
          <w:rFonts w:hint="default" w:ascii="Times New Roman" w:hAnsi="Times New Roman" w:eastAsia="仿宋_GB2312" w:cs="Times New Roman"/>
          <w:b/>
          <w:bCs/>
          <w:color w:val="000000"/>
          <w:sz w:val="32"/>
          <w:szCs w:val="32"/>
          <w:shd w:val="clear" w:color="auto" w:fill="FFFFFF"/>
          <w:vertAlign w:val="baseline"/>
          <w:lang w:val="en-US" w:eastAsia="zh-CN"/>
        </w:rPr>
      </w:pPr>
      <w:r>
        <w:rPr>
          <w:rFonts w:hint="default" w:ascii="Times New Roman" w:hAnsi="Times New Roman" w:eastAsia="仿宋_GB2312" w:cs="Times New Roman"/>
          <w:b/>
          <w:bCs/>
          <w:color w:val="000000"/>
          <w:sz w:val="32"/>
          <w:szCs w:val="32"/>
          <w:shd w:val="clear" w:color="auto" w:fill="FFFFFF"/>
          <w:vertAlign w:val="baseline"/>
          <w:lang w:val="en-US" w:eastAsia="zh-CN"/>
        </w:rPr>
        <w:t>济宁市医疗保障局</w:t>
      </w:r>
    </w:p>
    <w:p>
      <w:pPr>
        <w:keepNext w:val="0"/>
        <w:keepLines w:val="0"/>
        <w:pageBreakBefore w:val="0"/>
        <w:widowControl w:val="0"/>
        <w:kinsoku/>
        <w:wordWrap/>
        <w:overflowPunct/>
        <w:topLinePunct w:val="0"/>
        <w:autoSpaceDE/>
        <w:autoSpaceDN/>
        <w:bidi w:val="0"/>
        <w:adjustRightInd/>
        <w:snapToGrid/>
        <w:spacing w:line="620" w:lineRule="exact"/>
        <w:ind w:firstLine="4825" w:firstLineChars="1502"/>
        <w:jc w:val="both"/>
        <w:textAlignment w:val="auto"/>
        <w:rPr>
          <w:rFonts w:hint="default" w:ascii="Times New Roman" w:hAnsi="Times New Roman" w:eastAsia="仿宋_GB2312" w:cs="Times New Roman"/>
          <w:b/>
          <w:bCs/>
          <w:color w:val="000000"/>
          <w:sz w:val="32"/>
          <w:szCs w:val="32"/>
          <w:shd w:val="clear" w:color="auto" w:fill="FFFFFF"/>
          <w:vertAlign w:val="baseline"/>
          <w:lang w:val="en-US" w:eastAsia="zh-CN"/>
        </w:rPr>
      </w:pPr>
      <w:r>
        <w:rPr>
          <w:rFonts w:hint="default" w:ascii="Times New Roman" w:hAnsi="Times New Roman" w:eastAsia="仿宋_GB2312" w:cs="Times New Roman"/>
          <w:b/>
          <w:bCs/>
          <w:color w:val="000000"/>
          <w:sz w:val="32"/>
          <w:szCs w:val="32"/>
          <w:shd w:val="clear" w:color="auto" w:fill="FFFFFF"/>
          <w:vertAlign w:val="baseline"/>
          <w:lang w:val="en-US" w:eastAsia="zh-CN"/>
        </w:rPr>
        <w:t>2021年7月23日</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rPr>
          <w:rFonts w:hint="default" w:ascii="Times New Roman" w:hAnsi="Times New Roman" w:eastAsia="仿宋_GB2312" w:cs="Times New Roman"/>
          <w:b/>
          <w:bCs/>
          <w:color w:val="000000"/>
          <w:sz w:val="32"/>
          <w:szCs w:val="32"/>
          <w:shd w:val="clear" w:color="auto" w:fill="FFFFFF"/>
          <w:vertAlign w:val="baseline"/>
          <w:lang w:val="en-US" w:eastAsia="zh-CN"/>
        </w:rPr>
      </w:pPr>
      <w:r>
        <w:rPr>
          <w:rFonts w:hint="default" w:ascii="Times New Roman" w:hAnsi="Times New Roman" w:eastAsia="仿宋_GB2312" w:cs="Times New Roman"/>
          <w:b/>
          <w:bCs/>
          <w:color w:val="000000"/>
          <w:sz w:val="32"/>
          <w:szCs w:val="32"/>
          <w:shd w:val="clear" w:color="auto" w:fill="FFFFFF"/>
          <w:vertAlign w:val="baseline"/>
          <w:lang w:val="en-US" w:eastAsia="zh-CN"/>
        </w:rPr>
        <w:t xml:space="preserve">（此件主动公开）   </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rPr>
          <w:rFonts w:hint="default" w:ascii="Times New Roman" w:hAnsi="Times New Roman" w:eastAsia="仿宋_GB2312" w:cs="Times New Roman"/>
          <w:b/>
          <w:bCs/>
          <w:color w:val="000000"/>
          <w:sz w:val="32"/>
          <w:szCs w:val="32"/>
          <w:shd w:val="clear" w:color="auto" w:fill="FFFFFF"/>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rPr>
          <w:rFonts w:hint="default" w:ascii="Times New Roman" w:hAnsi="Times New Roman" w:eastAsia="仿宋_GB2312" w:cs="Times New Roman"/>
          <w:b/>
          <w:bCs/>
          <w:color w:val="000000"/>
          <w:sz w:val="32"/>
          <w:szCs w:val="32"/>
          <w:shd w:val="clear" w:color="auto" w:fill="FFFFFF"/>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rPr>
          <w:rFonts w:hint="default" w:ascii="Times New Roman" w:hAnsi="Times New Roman" w:eastAsia="仿宋_GB2312" w:cs="Times New Roman"/>
          <w:b/>
          <w:bCs/>
          <w:color w:val="000000"/>
          <w:sz w:val="32"/>
          <w:szCs w:val="32"/>
          <w:shd w:val="clear" w:color="auto" w:fill="FFFFFF"/>
          <w:vertAlign w:val="baseline"/>
          <w:lang w:val="en-US" w:eastAsia="zh-CN"/>
        </w:rPr>
      </w:pPr>
    </w:p>
    <w:p>
      <w:pPr>
        <w:pStyle w:val="2"/>
        <w:keepNext w:val="0"/>
        <w:keepLines w:val="0"/>
        <w:pageBreakBefore w:val="0"/>
        <w:widowControl w:val="0"/>
        <w:kinsoku/>
        <w:wordWrap/>
        <w:overflowPunct/>
        <w:topLinePunct w:val="0"/>
        <w:bidi w:val="0"/>
        <w:adjustRightInd/>
        <w:snapToGrid/>
        <w:spacing w:line="620" w:lineRule="exact"/>
        <w:textAlignment w:val="auto"/>
        <w:rPr>
          <w:rFonts w:hint="default" w:ascii="Times New Roman" w:hAnsi="Times New Roman" w:eastAsia="仿宋_GB2312" w:cs="Times New Roman"/>
          <w:b/>
          <w:bCs/>
          <w:sz w:val="32"/>
          <w:szCs w:val="32"/>
          <w:vertAlign w:val="baseline"/>
        </w:rPr>
      </w:pPr>
    </w:p>
    <w:p>
      <w:pPr>
        <w:pStyle w:val="2"/>
        <w:keepNext w:val="0"/>
        <w:keepLines w:val="0"/>
        <w:pageBreakBefore w:val="0"/>
        <w:widowControl w:val="0"/>
        <w:kinsoku/>
        <w:wordWrap/>
        <w:overflowPunct/>
        <w:topLinePunct w:val="0"/>
        <w:bidi w:val="0"/>
        <w:adjustRightInd/>
        <w:snapToGrid/>
        <w:spacing w:line="620" w:lineRule="exact"/>
        <w:textAlignment w:val="auto"/>
        <w:rPr>
          <w:rFonts w:hint="default" w:ascii="Times New Roman" w:hAnsi="Times New Roman" w:eastAsia="仿宋_GB2312" w:cs="Times New Roman"/>
          <w:b/>
          <w:bCs/>
          <w:sz w:val="32"/>
          <w:szCs w:val="32"/>
          <w:vertAlign w:val="baseline"/>
        </w:rPr>
      </w:pPr>
    </w:p>
    <w:p>
      <w:pPr>
        <w:pStyle w:val="2"/>
        <w:keepNext w:val="0"/>
        <w:keepLines w:val="0"/>
        <w:pageBreakBefore w:val="0"/>
        <w:widowControl w:val="0"/>
        <w:kinsoku/>
        <w:wordWrap/>
        <w:overflowPunct/>
        <w:topLinePunct w:val="0"/>
        <w:bidi w:val="0"/>
        <w:adjustRightInd/>
        <w:snapToGrid/>
        <w:spacing w:line="620" w:lineRule="exact"/>
        <w:textAlignment w:val="auto"/>
        <w:rPr>
          <w:rFonts w:hint="default" w:ascii="Times New Roman" w:hAnsi="Times New Roman" w:eastAsia="仿宋_GB2312" w:cs="Times New Roman"/>
          <w:b/>
          <w:bCs/>
          <w:sz w:val="32"/>
          <w:szCs w:val="32"/>
          <w:vertAlign w:val="baseline"/>
        </w:rPr>
      </w:pPr>
    </w:p>
    <w:p>
      <w:pPr>
        <w:pStyle w:val="2"/>
        <w:keepNext w:val="0"/>
        <w:keepLines w:val="0"/>
        <w:pageBreakBefore w:val="0"/>
        <w:widowControl w:val="0"/>
        <w:kinsoku/>
        <w:wordWrap/>
        <w:overflowPunct/>
        <w:topLinePunct w:val="0"/>
        <w:bidi w:val="0"/>
        <w:adjustRightInd/>
        <w:snapToGrid/>
        <w:spacing w:line="620" w:lineRule="exact"/>
        <w:textAlignment w:val="auto"/>
        <w:rPr>
          <w:rFonts w:hint="default" w:ascii="Times New Roman" w:hAnsi="Times New Roman" w:eastAsia="仿宋_GB2312" w:cs="Times New Roman"/>
          <w:b/>
          <w:bCs/>
          <w:sz w:val="32"/>
          <w:szCs w:val="32"/>
          <w:vertAlign w:val="baseline"/>
        </w:rPr>
      </w:pPr>
    </w:p>
    <w:p>
      <w:pPr>
        <w:pStyle w:val="2"/>
        <w:keepNext w:val="0"/>
        <w:keepLines w:val="0"/>
        <w:pageBreakBefore w:val="0"/>
        <w:widowControl w:val="0"/>
        <w:kinsoku/>
        <w:wordWrap/>
        <w:overflowPunct/>
        <w:topLinePunct w:val="0"/>
        <w:bidi w:val="0"/>
        <w:adjustRightInd/>
        <w:snapToGrid/>
        <w:spacing w:line="620" w:lineRule="exact"/>
        <w:textAlignment w:val="auto"/>
        <w:rPr>
          <w:rFonts w:hint="default" w:ascii="Times New Roman" w:hAnsi="Times New Roman" w:eastAsia="仿宋_GB2312" w:cs="Times New Roman"/>
          <w:b/>
          <w:bCs/>
          <w:sz w:val="32"/>
          <w:szCs w:val="32"/>
          <w:vertAlign w:val="baseline"/>
        </w:rPr>
        <w:sectPr>
          <w:pgSz w:w="11906" w:h="16838"/>
          <w:pgMar w:top="1587" w:right="1587" w:bottom="1587" w:left="1587" w:header="851" w:footer="992" w:gutter="0"/>
          <w:pgBorders>
            <w:top w:val="none" w:sz="0" w:space="0"/>
            <w:left w:val="none" w:sz="0" w:space="0"/>
            <w:bottom w:val="none" w:sz="0" w:space="0"/>
            <w:right w:val="none" w:sz="0" w:space="0"/>
          </w:pgBorders>
          <w:cols w:space="0" w:num="1"/>
          <w:rtlGutter w:val="0"/>
          <w:docGrid w:type="lines" w:linePitch="312" w:charSpace="0"/>
        </w:sectPr>
      </w:pPr>
    </w:p>
    <w:p>
      <w:pPr>
        <w:widowControl/>
        <w:tabs>
          <w:tab w:val="left" w:pos="18154"/>
          <w:tab w:val="left" w:pos="23194"/>
        </w:tabs>
        <w:spacing w:line="600" w:lineRule="exact"/>
        <w:ind w:left="91"/>
        <w:jc w:val="center"/>
        <w:rPr>
          <w:rFonts w:hint="eastAsia" w:ascii="方正小标宋简体" w:hAnsi="方正小标宋简体" w:eastAsia="方正小标宋简体" w:cs="方正小标宋简体"/>
          <w:b/>
          <w:bCs/>
          <w:color w:val="000000"/>
          <w:kern w:val="0"/>
          <w:sz w:val="44"/>
          <w:szCs w:val="44"/>
        </w:rPr>
      </w:pPr>
      <w:r>
        <w:rPr>
          <w:rFonts w:hint="eastAsia" w:ascii="方正小标宋简体" w:hAnsi="方正小标宋简体" w:eastAsia="方正小标宋简体" w:cs="方正小标宋简体"/>
          <w:b/>
          <w:bCs/>
          <w:color w:val="000000"/>
          <w:kern w:val="0"/>
          <w:sz w:val="44"/>
          <w:szCs w:val="44"/>
        </w:rPr>
        <w:t>权责清单目录分表</w:t>
      </w:r>
      <w:r>
        <w:rPr>
          <w:rFonts w:hint="eastAsia" w:ascii="方正小标宋简体" w:hAnsi="方正小标宋简体" w:eastAsia="方正小标宋简体" w:cs="方正小标宋简体"/>
          <w:b/>
          <w:bCs/>
          <w:color w:val="000000"/>
          <w:kern w:val="0"/>
          <w:sz w:val="44"/>
          <w:szCs w:val="44"/>
          <w:lang w:eastAsia="zh-CN"/>
        </w:rPr>
        <w:t>（</w:t>
      </w:r>
      <w:r>
        <w:rPr>
          <w:rFonts w:hint="eastAsia" w:ascii="方正小标宋简体" w:hAnsi="方正小标宋简体" w:eastAsia="方正小标宋简体" w:cs="方正小标宋简体"/>
          <w:b/>
          <w:bCs/>
          <w:color w:val="000000"/>
          <w:kern w:val="0"/>
          <w:sz w:val="44"/>
          <w:szCs w:val="44"/>
        </w:rPr>
        <w:t>行政处罚类</w:t>
      </w:r>
      <w:r>
        <w:rPr>
          <w:rFonts w:hint="eastAsia" w:ascii="方正小标宋简体" w:hAnsi="方正小标宋简体" w:eastAsia="方正小标宋简体" w:cs="方正小标宋简体"/>
          <w:b/>
          <w:bCs/>
          <w:color w:val="000000"/>
          <w:kern w:val="0"/>
          <w:sz w:val="44"/>
          <w:szCs w:val="44"/>
          <w:lang w:eastAsia="zh-CN"/>
        </w:rPr>
        <w:t>）</w:t>
      </w:r>
    </w:p>
    <w:tbl>
      <w:tblPr>
        <w:tblStyle w:val="4"/>
        <w:tblW w:w="136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97"/>
        <w:gridCol w:w="764"/>
        <w:gridCol w:w="1287"/>
        <w:gridCol w:w="916"/>
        <w:gridCol w:w="1424"/>
        <w:gridCol w:w="540"/>
        <w:gridCol w:w="3115"/>
        <w:gridCol w:w="603"/>
        <w:gridCol w:w="704"/>
        <w:gridCol w:w="1950"/>
        <w:gridCol w:w="1561"/>
        <w:gridCol w:w="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0" w:hRule="atLeast"/>
          <w:tblHeader/>
        </w:trPr>
        <w:tc>
          <w:tcPr>
            <w:tcW w:w="497" w:type="dxa"/>
            <w:shd w:val="clear" w:color="auto" w:fill="FFFFFF"/>
            <w:noWrap w:val="0"/>
            <w:vAlign w:val="center"/>
          </w:tcPr>
          <w:p>
            <w:pPr>
              <w:spacing w:line="280" w:lineRule="exact"/>
              <w:jc w:val="center"/>
              <w:rPr>
                <w:rFonts w:hint="default" w:ascii="Times New Roman" w:hAnsi="Times New Roman" w:eastAsia="方正黑体简体" w:cs="Times New Roman"/>
                <w:b/>
                <w:bCs/>
                <w:color w:val="000000"/>
                <w:kern w:val="0"/>
                <w:sz w:val="20"/>
                <w:szCs w:val="20"/>
              </w:rPr>
            </w:pPr>
            <w:r>
              <w:rPr>
                <w:rFonts w:hint="default" w:ascii="Times New Roman" w:hAnsi="Times New Roman" w:eastAsia="方正黑体简体" w:cs="Times New Roman"/>
                <w:b/>
                <w:bCs/>
                <w:color w:val="000000"/>
                <w:kern w:val="0"/>
                <w:sz w:val="20"/>
                <w:szCs w:val="20"/>
              </w:rPr>
              <w:t>序号</w:t>
            </w:r>
          </w:p>
        </w:tc>
        <w:tc>
          <w:tcPr>
            <w:tcW w:w="764" w:type="dxa"/>
            <w:shd w:val="clear" w:color="auto" w:fill="FFFFFF"/>
            <w:noWrap w:val="0"/>
            <w:vAlign w:val="center"/>
          </w:tcPr>
          <w:p>
            <w:pPr>
              <w:spacing w:line="280" w:lineRule="exact"/>
              <w:jc w:val="center"/>
              <w:rPr>
                <w:rFonts w:hint="default" w:ascii="Times New Roman" w:hAnsi="Times New Roman" w:eastAsia="方正黑体简体" w:cs="Times New Roman"/>
                <w:b/>
                <w:bCs/>
                <w:color w:val="000000"/>
                <w:kern w:val="0"/>
                <w:sz w:val="20"/>
                <w:szCs w:val="20"/>
              </w:rPr>
            </w:pPr>
            <w:r>
              <w:rPr>
                <w:rFonts w:hint="default" w:ascii="Times New Roman" w:hAnsi="Times New Roman" w:eastAsia="方正黑体简体" w:cs="Times New Roman"/>
                <w:b/>
                <w:bCs/>
                <w:color w:val="000000"/>
                <w:kern w:val="0"/>
                <w:sz w:val="20"/>
                <w:szCs w:val="20"/>
              </w:rPr>
              <w:t>实施</w:t>
            </w:r>
          </w:p>
          <w:p>
            <w:pPr>
              <w:spacing w:line="280" w:lineRule="exact"/>
              <w:jc w:val="center"/>
              <w:rPr>
                <w:rFonts w:hint="default" w:ascii="Times New Roman" w:hAnsi="Times New Roman" w:eastAsia="方正黑体简体" w:cs="Times New Roman"/>
                <w:b/>
                <w:bCs/>
                <w:color w:val="000000"/>
                <w:kern w:val="0"/>
                <w:sz w:val="20"/>
                <w:szCs w:val="20"/>
              </w:rPr>
            </w:pPr>
            <w:r>
              <w:rPr>
                <w:rFonts w:hint="default" w:ascii="Times New Roman" w:hAnsi="Times New Roman" w:eastAsia="方正黑体简体" w:cs="Times New Roman"/>
                <w:b/>
                <w:bCs/>
                <w:color w:val="000000"/>
                <w:kern w:val="0"/>
                <w:sz w:val="20"/>
                <w:szCs w:val="20"/>
              </w:rPr>
              <w:t>机构</w:t>
            </w:r>
          </w:p>
        </w:tc>
        <w:tc>
          <w:tcPr>
            <w:tcW w:w="1287" w:type="dxa"/>
            <w:shd w:val="clear" w:color="auto" w:fill="FFFFFF"/>
            <w:noWrap w:val="0"/>
            <w:vAlign w:val="center"/>
          </w:tcPr>
          <w:p>
            <w:pPr>
              <w:spacing w:line="280" w:lineRule="exact"/>
              <w:jc w:val="center"/>
              <w:rPr>
                <w:rFonts w:hint="default" w:ascii="Times New Roman" w:hAnsi="Times New Roman" w:eastAsia="方正黑体简体" w:cs="Times New Roman"/>
                <w:b/>
                <w:bCs/>
                <w:color w:val="000000"/>
                <w:kern w:val="0"/>
                <w:sz w:val="20"/>
                <w:szCs w:val="20"/>
              </w:rPr>
            </w:pPr>
            <w:r>
              <w:rPr>
                <w:rFonts w:hint="default" w:ascii="Times New Roman" w:hAnsi="Times New Roman" w:eastAsia="方正黑体简体" w:cs="Times New Roman"/>
                <w:b/>
                <w:bCs/>
                <w:color w:val="000000"/>
                <w:kern w:val="0"/>
                <w:sz w:val="20"/>
                <w:szCs w:val="20"/>
              </w:rPr>
              <w:t>部门职责</w:t>
            </w:r>
          </w:p>
        </w:tc>
        <w:tc>
          <w:tcPr>
            <w:tcW w:w="916" w:type="dxa"/>
            <w:shd w:val="clear" w:color="auto" w:fill="FFFFFF"/>
            <w:noWrap w:val="0"/>
            <w:vAlign w:val="center"/>
          </w:tcPr>
          <w:p>
            <w:pPr>
              <w:spacing w:line="280" w:lineRule="exact"/>
              <w:jc w:val="center"/>
              <w:rPr>
                <w:rFonts w:hint="default" w:ascii="Times New Roman" w:hAnsi="Times New Roman" w:eastAsia="方正黑体简体" w:cs="Times New Roman"/>
                <w:b/>
                <w:bCs/>
                <w:color w:val="000000"/>
                <w:kern w:val="0"/>
                <w:sz w:val="20"/>
                <w:szCs w:val="20"/>
              </w:rPr>
            </w:pPr>
            <w:r>
              <w:rPr>
                <w:rFonts w:hint="default" w:ascii="Times New Roman" w:hAnsi="Times New Roman" w:eastAsia="方正黑体简体" w:cs="Times New Roman"/>
                <w:b/>
                <w:bCs/>
                <w:color w:val="000000"/>
                <w:kern w:val="0"/>
                <w:sz w:val="20"/>
                <w:szCs w:val="20"/>
              </w:rPr>
              <w:t>事项名称</w:t>
            </w:r>
          </w:p>
        </w:tc>
        <w:tc>
          <w:tcPr>
            <w:tcW w:w="1424" w:type="dxa"/>
            <w:shd w:val="clear" w:color="auto" w:fill="FFFFFF"/>
            <w:noWrap w:val="0"/>
            <w:vAlign w:val="center"/>
          </w:tcPr>
          <w:p>
            <w:pPr>
              <w:spacing w:line="280" w:lineRule="exact"/>
              <w:jc w:val="center"/>
              <w:rPr>
                <w:rFonts w:hint="default" w:ascii="Times New Roman" w:hAnsi="Times New Roman" w:eastAsia="方正黑体简体" w:cs="Times New Roman"/>
                <w:b/>
                <w:bCs/>
                <w:color w:val="000000"/>
                <w:kern w:val="0"/>
                <w:sz w:val="20"/>
                <w:szCs w:val="20"/>
              </w:rPr>
            </w:pPr>
            <w:r>
              <w:rPr>
                <w:rFonts w:hint="default" w:ascii="Times New Roman" w:hAnsi="Times New Roman" w:eastAsia="方正黑体简体" w:cs="Times New Roman"/>
                <w:b/>
                <w:bCs/>
                <w:color w:val="000000"/>
                <w:kern w:val="0"/>
                <w:sz w:val="20"/>
                <w:szCs w:val="20"/>
              </w:rPr>
              <w:t>事项编码</w:t>
            </w:r>
          </w:p>
        </w:tc>
        <w:tc>
          <w:tcPr>
            <w:tcW w:w="540" w:type="dxa"/>
            <w:shd w:val="clear" w:color="auto" w:fill="FFFFFF"/>
            <w:noWrap w:val="0"/>
            <w:vAlign w:val="center"/>
          </w:tcPr>
          <w:p>
            <w:pPr>
              <w:spacing w:line="280" w:lineRule="exact"/>
              <w:jc w:val="center"/>
              <w:rPr>
                <w:rFonts w:hint="default" w:ascii="Times New Roman" w:hAnsi="Times New Roman" w:eastAsia="方正黑体简体" w:cs="Times New Roman"/>
                <w:b/>
                <w:bCs/>
                <w:color w:val="000000"/>
                <w:kern w:val="0"/>
                <w:sz w:val="20"/>
                <w:szCs w:val="20"/>
              </w:rPr>
            </w:pPr>
            <w:r>
              <w:rPr>
                <w:rFonts w:hint="default" w:ascii="Times New Roman" w:hAnsi="Times New Roman" w:eastAsia="方正黑体简体" w:cs="Times New Roman"/>
                <w:b/>
                <w:bCs/>
                <w:color w:val="000000"/>
                <w:kern w:val="0"/>
                <w:sz w:val="20"/>
                <w:szCs w:val="20"/>
              </w:rPr>
              <w:t>事项</w:t>
            </w:r>
          </w:p>
          <w:p>
            <w:pPr>
              <w:spacing w:line="280" w:lineRule="exact"/>
              <w:jc w:val="center"/>
              <w:rPr>
                <w:rFonts w:hint="default" w:ascii="Times New Roman" w:hAnsi="Times New Roman" w:eastAsia="方正黑体简体" w:cs="Times New Roman"/>
                <w:b/>
                <w:bCs/>
                <w:color w:val="000000"/>
                <w:kern w:val="0"/>
                <w:sz w:val="20"/>
                <w:szCs w:val="20"/>
              </w:rPr>
            </w:pPr>
            <w:r>
              <w:rPr>
                <w:rFonts w:hint="default" w:ascii="Times New Roman" w:hAnsi="Times New Roman" w:eastAsia="方正黑体简体" w:cs="Times New Roman"/>
                <w:b/>
                <w:bCs/>
                <w:color w:val="000000"/>
                <w:kern w:val="0"/>
                <w:sz w:val="20"/>
                <w:szCs w:val="20"/>
              </w:rPr>
              <w:t>类型</w:t>
            </w:r>
          </w:p>
        </w:tc>
        <w:tc>
          <w:tcPr>
            <w:tcW w:w="3115" w:type="dxa"/>
            <w:shd w:val="clear" w:color="auto" w:fill="FFFFFF"/>
            <w:noWrap w:val="0"/>
            <w:vAlign w:val="center"/>
          </w:tcPr>
          <w:p>
            <w:pPr>
              <w:spacing w:line="280" w:lineRule="exact"/>
              <w:jc w:val="center"/>
              <w:rPr>
                <w:rFonts w:hint="default" w:ascii="Times New Roman" w:hAnsi="Times New Roman" w:eastAsia="方正黑体简体" w:cs="Times New Roman"/>
                <w:b/>
                <w:bCs/>
                <w:color w:val="000000"/>
                <w:kern w:val="0"/>
                <w:sz w:val="20"/>
                <w:szCs w:val="20"/>
              </w:rPr>
            </w:pPr>
            <w:r>
              <w:rPr>
                <w:rFonts w:hint="default" w:ascii="Times New Roman" w:hAnsi="Times New Roman" w:eastAsia="方正黑体简体" w:cs="Times New Roman"/>
                <w:b/>
                <w:bCs/>
                <w:color w:val="000000"/>
                <w:kern w:val="0"/>
                <w:sz w:val="20"/>
                <w:szCs w:val="20"/>
              </w:rPr>
              <w:t>设定、行使依据及有关条款</w:t>
            </w:r>
          </w:p>
        </w:tc>
        <w:tc>
          <w:tcPr>
            <w:tcW w:w="603" w:type="dxa"/>
            <w:shd w:val="clear" w:color="auto" w:fill="FFFFFF"/>
            <w:noWrap w:val="0"/>
            <w:vAlign w:val="center"/>
          </w:tcPr>
          <w:p>
            <w:pPr>
              <w:spacing w:line="280" w:lineRule="exact"/>
              <w:jc w:val="center"/>
              <w:rPr>
                <w:rFonts w:hint="default" w:ascii="Times New Roman" w:hAnsi="Times New Roman" w:eastAsia="方正黑体简体" w:cs="Times New Roman"/>
                <w:b/>
                <w:bCs/>
                <w:color w:val="000000"/>
                <w:kern w:val="0"/>
                <w:sz w:val="20"/>
                <w:szCs w:val="20"/>
              </w:rPr>
            </w:pPr>
            <w:r>
              <w:rPr>
                <w:rFonts w:hint="default" w:ascii="Times New Roman" w:hAnsi="Times New Roman" w:eastAsia="方正黑体简体" w:cs="Times New Roman"/>
                <w:b/>
                <w:bCs/>
                <w:color w:val="000000"/>
                <w:kern w:val="0"/>
                <w:sz w:val="20"/>
                <w:szCs w:val="20"/>
              </w:rPr>
              <w:t>实施层级</w:t>
            </w:r>
          </w:p>
        </w:tc>
        <w:tc>
          <w:tcPr>
            <w:tcW w:w="704" w:type="dxa"/>
            <w:shd w:val="clear" w:color="auto" w:fill="FFFFFF"/>
            <w:noWrap w:val="0"/>
            <w:vAlign w:val="center"/>
          </w:tcPr>
          <w:p>
            <w:pPr>
              <w:spacing w:line="280" w:lineRule="exact"/>
              <w:jc w:val="center"/>
              <w:rPr>
                <w:rFonts w:hint="default" w:ascii="Times New Roman" w:hAnsi="Times New Roman" w:eastAsia="方正黑体简体" w:cs="Times New Roman"/>
                <w:b/>
                <w:bCs/>
                <w:color w:val="000000"/>
                <w:kern w:val="0"/>
                <w:sz w:val="20"/>
                <w:szCs w:val="20"/>
              </w:rPr>
            </w:pPr>
            <w:r>
              <w:rPr>
                <w:rFonts w:hint="default" w:ascii="Times New Roman" w:hAnsi="Times New Roman" w:eastAsia="方正黑体简体" w:cs="Times New Roman"/>
                <w:b/>
                <w:bCs/>
                <w:color w:val="000000"/>
                <w:kern w:val="0"/>
                <w:sz w:val="20"/>
                <w:szCs w:val="20"/>
              </w:rPr>
              <w:t>实施</w:t>
            </w:r>
          </w:p>
          <w:p>
            <w:pPr>
              <w:spacing w:line="280" w:lineRule="exact"/>
              <w:jc w:val="center"/>
              <w:rPr>
                <w:rFonts w:hint="default" w:ascii="Times New Roman" w:hAnsi="Times New Roman" w:eastAsia="方正黑体简体" w:cs="Times New Roman"/>
                <w:b/>
                <w:bCs/>
                <w:color w:val="000000"/>
                <w:kern w:val="0"/>
                <w:sz w:val="20"/>
                <w:szCs w:val="20"/>
              </w:rPr>
            </w:pPr>
            <w:r>
              <w:rPr>
                <w:rFonts w:hint="default" w:ascii="Times New Roman" w:hAnsi="Times New Roman" w:eastAsia="方正黑体简体" w:cs="Times New Roman"/>
                <w:b/>
                <w:bCs/>
                <w:color w:val="000000"/>
                <w:kern w:val="0"/>
                <w:sz w:val="20"/>
                <w:szCs w:val="20"/>
              </w:rPr>
              <w:t>权限</w:t>
            </w:r>
          </w:p>
        </w:tc>
        <w:tc>
          <w:tcPr>
            <w:tcW w:w="1950" w:type="dxa"/>
            <w:shd w:val="clear" w:color="auto" w:fill="FFFFFF"/>
            <w:noWrap w:val="0"/>
            <w:vAlign w:val="center"/>
          </w:tcPr>
          <w:p>
            <w:pPr>
              <w:spacing w:line="280" w:lineRule="exact"/>
              <w:jc w:val="center"/>
              <w:rPr>
                <w:rFonts w:hint="default" w:ascii="Times New Roman" w:hAnsi="Times New Roman" w:eastAsia="方正黑体简体" w:cs="Times New Roman"/>
                <w:b/>
                <w:bCs/>
                <w:color w:val="000000"/>
                <w:kern w:val="0"/>
                <w:sz w:val="20"/>
                <w:szCs w:val="20"/>
              </w:rPr>
            </w:pPr>
            <w:r>
              <w:rPr>
                <w:rFonts w:hint="default" w:ascii="Times New Roman" w:hAnsi="Times New Roman" w:eastAsia="方正黑体简体" w:cs="Times New Roman"/>
                <w:b/>
                <w:bCs/>
                <w:color w:val="000000"/>
                <w:kern w:val="0"/>
                <w:sz w:val="20"/>
                <w:szCs w:val="20"/>
              </w:rPr>
              <w:t>对应责任事项</w:t>
            </w:r>
          </w:p>
        </w:tc>
        <w:tc>
          <w:tcPr>
            <w:tcW w:w="1561" w:type="dxa"/>
            <w:shd w:val="clear" w:color="auto" w:fill="FFFFFF"/>
            <w:noWrap w:val="0"/>
            <w:vAlign w:val="center"/>
          </w:tcPr>
          <w:p>
            <w:pPr>
              <w:spacing w:line="280" w:lineRule="exact"/>
              <w:jc w:val="center"/>
              <w:rPr>
                <w:rFonts w:hint="default" w:ascii="Times New Roman" w:hAnsi="Times New Roman" w:eastAsia="方正黑体简体" w:cs="Times New Roman"/>
                <w:b/>
                <w:bCs/>
                <w:color w:val="000000"/>
                <w:kern w:val="0"/>
                <w:sz w:val="20"/>
                <w:szCs w:val="20"/>
              </w:rPr>
            </w:pPr>
            <w:r>
              <w:rPr>
                <w:rFonts w:hint="default" w:ascii="Times New Roman" w:hAnsi="Times New Roman" w:eastAsia="方正黑体简体" w:cs="Times New Roman"/>
                <w:b/>
                <w:bCs/>
                <w:color w:val="000000"/>
                <w:kern w:val="0"/>
                <w:sz w:val="20"/>
                <w:szCs w:val="20"/>
              </w:rPr>
              <w:t>追责情形</w:t>
            </w:r>
          </w:p>
          <w:p>
            <w:pPr>
              <w:spacing w:line="280" w:lineRule="exact"/>
              <w:jc w:val="center"/>
              <w:rPr>
                <w:rFonts w:hint="default" w:ascii="Times New Roman" w:hAnsi="Times New Roman" w:eastAsia="方正黑体简体" w:cs="Times New Roman"/>
                <w:b/>
                <w:bCs/>
                <w:color w:val="000000"/>
                <w:kern w:val="0"/>
                <w:sz w:val="20"/>
                <w:szCs w:val="20"/>
              </w:rPr>
            </w:pPr>
            <w:r>
              <w:rPr>
                <w:rFonts w:hint="default" w:ascii="Times New Roman" w:hAnsi="Times New Roman" w:eastAsia="方正黑体简体" w:cs="Times New Roman"/>
                <w:b/>
                <w:bCs/>
                <w:color w:val="000000"/>
                <w:kern w:val="0"/>
                <w:sz w:val="20"/>
                <w:szCs w:val="20"/>
              </w:rPr>
              <w:t>及依据</w:t>
            </w:r>
          </w:p>
        </w:tc>
        <w:tc>
          <w:tcPr>
            <w:tcW w:w="320" w:type="dxa"/>
            <w:shd w:val="clear" w:color="auto" w:fill="FFFFFF"/>
            <w:noWrap w:val="0"/>
            <w:vAlign w:val="center"/>
          </w:tcPr>
          <w:p>
            <w:pPr>
              <w:spacing w:line="280" w:lineRule="exact"/>
              <w:jc w:val="center"/>
              <w:rPr>
                <w:rFonts w:hint="default" w:ascii="Times New Roman" w:hAnsi="Times New Roman" w:eastAsia="方正黑体简体" w:cs="Times New Roman"/>
                <w:b/>
                <w:bCs/>
                <w:color w:val="000000"/>
                <w:kern w:val="0"/>
                <w:sz w:val="20"/>
                <w:szCs w:val="20"/>
              </w:rPr>
            </w:pPr>
            <w:r>
              <w:rPr>
                <w:rFonts w:hint="default" w:ascii="Times New Roman" w:hAnsi="Times New Roman" w:eastAsia="方正黑体简体" w:cs="Times New Roman"/>
                <w:b/>
                <w:bCs/>
                <w:color w:val="000000"/>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trPr>
        <w:tc>
          <w:tcPr>
            <w:tcW w:w="497" w:type="dxa"/>
            <w:shd w:val="clear" w:color="auto" w:fill="FFFFFF"/>
            <w:noWrap w:val="0"/>
            <w:vAlign w:val="center"/>
          </w:tcPr>
          <w:p>
            <w:pPr>
              <w:spacing w:line="280" w:lineRule="exact"/>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1</w:t>
            </w:r>
          </w:p>
        </w:tc>
        <w:tc>
          <w:tcPr>
            <w:tcW w:w="764" w:type="dxa"/>
            <w:shd w:val="clear" w:color="auto" w:fill="FFFFFF"/>
            <w:noWrap w:val="0"/>
            <w:vAlign w:val="center"/>
          </w:tcPr>
          <w:p>
            <w:pPr>
              <w:spacing w:line="280" w:lineRule="exac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济宁市医疗保障局</w:t>
            </w:r>
          </w:p>
        </w:tc>
        <w:tc>
          <w:tcPr>
            <w:tcW w:w="1287" w:type="dxa"/>
            <w:shd w:val="clear" w:color="auto" w:fill="FFFFFF"/>
            <w:noWrap w:val="0"/>
            <w:vAlign w:val="center"/>
          </w:tcPr>
          <w:p>
            <w:pPr>
              <w:spacing w:line="280" w:lineRule="exac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拟定全市医疗保障基金监督管理办法并监督实施，建立健全医疗保障基金安全防控机制，建立健全医疗保障信用评价体系和信息披露制度。监督纳入医保范围内的医疗服务行为，管理纳入医保范围内的医疗费用，规范医保经办业务，组织查处医疗保障领域违规违法行为。</w:t>
            </w:r>
          </w:p>
        </w:tc>
        <w:tc>
          <w:tcPr>
            <w:tcW w:w="916" w:type="dxa"/>
            <w:shd w:val="clear" w:color="auto" w:fill="FFFFFF"/>
            <w:noWrap w:val="0"/>
            <w:vAlign w:val="center"/>
          </w:tcPr>
          <w:p>
            <w:pPr>
              <w:spacing w:line="280" w:lineRule="exac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对医疗保险经办机构以及医疗机构、药品经营单位等医疗保险服务机构以欺诈、伪造证明材料或者其他手段骗取医疗保险基金支出的处罚</w:t>
            </w:r>
          </w:p>
        </w:tc>
        <w:tc>
          <w:tcPr>
            <w:tcW w:w="1424" w:type="dxa"/>
            <w:shd w:val="clear" w:color="auto" w:fill="FFFFFF"/>
            <w:noWrap w:val="0"/>
            <w:vAlign w:val="center"/>
          </w:tcPr>
          <w:p>
            <w:pPr>
              <w:spacing w:line="280" w:lineRule="exac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3700000236009</w:t>
            </w:r>
          </w:p>
        </w:tc>
        <w:tc>
          <w:tcPr>
            <w:tcW w:w="540" w:type="dxa"/>
            <w:shd w:val="clear" w:color="auto" w:fill="FFFFFF"/>
            <w:noWrap w:val="0"/>
            <w:vAlign w:val="center"/>
          </w:tcPr>
          <w:p>
            <w:pPr>
              <w:spacing w:line="280" w:lineRule="exact"/>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行政</w:t>
            </w:r>
          </w:p>
          <w:p>
            <w:pPr>
              <w:spacing w:line="280" w:lineRule="exact"/>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处罚</w:t>
            </w:r>
          </w:p>
        </w:tc>
        <w:tc>
          <w:tcPr>
            <w:tcW w:w="311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 w:lineRule="exact"/>
              <w:textAlignment w:val="auto"/>
              <w:rPr>
                <w:rFonts w:hint="default" w:ascii="Times New Roman" w:hAnsi="Times New Roman" w:cs="Times New Roman"/>
                <w:b/>
                <w:bCs/>
                <w:color w:val="000000"/>
                <w:kern w:val="0"/>
                <w:sz w:val="20"/>
                <w:szCs w:val="20"/>
              </w:rPr>
            </w:pPr>
          </w:p>
          <w:p>
            <w:pPr>
              <w:keepNext w:val="0"/>
              <w:keepLines w:val="0"/>
              <w:pageBreakBefore w:val="0"/>
              <w:widowControl w:val="0"/>
              <w:kinsoku/>
              <w:wordWrap/>
              <w:overflowPunct/>
              <w:topLinePunct w:val="0"/>
              <w:autoSpaceDE/>
              <w:autoSpaceDN/>
              <w:bidi w:val="0"/>
              <w:adjustRightInd/>
              <w:snapToGrid/>
              <w:spacing w:line="40" w:lineRule="exact"/>
              <w:textAlignment w:val="auto"/>
              <w:rPr>
                <w:rFonts w:hint="default" w:ascii="Times New Roman" w:hAnsi="Times New Roman" w:cs="Times New Roman"/>
                <w:b/>
                <w:bCs/>
                <w:color w:val="000000"/>
                <w:kern w:val="0"/>
                <w:sz w:val="20"/>
                <w:szCs w:val="20"/>
              </w:rPr>
            </w:pPr>
          </w:p>
          <w:p>
            <w:pPr>
              <w:keepNext w:val="0"/>
              <w:keepLines w:val="0"/>
              <w:pageBreakBefore w:val="0"/>
              <w:widowControl w:val="0"/>
              <w:kinsoku/>
              <w:wordWrap/>
              <w:overflowPunct/>
              <w:topLinePunct w:val="0"/>
              <w:autoSpaceDE/>
              <w:autoSpaceDN/>
              <w:bidi w:val="0"/>
              <w:adjustRightInd/>
              <w:snapToGrid/>
              <w:spacing w:line="40" w:lineRule="exact"/>
              <w:textAlignment w:val="auto"/>
              <w:rPr>
                <w:rFonts w:hint="default" w:ascii="Times New Roman" w:hAnsi="Times New Roman" w:cs="Times New Roman"/>
                <w:b/>
                <w:bCs/>
                <w:color w:val="000000"/>
                <w:kern w:val="0"/>
                <w:sz w:val="20"/>
                <w:szCs w:val="20"/>
              </w:rPr>
            </w:pPr>
          </w:p>
          <w:p>
            <w:pPr>
              <w:keepNext w:val="0"/>
              <w:keepLines w:val="0"/>
              <w:pageBreakBefore w:val="0"/>
              <w:widowControl w:val="0"/>
              <w:kinsoku/>
              <w:wordWrap/>
              <w:overflowPunct/>
              <w:topLinePunct w:val="0"/>
              <w:autoSpaceDE/>
              <w:autoSpaceDN/>
              <w:bidi w:val="0"/>
              <w:adjustRightInd/>
              <w:snapToGrid/>
              <w:spacing w:line="40" w:lineRule="exact"/>
              <w:textAlignment w:val="auto"/>
              <w:rPr>
                <w:rFonts w:hint="default" w:ascii="Times New Roman" w:hAnsi="Times New Roman" w:cs="Times New Roman"/>
                <w:b/>
                <w:bCs/>
                <w:color w:val="000000"/>
                <w:kern w:val="0"/>
                <w:sz w:val="20"/>
                <w:szCs w:val="20"/>
              </w:rPr>
            </w:pPr>
          </w:p>
          <w:p>
            <w:pPr>
              <w:keepNext w:val="0"/>
              <w:keepLines w:val="0"/>
              <w:pageBreakBefore w:val="0"/>
              <w:widowControl w:val="0"/>
              <w:kinsoku/>
              <w:wordWrap/>
              <w:overflowPunct/>
              <w:topLinePunct w:val="0"/>
              <w:autoSpaceDE/>
              <w:autoSpaceDN/>
              <w:bidi w:val="0"/>
              <w:adjustRightInd/>
              <w:snapToGrid/>
              <w:spacing w:line="40" w:lineRule="exact"/>
              <w:textAlignment w:val="auto"/>
              <w:rPr>
                <w:rFonts w:hint="default" w:ascii="Times New Roman" w:hAnsi="Times New Roman" w:cs="Times New Roman"/>
                <w:b/>
                <w:bCs/>
                <w:color w:val="000000"/>
                <w:kern w:val="0"/>
                <w:sz w:val="20"/>
                <w:szCs w:val="20"/>
              </w:rPr>
            </w:pPr>
          </w:p>
          <w:p>
            <w:pPr>
              <w:keepNext w:val="0"/>
              <w:keepLines w:val="0"/>
              <w:pageBreakBefore w:val="0"/>
              <w:widowControl w:val="0"/>
              <w:kinsoku/>
              <w:wordWrap/>
              <w:overflowPunct/>
              <w:topLinePunct w:val="0"/>
              <w:autoSpaceDE/>
              <w:autoSpaceDN/>
              <w:bidi w:val="0"/>
              <w:adjustRightInd/>
              <w:snapToGrid/>
              <w:spacing w:line="40" w:lineRule="exact"/>
              <w:textAlignment w:val="auto"/>
              <w:rPr>
                <w:rFonts w:hint="default" w:ascii="Times New Roman" w:hAnsi="Times New Roman" w:cs="Times New Roman"/>
                <w:b/>
                <w:bCs/>
                <w:color w:val="000000"/>
                <w:kern w:val="0"/>
                <w:sz w:val="20"/>
                <w:szCs w:val="20"/>
              </w:rPr>
            </w:pPr>
          </w:p>
          <w:p>
            <w:pPr>
              <w:keepNext w:val="0"/>
              <w:keepLines w:val="0"/>
              <w:pageBreakBefore w:val="0"/>
              <w:widowControl w:val="0"/>
              <w:kinsoku/>
              <w:wordWrap/>
              <w:overflowPunct/>
              <w:topLinePunct w:val="0"/>
              <w:autoSpaceDE/>
              <w:autoSpaceDN/>
              <w:bidi w:val="0"/>
              <w:adjustRightInd/>
              <w:snapToGrid/>
              <w:spacing w:line="40" w:lineRule="exact"/>
              <w:textAlignment w:val="auto"/>
              <w:rPr>
                <w:rFonts w:hint="default" w:ascii="Times New Roman" w:hAnsi="Times New Roman" w:cs="Times New Roman"/>
                <w:b/>
                <w:bCs/>
                <w:color w:val="000000"/>
                <w:kern w:val="0"/>
                <w:sz w:val="20"/>
                <w:szCs w:val="20"/>
              </w:rPr>
            </w:pPr>
          </w:p>
          <w:p>
            <w:pPr>
              <w:keepNext w:val="0"/>
              <w:keepLines w:val="0"/>
              <w:pageBreakBefore w:val="0"/>
              <w:widowControl w:val="0"/>
              <w:kinsoku/>
              <w:wordWrap/>
              <w:overflowPunct/>
              <w:topLinePunct w:val="0"/>
              <w:autoSpaceDE/>
              <w:autoSpaceDN/>
              <w:bidi w:val="0"/>
              <w:adjustRightInd/>
              <w:snapToGrid/>
              <w:spacing w:line="40" w:lineRule="exact"/>
              <w:textAlignment w:val="auto"/>
              <w:rPr>
                <w:rFonts w:hint="default" w:ascii="Times New Roman" w:hAnsi="Times New Roman" w:cs="Times New Roman"/>
                <w:b/>
                <w:bCs/>
                <w:color w:val="000000"/>
                <w:kern w:val="0"/>
                <w:sz w:val="20"/>
                <w:szCs w:val="20"/>
              </w:rPr>
            </w:pPr>
          </w:p>
          <w:p>
            <w:pPr>
              <w:keepNext w:val="0"/>
              <w:keepLines w:val="0"/>
              <w:pageBreakBefore w:val="0"/>
              <w:widowControl w:val="0"/>
              <w:kinsoku/>
              <w:wordWrap/>
              <w:overflowPunct/>
              <w:topLinePunct w:val="0"/>
              <w:autoSpaceDE/>
              <w:autoSpaceDN/>
              <w:bidi w:val="0"/>
              <w:adjustRightInd/>
              <w:snapToGrid/>
              <w:spacing w:line="40" w:lineRule="exact"/>
              <w:textAlignment w:val="auto"/>
              <w:rPr>
                <w:rFonts w:hint="default" w:ascii="Times New Roman" w:hAnsi="Times New Roman" w:cs="Times New Roman"/>
                <w:b/>
                <w:bCs/>
                <w:color w:val="000000"/>
                <w:kern w:val="0"/>
                <w:sz w:val="20"/>
                <w:szCs w:val="20"/>
              </w:rPr>
            </w:pPr>
          </w:p>
          <w:p>
            <w:pPr>
              <w:keepNext w:val="0"/>
              <w:keepLines w:val="0"/>
              <w:pageBreakBefore w:val="0"/>
              <w:widowControl w:val="0"/>
              <w:kinsoku/>
              <w:wordWrap/>
              <w:overflowPunct/>
              <w:topLinePunct w:val="0"/>
              <w:autoSpaceDE/>
              <w:autoSpaceDN/>
              <w:bidi w:val="0"/>
              <w:adjustRightInd/>
              <w:snapToGrid/>
              <w:spacing w:line="40" w:lineRule="exact"/>
              <w:textAlignment w:val="auto"/>
              <w:rPr>
                <w:rFonts w:hint="default" w:ascii="Times New Roman" w:hAnsi="Times New Roman" w:cs="Times New Roman"/>
                <w:b/>
                <w:bCs/>
                <w:color w:val="000000"/>
                <w:kern w:val="0"/>
                <w:sz w:val="20"/>
                <w:szCs w:val="20"/>
              </w:rPr>
            </w:pPr>
          </w:p>
          <w:p>
            <w:pPr>
              <w:keepNext w:val="0"/>
              <w:keepLines w:val="0"/>
              <w:pageBreakBefore w:val="0"/>
              <w:widowControl w:val="0"/>
              <w:kinsoku/>
              <w:wordWrap/>
              <w:overflowPunct/>
              <w:topLinePunct w:val="0"/>
              <w:autoSpaceDE/>
              <w:autoSpaceDN/>
              <w:bidi w:val="0"/>
              <w:adjustRightInd/>
              <w:snapToGrid/>
              <w:spacing w:line="40" w:lineRule="exact"/>
              <w:textAlignment w:val="auto"/>
              <w:rPr>
                <w:rFonts w:hint="default" w:ascii="Times New Roman" w:hAnsi="Times New Roman" w:cs="Times New Roman"/>
                <w:b/>
                <w:bCs/>
                <w:color w:val="000000"/>
                <w:kern w:val="0"/>
                <w:sz w:val="20"/>
                <w:szCs w:val="20"/>
              </w:rPr>
            </w:pPr>
          </w:p>
          <w:p>
            <w:pPr>
              <w:spacing w:line="280" w:lineRule="exac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1.【法律】《社会保险法》（2018年12月修改）第八十七条：社会保险经办机构以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2.【法律】《基本医疗卫生与健康促进法》（2019年12月通过）第一百零四条：违反本法规定，以欺诈、伪造证明材料或者其他手段骗取基本医疗保险待遇，或者基本医疗保险经办机构以及医疗机构、药品经营单位等以欺诈、伪造证明材料或者其他手段骗取基本医疗保险基金支出的，由县级以上人民政府医疗保障主管部门依照有关社会保险的法律、行政法规规定给予行政处罚。</w:t>
            </w:r>
          </w:p>
          <w:p>
            <w:pPr>
              <w:spacing w:line="280" w:lineRule="exact"/>
              <w:rPr>
                <w:rFonts w:hint="default" w:ascii="Times New Roman" w:hAnsi="Times New Roman" w:cs="Times New Roman"/>
                <w:b/>
                <w:bCs/>
                <w:color w:val="000000"/>
                <w:kern w:val="0"/>
                <w:sz w:val="20"/>
                <w:szCs w:val="20"/>
              </w:rPr>
            </w:pPr>
          </w:p>
          <w:p>
            <w:pPr>
              <w:keepNext w:val="0"/>
              <w:keepLines w:val="0"/>
              <w:pageBreakBefore w:val="0"/>
              <w:widowControl w:val="0"/>
              <w:kinsoku/>
              <w:wordWrap/>
              <w:overflowPunct/>
              <w:topLinePunct w:val="0"/>
              <w:autoSpaceDE/>
              <w:autoSpaceDN/>
              <w:bidi w:val="0"/>
              <w:adjustRightInd/>
              <w:snapToGrid/>
              <w:spacing w:line="40" w:lineRule="exact"/>
              <w:textAlignment w:val="auto"/>
              <w:rPr>
                <w:rFonts w:hint="default" w:ascii="Times New Roman" w:hAnsi="Times New Roman" w:cs="Times New Roman"/>
                <w:b/>
                <w:bCs/>
                <w:color w:val="000000"/>
                <w:kern w:val="0"/>
                <w:sz w:val="20"/>
                <w:szCs w:val="20"/>
              </w:rPr>
            </w:pPr>
          </w:p>
          <w:p>
            <w:pPr>
              <w:keepNext w:val="0"/>
              <w:keepLines w:val="0"/>
              <w:pageBreakBefore w:val="0"/>
              <w:widowControl w:val="0"/>
              <w:kinsoku/>
              <w:wordWrap/>
              <w:overflowPunct/>
              <w:topLinePunct w:val="0"/>
              <w:autoSpaceDE/>
              <w:autoSpaceDN/>
              <w:bidi w:val="0"/>
              <w:adjustRightInd/>
              <w:snapToGrid/>
              <w:spacing w:line="40" w:lineRule="exact"/>
              <w:textAlignment w:val="auto"/>
              <w:rPr>
                <w:rFonts w:hint="default" w:ascii="Times New Roman" w:hAnsi="Times New Roman" w:cs="Times New Roman"/>
                <w:b/>
                <w:bCs/>
                <w:color w:val="000000"/>
                <w:kern w:val="0"/>
                <w:sz w:val="20"/>
                <w:szCs w:val="20"/>
              </w:rPr>
            </w:pPr>
          </w:p>
          <w:p>
            <w:pPr>
              <w:keepNext w:val="0"/>
              <w:keepLines w:val="0"/>
              <w:pageBreakBefore w:val="0"/>
              <w:widowControl w:val="0"/>
              <w:kinsoku/>
              <w:wordWrap/>
              <w:overflowPunct/>
              <w:topLinePunct w:val="0"/>
              <w:autoSpaceDE/>
              <w:autoSpaceDN/>
              <w:bidi w:val="0"/>
              <w:adjustRightInd/>
              <w:snapToGrid/>
              <w:spacing w:line="40" w:lineRule="exact"/>
              <w:textAlignment w:val="auto"/>
              <w:rPr>
                <w:rFonts w:hint="default" w:ascii="Times New Roman" w:hAnsi="Times New Roman" w:cs="Times New Roman"/>
                <w:b/>
                <w:bCs/>
                <w:color w:val="000000"/>
                <w:kern w:val="0"/>
                <w:sz w:val="20"/>
                <w:szCs w:val="20"/>
              </w:rPr>
            </w:pPr>
          </w:p>
          <w:p>
            <w:pPr>
              <w:keepNext w:val="0"/>
              <w:keepLines w:val="0"/>
              <w:pageBreakBefore w:val="0"/>
              <w:widowControl w:val="0"/>
              <w:kinsoku/>
              <w:wordWrap/>
              <w:overflowPunct/>
              <w:topLinePunct w:val="0"/>
              <w:autoSpaceDE/>
              <w:autoSpaceDN/>
              <w:bidi w:val="0"/>
              <w:adjustRightInd/>
              <w:snapToGrid/>
              <w:spacing w:line="40" w:lineRule="exact"/>
              <w:textAlignment w:val="auto"/>
              <w:rPr>
                <w:rFonts w:hint="default" w:ascii="Times New Roman" w:hAnsi="Times New Roman" w:cs="Times New Roman"/>
                <w:b/>
                <w:bCs/>
                <w:color w:val="000000"/>
                <w:kern w:val="0"/>
                <w:sz w:val="20"/>
                <w:szCs w:val="20"/>
              </w:rPr>
            </w:pPr>
          </w:p>
          <w:p>
            <w:pPr>
              <w:keepNext w:val="0"/>
              <w:keepLines w:val="0"/>
              <w:pageBreakBefore w:val="0"/>
              <w:widowControl w:val="0"/>
              <w:kinsoku/>
              <w:wordWrap/>
              <w:overflowPunct/>
              <w:topLinePunct w:val="0"/>
              <w:autoSpaceDE/>
              <w:autoSpaceDN/>
              <w:bidi w:val="0"/>
              <w:adjustRightInd/>
              <w:snapToGrid/>
              <w:spacing w:line="40" w:lineRule="exact"/>
              <w:textAlignment w:val="auto"/>
              <w:rPr>
                <w:rFonts w:hint="default" w:ascii="Times New Roman" w:hAnsi="Times New Roman" w:cs="Times New Roman"/>
                <w:b/>
                <w:bCs/>
                <w:color w:val="000000"/>
                <w:kern w:val="0"/>
                <w:sz w:val="20"/>
                <w:szCs w:val="20"/>
              </w:rPr>
            </w:pPr>
          </w:p>
          <w:p>
            <w:pPr>
              <w:keepNext w:val="0"/>
              <w:keepLines w:val="0"/>
              <w:pageBreakBefore w:val="0"/>
              <w:widowControl w:val="0"/>
              <w:kinsoku/>
              <w:wordWrap/>
              <w:overflowPunct/>
              <w:topLinePunct w:val="0"/>
              <w:autoSpaceDE/>
              <w:autoSpaceDN/>
              <w:bidi w:val="0"/>
              <w:adjustRightInd/>
              <w:snapToGrid/>
              <w:spacing w:line="40" w:lineRule="exact"/>
              <w:textAlignment w:val="auto"/>
              <w:rPr>
                <w:rFonts w:hint="default" w:ascii="Times New Roman" w:hAnsi="Times New Roman" w:cs="Times New Roman"/>
                <w:b/>
                <w:bCs/>
                <w:color w:val="000000"/>
                <w:kern w:val="0"/>
                <w:sz w:val="20"/>
                <w:szCs w:val="20"/>
              </w:rPr>
            </w:pPr>
          </w:p>
        </w:tc>
        <w:tc>
          <w:tcPr>
            <w:tcW w:w="603" w:type="dxa"/>
            <w:shd w:val="clear" w:color="auto" w:fill="FFFFFF"/>
            <w:noWrap w:val="0"/>
            <w:vAlign w:val="center"/>
          </w:tcPr>
          <w:p>
            <w:pPr>
              <w:spacing w:line="280" w:lineRule="exact"/>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市</w:t>
            </w:r>
          </w:p>
        </w:tc>
        <w:tc>
          <w:tcPr>
            <w:tcW w:w="704" w:type="dxa"/>
            <w:shd w:val="clear" w:color="auto" w:fill="FFFFFF"/>
            <w:noWrap w:val="0"/>
            <w:vAlign w:val="center"/>
          </w:tcPr>
          <w:p>
            <w:pPr>
              <w:spacing w:line="280" w:lineRule="exac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按照属地管理原则，负责实施上级部门转办、本系统跨区域以及涉及全市定点医药机构、经办机构欺诈骗保行为的相关处罚</w:t>
            </w:r>
          </w:p>
        </w:tc>
        <w:tc>
          <w:tcPr>
            <w:tcW w:w="195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直接实施责任:</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1.执行省级制定的行政处罚标准规范，也可结合本地实际，细化、量化行政处罚裁量基准的具体标准。建立健全对行政处罚的监督制度。</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2.依法依规实施本级行政处罚事项，做出的行政处罚决定应当予以公开。</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3.对省医疗保障部门交办、本系统跨区域以及涉及全市定点医药机构、经办机构的欺诈骗保案件中相关单位和个人实施行政处罚。</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指导监督责任:</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4.加强对县级医保行政主管部门在执法实践中适用自由裁量基准的指导和监督检查。</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5.对本系</w:t>
            </w:r>
            <w:r>
              <w:rPr>
                <w:rFonts w:hint="default" w:ascii="Times New Roman" w:hAnsi="Times New Roman" w:cs="Times New Roman"/>
                <w:b/>
                <w:bCs/>
                <w:color w:val="000000"/>
                <w:kern w:val="0"/>
                <w:sz w:val="20"/>
              </w:rPr>
              <w:t>统行政处罚事项实施情况进行指导监督。</w:t>
            </w:r>
          </w:p>
        </w:tc>
        <w:tc>
          <w:tcPr>
            <w:tcW w:w="1561" w:type="dxa"/>
            <w:shd w:val="clear" w:color="auto" w:fill="FFFFFF"/>
            <w:noWrap w:val="0"/>
            <w:vAlign w:val="center"/>
          </w:tcPr>
          <w:p>
            <w:pPr>
              <w:spacing w:line="280" w:lineRule="exact"/>
              <w:rPr>
                <w:rFonts w:hint="default" w:ascii="Times New Roman" w:hAnsi="Times New Roman" w:cs="Times New Roman"/>
                <w:b/>
                <w:bCs/>
                <w:color w:val="000000"/>
                <w:kern w:val="0"/>
                <w:sz w:val="18"/>
                <w:szCs w:val="18"/>
              </w:rPr>
            </w:pPr>
            <w:r>
              <w:rPr>
                <w:rFonts w:hint="default" w:ascii="Times New Roman" w:hAnsi="Times New Roman" w:cs="Times New Roman"/>
                <w:b/>
                <w:bCs/>
                <w:color w:val="000000"/>
                <w:kern w:val="0"/>
                <w:sz w:val="18"/>
                <w:szCs w:val="18"/>
              </w:rPr>
              <w:t>1</w:t>
            </w:r>
            <w:r>
              <w:rPr>
                <w:rFonts w:hint="default" w:ascii="Times New Roman" w:hAnsi="Times New Roman" w:cs="Times New Roman"/>
                <w:b/>
                <w:bCs/>
                <w:color w:val="000000"/>
                <w:kern w:val="0"/>
                <w:sz w:val="20"/>
                <w:szCs w:val="20"/>
              </w:rPr>
              <w:t>.【法律】《社会保险法》（2018年12月修改）第九十三条：　国家工作人员在社会保险管理、监督工作中滥用职权、玩忽职守、徇私舞弊的，依法给予处分。</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2.【法律】《监察法》（2018年3月通过）规定的追责情形。</w:t>
            </w:r>
          </w:p>
        </w:tc>
        <w:tc>
          <w:tcPr>
            <w:tcW w:w="320" w:type="dxa"/>
            <w:shd w:val="clear" w:color="auto" w:fill="FFFFFF"/>
            <w:noWrap w:val="0"/>
            <w:vAlign w:val="center"/>
          </w:tcPr>
          <w:p>
            <w:pPr>
              <w:spacing w:line="280" w:lineRule="exact"/>
              <w:jc w:val="center"/>
              <w:rPr>
                <w:rFonts w:hint="default" w:ascii="Times New Roman" w:hAnsi="Times New Roman" w:cs="Times New Roman"/>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035" w:hRule="atLeast"/>
        </w:trPr>
        <w:tc>
          <w:tcPr>
            <w:tcW w:w="497" w:type="dxa"/>
            <w:shd w:val="clear" w:color="auto" w:fill="FFFFFF"/>
            <w:noWrap w:val="0"/>
            <w:vAlign w:val="center"/>
          </w:tcPr>
          <w:p>
            <w:pPr>
              <w:spacing w:line="280" w:lineRule="exact"/>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2</w:t>
            </w:r>
          </w:p>
        </w:tc>
        <w:tc>
          <w:tcPr>
            <w:tcW w:w="764" w:type="dxa"/>
            <w:shd w:val="clear" w:color="auto" w:fill="FFFFFF"/>
            <w:noWrap w:val="0"/>
            <w:vAlign w:val="center"/>
          </w:tcPr>
          <w:p>
            <w:pPr>
              <w:spacing w:line="280" w:lineRule="exac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济宁市医疗保障局</w:t>
            </w:r>
          </w:p>
        </w:tc>
        <w:tc>
          <w:tcPr>
            <w:tcW w:w="1287" w:type="dxa"/>
            <w:shd w:val="clear" w:color="auto" w:fill="FFFFFF"/>
            <w:noWrap w:val="0"/>
            <w:vAlign w:val="center"/>
          </w:tcPr>
          <w:p>
            <w:pPr>
              <w:spacing w:line="280" w:lineRule="exac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拟定全市医疗保障基金监督管理办法并监督实施，建立健全医疗保障基金安全防控机制，建立健全医疗保障信用评价体系和信息披露制度。监督纳入医保范围内的医疗服务行为，管理纳入医保范围内的医疗费用，规范医保经办业务，组织查处医疗保障领域违规违法行为。</w:t>
            </w:r>
          </w:p>
        </w:tc>
        <w:tc>
          <w:tcPr>
            <w:tcW w:w="916" w:type="dxa"/>
            <w:shd w:val="clear" w:color="auto" w:fill="FFFFFF"/>
            <w:noWrap w:val="0"/>
            <w:vAlign w:val="center"/>
          </w:tcPr>
          <w:p>
            <w:pPr>
              <w:spacing w:line="280" w:lineRule="exac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对以欺诈、伪造证明材料或者其他手段骗取医疗保险、生育保险待遇的处罚</w:t>
            </w:r>
          </w:p>
        </w:tc>
        <w:tc>
          <w:tcPr>
            <w:tcW w:w="1424" w:type="dxa"/>
            <w:shd w:val="clear" w:color="auto" w:fill="FFFFFF"/>
            <w:noWrap w:val="0"/>
            <w:vAlign w:val="center"/>
          </w:tcPr>
          <w:p>
            <w:pPr>
              <w:spacing w:line="280" w:lineRule="exac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3700000236010</w:t>
            </w:r>
          </w:p>
        </w:tc>
        <w:tc>
          <w:tcPr>
            <w:tcW w:w="540" w:type="dxa"/>
            <w:shd w:val="clear" w:color="auto" w:fill="FFFFFF"/>
            <w:noWrap w:val="0"/>
            <w:vAlign w:val="center"/>
          </w:tcPr>
          <w:p>
            <w:pPr>
              <w:spacing w:line="280" w:lineRule="exact"/>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行政</w:t>
            </w:r>
          </w:p>
          <w:p>
            <w:pPr>
              <w:spacing w:line="280" w:lineRule="exact"/>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处罚</w:t>
            </w:r>
          </w:p>
        </w:tc>
        <w:tc>
          <w:tcPr>
            <w:tcW w:w="3115" w:type="dxa"/>
            <w:shd w:val="clear" w:color="auto" w:fill="FFFFFF"/>
            <w:noWrap w:val="0"/>
            <w:vAlign w:val="center"/>
          </w:tcPr>
          <w:p>
            <w:pPr>
              <w:spacing w:line="280" w:lineRule="exac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1.【法律】《社会保险法》（2018年12月修改） 第八十八条：以欺诈、伪造证明材料或者其他手段骗取社会保险待遇的，由社会保险行政部门责令退回骗取的社会保险金，处骗取金额二倍以上五倍以下的罚款。</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2.【法律】《基本医疗卫生与健康促进法》（2019年12月通过）第一百零四条：违反本法规定，以欺诈、伪造证明材料或者其他手段骗取基本医疗保险待遇，或者基本医疗保险经办机构以及医疗机构、药品经营单位等以欺诈、伪造证明材料或者其他手段骗取基本医疗保险基金支出的，由县级以上人民政府医疗保障主管部门依照有关社会保险的法律、行政法规规定给予行政处罚。</w:t>
            </w:r>
          </w:p>
        </w:tc>
        <w:tc>
          <w:tcPr>
            <w:tcW w:w="603" w:type="dxa"/>
            <w:shd w:val="clear" w:color="auto" w:fill="FFFFFF"/>
            <w:noWrap w:val="0"/>
            <w:vAlign w:val="center"/>
          </w:tcPr>
          <w:p>
            <w:pPr>
              <w:spacing w:line="280" w:lineRule="exact"/>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市</w:t>
            </w:r>
          </w:p>
        </w:tc>
        <w:tc>
          <w:tcPr>
            <w:tcW w:w="704" w:type="dxa"/>
            <w:shd w:val="clear" w:color="auto" w:fill="FFFFFF"/>
            <w:noWrap w:val="0"/>
            <w:vAlign w:val="center"/>
          </w:tcPr>
          <w:p>
            <w:pPr>
              <w:spacing w:line="280" w:lineRule="exac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按照属地管理原则，负责实施上级部门转办、本系统跨区域以及涉及全市单位参保人员欺诈骗保行为的相关处罚</w:t>
            </w:r>
          </w:p>
        </w:tc>
        <w:tc>
          <w:tcPr>
            <w:tcW w:w="1950" w:type="dxa"/>
            <w:shd w:val="clear" w:color="auto" w:fill="FFFFFF"/>
            <w:noWrap w:val="0"/>
            <w:vAlign w:val="center"/>
          </w:tcPr>
          <w:p>
            <w:pPr>
              <w:spacing w:line="280" w:lineRule="exac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直接实施责任</w:t>
            </w:r>
            <w:r>
              <w:rPr>
                <w:rFonts w:hint="default" w:ascii="Times New Roman" w:hAnsi="Times New Roman" w:cs="Times New Roman"/>
                <w:b/>
                <w:bCs/>
                <w:color w:val="000000"/>
                <w:kern w:val="0"/>
                <w:sz w:val="20"/>
              </w:rPr>
              <w:t>:</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rPr>
              <w:t>1.执行省级制定的行政处罚标准规范，也可结合本地实际，细化、量化行政处罚裁量基准的具体标准。建立健全对行政处罚的监督制度。</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rPr>
              <w:t>2.依法依规实施本级行政处罚事项，做出的行政处罚决定应当予以公开。</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rPr>
              <w:t>3.对省医疗保障部门交办、本系统跨区域以及涉及全市单位参保人员的欺诈骗保案件中相关单位和个人实施行政处罚。</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rPr>
              <w:t>指导监督责任:</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rPr>
              <w:t>4.加强对县级医保行政主管部门在执法实践中适用自由裁量基准的指导和监督检查。</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rPr>
              <w:t>5.对本系统行政处罚事项实施情况进行指导监督。</w:t>
            </w:r>
          </w:p>
        </w:tc>
        <w:tc>
          <w:tcPr>
            <w:tcW w:w="1561" w:type="dxa"/>
            <w:shd w:val="clear" w:color="auto" w:fill="FFFFFF"/>
            <w:noWrap w:val="0"/>
            <w:vAlign w:val="center"/>
          </w:tcPr>
          <w:p>
            <w:pPr>
              <w:spacing w:line="280" w:lineRule="exac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1.</w:t>
            </w:r>
            <w:r>
              <w:rPr>
                <w:rFonts w:hint="default" w:ascii="Times New Roman" w:hAnsi="Times New Roman" w:cs="Times New Roman"/>
                <w:b/>
                <w:bCs/>
                <w:color w:val="000000"/>
                <w:kern w:val="0"/>
                <w:sz w:val="20"/>
              </w:rPr>
              <w:t>【法律】《社会保险法》（2018年12月修改）第九十三条：　国家工作人员在社会保险管理、监督工作中滥用职权、玩忽职守、徇私舞弊的，依法给予处分。</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rPr>
              <w:t>2.【法律】《监察法》（2018年3月通过）规定的追责情形。</w:t>
            </w:r>
          </w:p>
        </w:tc>
        <w:tc>
          <w:tcPr>
            <w:tcW w:w="320" w:type="dxa"/>
            <w:shd w:val="clear" w:color="auto" w:fill="FFFFFF"/>
            <w:noWrap w:val="0"/>
            <w:vAlign w:val="center"/>
          </w:tcPr>
          <w:p>
            <w:pPr>
              <w:spacing w:line="280" w:lineRule="exact"/>
              <w:jc w:val="center"/>
              <w:rPr>
                <w:rFonts w:hint="default" w:ascii="Times New Roman" w:hAnsi="Times New Roman" w:cs="Times New Roman"/>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180" w:hRule="atLeast"/>
        </w:trPr>
        <w:tc>
          <w:tcPr>
            <w:tcW w:w="497" w:type="dxa"/>
            <w:shd w:val="clear" w:color="auto" w:fill="FFFFFF"/>
            <w:noWrap w:val="0"/>
            <w:vAlign w:val="center"/>
          </w:tcPr>
          <w:p>
            <w:pPr>
              <w:spacing w:line="280" w:lineRule="exact"/>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3</w:t>
            </w:r>
          </w:p>
        </w:tc>
        <w:tc>
          <w:tcPr>
            <w:tcW w:w="764" w:type="dxa"/>
            <w:shd w:val="clear" w:color="auto" w:fill="FFFFFF"/>
            <w:noWrap w:val="0"/>
            <w:vAlign w:val="center"/>
          </w:tcPr>
          <w:p>
            <w:pPr>
              <w:spacing w:line="280" w:lineRule="exac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济宁市医疗保障局</w:t>
            </w:r>
          </w:p>
        </w:tc>
        <w:tc>
          <w:tcPr>
            <w:tcW w:w="1287" w:type="dxa"/>
            <w:shd w:val="clear" w:color="auto" w:fill="FFFFFF"/>
            <w:noWrap w:val="0"/>
            <w:vAlign w:val="center"/>
          </w:tcPr>
          <w:p>
            <w:pPr>
              <w:spacing w:line="280" w:lineRule="exac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拟定全市医疗保障基金监督管理办法并监督实施，建立健全医疗保障基金安全防控机制，建立健全医疗保障信用评价体系和信息披露制度。监督纳入医保范围内的医疗服务行为，管理纳入医保范围内的医疗费用，规范医保经办业务，组织查处医疗保障领域违规违法行为。</w:t>
            </w:r>
          </w:p>
        </w:tc>
        <w:tc>
          <w:tcPr>
            <w:tcW w:w="916" w:type="dxa"/>
            <w:shd w:val="clear" w:color="auto" w:fill="FFFFFF"/>
            <w:noWrap w:val="0"/>
            <w:vAlign w:val="center"/>
          </w:tcPr>
          <w:p>
            <w:pPr>
              <w:spacing w:line="280" w:lineRule="exac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对隐匿、转移、侵占、挪用医疗保险基金或者违规投资运营的处罚</w:t>
            </w:r>
          </w:p>
        </w:tc>
        <w:tc>
          <w:tcPr>
            <w:tcW w:w="1424" w:type="dxa"/>
            <w:shd w:val="clear" w:color="auto" w:fill="FFFFFF"/>
            <w:noWrap w:val="0"/>
            <w:vAlign w:val="center"/>
          </w:tcPr>
          <w:p>
            <w:pPr>
              <w:spacing w:line="280" w:lineRule="exac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3700000236011</w:t>
            </w:r>
          </w:p>
        </w:tc>
        <w:tc>
          <w:tcPr>
            <w:tcW w:w="540" w:type="dxa"/>
            <w:shd w:val="clear" w:color="auto" w:fill="FFFFFF"/>
            <w:noWrap w:val="0"/>
            <w:vAlign w:val="center"/>
          </w:tcPr>
          <w:p>
            <w:pPr>
              <w:spacing w:line="280" w:lineRule="exact"/>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行政</w:t>
            </w:r>
          </w:p>
          <w:p>
            <w:pPr>
              <w:spacing w:line="280" w:lineRule="exact"/>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处罚</w:t>
            </w:r>
          </w:p>
        </w:tc>
        <w:tc>
          <w:tcPr>
            <w:tcW w:w="3115" w:type="dxa"/>
            <w:shd w:val="clear" w:color="auto" w:fill="FFFFFF"/>
            <w:noWrap w:val="0"/>
            <w:vAlign w:val="center"/>
          </w:tcPr>
          <w:p>
            <w:pPr>
              <w:spacing w:line="280" w:lineRule="exac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1.【法律】《社会保险法》（2018年12月修改）第九十一条： 违反本法规定，隐匿、转移、侵占、挪用社会保险基金或者违规投资运营的，由社会保险行政部门、财政部门、审计机关责令追回；有违法所得的，没收违法所得；对直接负责的主管人员和其他直接责任人员依法给予处分。</w:t>
            </w:r>
          </w:p>
        </w:tc>
        <w:tc>
          <w:tcPr>
            <w:tcW w:w="603" w:type="dxa"/>
            <w:shd w:val="clear" w:color="auto" w:fill="FFFFFF"/>
            <w:noWrap w:val="0"/>
            <w:vAlign w:val="center"/>
          </w:tcPr>
          <w:p>
            <w:pPr>
              <w:spacing w:line="280" w:lineRule="exact"/>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市</w:t>
            </w:r>
          </w:p>
        </w:tc>
        <w:tc>
          <w:tcPr>
            <w:tcW w:w="704" w:type="dxa"/>
            <w:shd w:val="clear" w:color="auto" w:fill="FFFFFF"/>
            <w:noWrap w:val="0"/>
            <w:vAlign w:val="center"/>
          </w:tcPr>
          <w:p>
            <w:pPr>
              <w:spacing w:line="280" w:lineRule="exac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按照属地管理原则，负责实施上级部门转办、本系统跨区域以及全市涉及对隐匿、转移、侵占、挪用医疗保险基金或者违规投资运营违法行为的相关处罚</w:t>
            </w:r>
          </w:p>
        </w:tc>
        <w:tc>
          <w:tcPr>
            <w:tcW w:w="1950" w:type="dxa"/>
            <w:shd w:val="clear" w:color="auto" w:fill="FFFFFF"/>
            <w:noWrap w:val="0"/>
            <w:vAlign w:val="center"/>
          </w:tcPr>
          <w:p>
            <w:pPr>
              <w:spacing w:line="280" w:lineRule="exac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直接实施责任</w:t>
            </w:r>
            <w:r>
              <w:rPr>
                <w:rFonts w:hint="default" w:ascii="Times New Roman" w:hAnsi="Times New Roman" w:cs="Times New Roman"/>
                <w:b/>
                <w:bCs/>
                <w:color w:val="000000"/>
                <w:kern w:val="0"/>
                <w:sz w:val="20"/>
              </w:rPr>
              <w:t>:</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rPr>
              <w:t>1.执行省级制定的行政处罚标准规范，也可结合本地实际，细化、量化行政处罚裁量基准的具体标准。建立健全对行政处罚的监督制度。</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rPr>
              <w:t>2.依法依规实施本级行政处罚事项，做出的行政处罚决定应当予以公开。</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rPr>
              <w:t>3.对省医疗保障部门交办、本系统跨区域以及涉及全市医疗保障经办机构的违法案件中相关单位和个人实施行政处罚。</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rPr>
              <w:t>指导监督责任:</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rPr>
              <w:t>4.加强对县级医保行政主管部门在执法实践中适用自由裁量基准的指导和监督检查。</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rPr>
              <w:t>5.对本系统行政处罚事项实施情况进行指导监督。</w:t>
            </w:r>
          </w:p>
        </w:tc>
        <w:tc>
          <w:tcPr>
            <w:tcW w:w="1561" w:type="dxa"/>
            <w:shd w:val="clear" w:color="auto" w:fill="FFFFFF"/>
            <w:noWrap w:val="0"/>
            <w:vAlign w:val="center"/>
          </w:tcPr>
          <w:p>
            <w:pPr>
              <w:spacing w:line="280" w:lineRule="exac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1.【法律】《社会保险法》（2018年12月修改）第九十三条：　国家工作人员在社会保险管理、监督工作中滥用职权、玩忽职守、徇私舞弊的，依法给予处分。</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2.【法律】《监察法》（2018年3月通过）规定的追责情形</w:t>
            </w:r>
          </w:p>
        </w:tc>
        <w:tc>
          <w:tcPr>
            <w:tcW w:w="320" w:type="dxa"/>
            <w:shd w:val="clear" w:color="auto" w:fill="FFFFFF"/>
            <w:noWrap w:val="0"/>
            <w:vAlign w:val="center"/>
          </w:tcPr>
          <w:p>
            <w:pPr>
              <w:spacing w:line="280" w:lineRule="exact"/>
              <w:jc w:val="center"/>
              <w:rPr>
                <w:rFonts w:hint="default" w:ascii="Times New Roman" w:hAnsi="Times New Roman" w:cs="Times New Roman"/>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180" w:hRule="atLeast"/>
        </w:trPr>
        <w:tc>
          <w:tcPr>
            <w:tcW w:w="497" w:type="dxa"/>
            <w:shd w:val="clear" w:color="auto" w:fill="FFFFFF"/>
            <w:noWrap w:val="0"/>
            <w:vAlign w:val="center"/>
          </w:tcPr>
          <w:p>
            <w:pPr>
              <w:spacing w:line="280" w:lineRule="exact"/>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4</w:t>
            </w:r>
          </w:p>
        </w:tc>
        <w:tc>
          <w:tcPr>
            <w:tcW w:w="764" w:type="dxa"/>
            <w:shd w:val="clear" w:color="auto" w:fill="FFFFFF"/>
            <w:noWrap w:val="0"/>
            <w:vAlign w:val="center"/>
          </w:tcPr>
          <w:p>
            <w:pPr>
              <w:spacing w:line="280" w:lineRule="exac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济宁市医疗保障局</w:t>
            </w:r>
          </w:p>
        </w:tc>
        <w:tc>
          <w:tcPr>
            <w:tcW w:w="1287" w:type="dxa"/>
            <w:shd w:val="clear" w:color="auto" w:fill="FFFFFF"/>
            <w:noWrap w:val="0"/>
            <w:vAlign w:val="center"/>
          </w:tcPr>
          <w:p>
            <w:pPr>
              <w:spacing w:line="280" w:lineRule="exac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拟定全市医疗保障基金监督管理办法并监督实施，建立健全医疗保障基金安全防控机制，建立健全医疗保障信用评价体系和信息披露制度。监督纳入医保范围内的医疗服务行为，管理纳入医保范围内的医疗费用，规范医保经办业务，组织查处医疗保障领域违规违法行为。</w:t>
            </w:r>
          </w:p>
        </w:tc>
        <w:tc>
          <w:tcPr>
            <w:tcW w:w="916" w:type="dxa"/>
            <w:shd w:val="clear" w:color="auto" w:fill="FFFFFF"/>
            <w:noWrap w:val="0"/>
            <w:vAlign w:val="center"/>
          </w:tcPr>
          <w:p>
            <w:pPr>
              <w:spacing w:line="280" w:lineRule="exac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对用人单位不办理医疗保险和生育保险登记、未按规定变更登记或注销登记以及伪造、变造登记证明的处罚</w:t>
            </w:r>
          </w:p>
        </w:tc>
        <w:tc>
          <w:tcPr>
            <w:tcW w:w="1424" w:type="dxa"/>
            <w:shd w:val="clear" w:color="auto" w:fill="FFFFFF"/>
            <w:noWrap w:val="0"/>
            <w:vAlign w:val="center"/>
          </w:tcPr>
          <w:p>
            <w:pPr>
              <w:spacing w:line="280" w:lineRule="exac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3700000236012</w:t>
            </w:r>
          </w:p>
        </w:tc>
        <w:tc>
          <w:tcPr>
            <w:tcW w:w="540" w:type="dxa"/>
            <w:shd w:val="clear" w:color="auto" w:fill="FFFFFF"/>
            <w:noWrap w:val="0"/>
            <w:vAlign w:val="center"/>
          </w:tcPr>
          <w:p>
            <w:pPr>
              <w:spacing w:line="280" w:lineRule="exact"/>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行政</w:t>
            </w:r>
          </w:p>
          <w:p>
            <w:pPr>
              <w:spacing w:line="280" w:lineRule="exact"/>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处罚</w:t>
            </w:r>
          </w:p>
        </w:tc>
        <w:tc>
          <w:tcPr>
            <w:tcW w:w="3115" w:type="dxa"/>
            <w:shd w:val="clear" w:color="auto" w:fill="FFFFFF"/>
            <w:noWrap w:val="0"/>
            <w:vAlign w:val="center"/>
          </w:tcPr>
          <w:p>
            <w:pPr>
              <w:spacing w:line="280" w:lineRule="exac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1.</w:t>
            </w:r>
            <w:r>
              <w:rPr>
                <w:rFonts w:hint="default" w:ascii="Times New Roman" w:hAnsi="Times New Roman" w:cs="Times New Roman"/>
                <w:b/>
                <w:bCs/>
                <w:color w:val="000000"/>
                <w:kern w:val="0"/>
                <w:sz w:val="20"/>
              </w:rPr>
              <w:t>【法律】《社会保险法》（2018年12月修改）第八十四条：用人单位不办理社会保险登记的，由社会保险行政部门责令限期改正；逾期不改正的，对用人单位处应缴社会保险费数额一倍以上三倍以下的罚款，对其直接负责的主管人员和其他直接责任人员处五百元以上三千元以下的罚款。</w:t>
            </w:r>
          </w:p>
        </w:tc>
        <w:tc>
          <w:tcPr>
            <w:tcW w:w="603" w:type="dxa"/>
            <w:shd w:val="clear" w:color="auto" w:fill="FFFFFF"/>
            <w:noWrap w:val="0"/>
            <w:vAlign w:val="center"/>
          </w:tcPr>
          <w:p>
            <w:pPr>
              <w:spacing w:line="280" w:lineRule="exact"/>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市</w:t>
            </w:r>
          </w:p>
        </w:tc>
        <w:tc>
          <w:tcPr>
            <w:tcW w:w="704" w:type="dxa"/>
            <w:shd w:val="clear" w:color="auto" w:fill="FFFFFF"/>
            <w:noWrap w:val="0"/>
            <w:vAlign w:val="center"/>
          </w:tcPr>
          <w:p>
            <w:pPr>
              <w:spacing w:line="280" w:lineRule="exac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按照属地管理原则，负责实施上级部门转办、本系统跨区域以及涉及全市用人单位不办理医疗保险和生育保险登记、未按规定办理变更登记或注销登记以及伪造、变造登记证明的行政处罚</w:t>
            </w:r>
          </w:p>
        </w:tc>
        <w:tc>
          <w:tcPr>
            <w:tcW w:w="1950" w:type="dxa"/>
            <w:shd w:val="clear" w:color="auto" w:fill="FFFFFF"/>
            <w:noWrap w:val="0"/>
            <w:vAlign w:val="center"/>
          </w:tcPr>
          <w:p>
            <w:pPr>
              <w:spacing w:line="280" w:lineRule="exac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直接实施责任</w:t>
            </w:r>
            <w:r>
              <w:rPr>
                <w:rFonts w:hint="default" w:ascii="Times New Roman" w:hAnsi="Times New Roman" w:cs="Times New Roman"/>
                <w:b/>
                <w:bCs/>
                <w:color w:val="000000"/>
                <w:kern w:val="0"/>
                <w:sz w:val="20"/>
              </w:rPr>
              <w:t>:</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rPr>
              <w:t>1.执行省级制定的行政处罚标准规范，也可结合本地实际，细化、量化行政处罚裁量基准的具体标准。建立健全对行政处罚的监督制度。</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rPr>
              <w:t>2.依法依规实施本级行政处罚事项，做出的行政处罚决定应当予以公开。</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rPr>
              <w:t>3.对省医疗保障部门交办、本系统跨区域以及涉及全市用人单位的违法案件中相关单位和个人实施行政处罚。</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rPr>
              <w:t>指导监督责任:</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rPr>
              <w:t>4.加强对县级医保行政主管部门在执法实践中适用自由裁量基准的指导和监督检查。</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rPr>
              <w:t>5.对本系统行政处罚事项实施情况进行指导监督。</w:t>
            </w:r>
          </w:p>
        </w:tc>
        <w:tc>
          <w:tcPr>
            <w:tcW w:w="1561" w:type="dxa"/>
            <w:shd w:val="clear" w:color="auto" w:fill="FFFFFF"/>
            <w:noWrap w:val="0"/>
            <w:vAlign w:val="center"/>
          </w:tcPr>
          <w:p>
            <w:pPr>
              <w:spacing w:line="280" w:lineRule="exac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1.</w:t>
            </w:r>
            <w:r>
              <w:rPr>
                <w:rFonts w:hint="default" w:ascii="Times New Roman" w:hAnsi="Times New Roman" w:cs="Times New Roman"/>
                <w:b/>
                <w:bCs/>
                <w:color w:val="000000"/>
                <w:kern w:val="0"/>
                <w:sz w:val="20"/>
              </w:rPr>
              <w:t>【法律】《社会保险法》（2018年12月修改）第九十三条：　国家工作人员在社会保险管理、监督工作中滥用职权、玩忽职守、徇私舞弊的，依法给予处分。</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rPr>
              <w:t>2.【法律】《监察法》（2018年3月通过）规定的追责情形</w:t>
            </w:r>
          </w:p>
        </w:tc>
        <w:tc>
          <w:tcPr>
            <w:tcW w:w="320" w:type="dxa"/>
            <w:shd w:val="clear" w:color="auto" w:fill="FFFFFF"/>
            <w:noWrap w:val="0"/>
            <w:vAlign w:val="center"/>
          </w:tcPr>
          <w:p>
            <w:pPr>
              <w:spacing w:line="280" w:lineRule="exact"/>
              <w:jc w:val="center"/>
              <w:rPr>
                <w:rFonts w:hint="default" w:ascii="Times New Roman" w:hAnsi="Times New Roman" w:cs="Times New Roman"/>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180" w:hRule="atLeast"/>
        </w:trPr>
        <w:tc>
          <w:tcPr>
            <w:tcW w:w="497" w:type="dxa"/>
            <w:shd w:val="clear" w:color="auto" w:fill="FFFFFF"/>
            <w:noWrap w:val="0"/>
            <w:vAlign w:val="center"/>
          </w:tcPr>
          <w:p>
            <w:pPr>
              <w:spacing w:line="280" w:lineRule="exact"/>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5</w:t>
            </w:r>
          </w:p>
        </w:tc>
        <w:tc>
          <w:tcPr>
            <w:tcW w:w="764" w:type="dxa"/>
            <w:shd w:val="clear" w:color="auto" w:fill="FFFFFF"/>
            <w:noWrap w:val="0"/>
            <w:vAlign w:val="center"/>
          </w:tcPr>
          <w:p>
            <w:pPr>
              <w:spacing w:line="280" w:lineRule="exac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济宁市医疗保障局</w:t>
            </w:r>
          </w:p>
        </w:tc>
        <w:tc>
          <w:tcPr>
            <w:tcW w:w="1287" w:type="dxa"/>
            <w:shd w:val="clear" w:color="auto" w:fill="FFFFFF"/>
            <w:noWrap w:val="0"/>
            <w:vAlign w:val="center"/>
          </w:tcPr>
          <w:p>
            <w:pPr>
              <w:spacing w:line="280" w:lineRule="exac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拟订全市医疗保障基金监督管理办法并监督实施，建立健全医疗保障基金安全防控机制，建立健全医疗保障信用评价体系和信息披露制度。监督管理纳入医保支付范围的医疗服务行为和医疗费用，规范医保经办业务，依法查处医疗保障领域违法违规行为。</w:t>
            </w:r>
          </w:p>
        </w:tc>
        <w:tc>
          <w:tcPr>
            <w:tcW w:w="916" w:type="dxa"/>
            <w:shd w:val="clear" w:color="auto" w:fill="FFFFFF"/>
            <w:noWrap w:val="0"/>
            <w:vAlign w:val="center"/>
          </w:tcPr>
          <w:p>
            <w:pPr>
              <w:spacing w:line="280" w:lineRule="exac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对参加药品采购投标的投标人违法行为的处罚</w:t>
            </w:r>
          </w:p>
        </w:tc>
        <w:tc>
          <w:tcPr>
            <w:tcW w:w="1424" w:type="dxa"/>
            <w:shd w:val="clear" w:color="auto" w:fill="FFFFFF"/>
            <w:noWrap w:val="0"/>
            <w:vAlign w:val="center"/>
          </w:tcPr>
          <w:p>
            <w:pPr>
              <w:spacing w:line="280" w:lineRule="exac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3700000236017</w:t>
            </w:r>
          </w:p>
        </w:tc>
        <w:tc>
          <w:tcPr>
            <w:tcW w:w="540" w:type="dxa"/>
            <w:shd w:val="clear" w:color="auto" w:fill="FFFFFF"/>
            <w:noWrap w:val="0"/>
            <w:vAlign w:val="center"/>
          </w:tcPr>
          <w:p>
            <w:pPr>
              <w:spacing w:line="280" w:lineRule="exact"/>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行政</w:t>
            </w:r>
          </w:p>
          <w:p>
            <w:pPr>
              <w:spacing w:line="280" w:lineRule="exact"/>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处罚</w:t>
            </w:r>
          </w:p>
        </w:tc>
        <w:tc>
          <w:tcPr>
            <w:tcW w:w="3115" w:type="dxa"/>
            <w:shd w:val="clear" w:color="auto" w:fill="FFFFFF"/>
            <w:noWrap w:val="0"/>
            <w:vAlign w:val="center"/>
          </w:tcPr>
          <w:p>
            <w:pPr>
              <w:spacing w:line="280" w:lineRule="exac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1.【法律】《基本医疗卫生与健康促进法》（2019年12月通过）第一百零三条：违反本法规定，参加药品采购投标的投标人以低于成本的报价竞价，或者以欺诈、串通投标、滥用市场支配地位等方式竞标的，由县级以上人民政府医疗保障主管部门责令改正，没收违法所得；中标的，中标无效，处中标项目金额千分之五以上千分之十以下的罚款，对法定代表人、主要负责人、直接负责的主管人员和其他责任人员处对单位罚款数额百分之五以上百分之十以下的罚款；情节严重的，取消其二年至五年内参加药品采购投标的资格并予以公告。</w:t>
            </w:r>
          </w:p>
        </w:tc>
        <w:tc>
          <w:tcPr>
            <w:tcW w:w="603" w:type="dxa"/>
            <w:shd w:val="clear" w:color="auto" w:fill="FFFFFF"/>
            <w:noWrap w:val="0"/>
            <w:vAlign w:val="center"/>
          </w:tcPr>
          <w:p>
            <w:pPr>
              <w:spacing w:line="280" w:lineRule="exact"/>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市</w:t>
            </w:r>
          </w:p>
        </w:tc>
        <w:tc>
          <w:tcPr>
            <w:tcW w:w="704" w:type="dxa"/>
            <w:shd w:val="clear" w:color="auto" w:fill="FFFFFF"/>
            <w:noWrap w:val="0"/>
            <w:vAlign w:val="center"/>
          </w:tcPr>
          <w:p>
            <w:pPr>
              <w:spacing w:line="280" w:lineRule="exac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按照属地管理原则，负责对参加市级药品采购投标的投标人违法行为的处罚。</w:t>
            </w:r>
          </w:p>
        </w:tc>
        <w:tc>
          <w:tcPr>
            <w:tcW w:w="1950" w:type="dxa"/>
            <w:shd w:val="clear" w:color="auto" w:fill="FFFFFF"/>
            <w:noWrap w:val="0"/>
            <w:vAlign w:val="center"/>
          </w:tcPr>
          <w:p>
            <w:pPr>
              <w:spacing w:line="280" w:lineRule="exac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 xml:space="preserve">直接实施责任: </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1.对参加市级药品采购投标的投标人违法行为进行处罚。</w:t>
            </w:r>
          </w:p>
        </w:tc>
        <w:tc>
          <w:tcPr>
            <w:tcW w:w="1561" w:type="dxa"/>
            <w:shd w:val="clear" w:color="auto" w:fill="FFFFFF"/>
            <w:noWrap w:val="0"/>
            <w:vAlign w:val="center"/>
          </w:tcPr>
          <w:p>
            <w:pPr>
              <w:spacing w:line="280" w:lineRule="exact"/>
              <w:rPr>
                <w:rFonts w:hint="default" w:ascii="Times New Roman" w:hAnsi="Times New Roman" w:cs="Times New Roman"/>
                <w:b/>
                <w:bCs/>
                <w:color w:val="000000"/>
                <w:kern w:val="0"/>
                <w:sz w:val="20"/>
              </w:rPr>
            </w:pPr>
            <w:r>
              <w:rPr>
                <w:rFonts w:hint="default" w:ascii="Times New Roman" w:hAnsi="Times New Roman" w:cs="Times New Roman"/>
                <w:b/>
                <w:bCs/>
                <w:color w:val="000000"/>
                <w:kern w:val="0"/>
                <w:sz w:val="20"/>
              </w:rPr>
              <w:t>1.【法律】《基本医疗卫生与健康促进法》（2019年12月通过）第九十八条：违反本法规定，地方各级人民政府、县级以上人民政府卫生健康主管部门和其他有关部门，滥用职权、玩忽职守、徇私舞弊的，对直接负责的主管人员和其他直接责任人员依法给予处分。</w:t>
            </w:r>
            <w:r>
              <w:rPr>
                <w:rFonts w:hint="default" w:ascii="Times New Roman" w:hAnsi="Times New Roman" w:cs="Times New Roman"/>
                <w:b/>
                <w:bCs/>
                <w:color w:val="000000"/>
                <w:kern w:val="0"/>
                <w:sz w:val="20"/>
              </w:rPr>
              <w:br w:type="textWrapping"/>
            </w:r>
            <w:r>
              <w:rPr>
                <w:rFonts w:hint="default" w:ascii="Times New Roman" w:hAnsi="Times New Roman" w:cs="Times New Roman"/>
                <w:b/>
                <w:bCs/>
                <w:color w:val="000000"/>
                <w:kern w:val="0"/>
                <w:sz w:val="20"/>
              </w:rPr>
              <w:t>2.【法律】《监察法》（2018年3月通过）规定的追责情形。</w:t>
            </w:r>
          </w:p>
        </w:tc>
        <w:tc>
          <w:tcPr>
            <w:tcW w:w="320" w:type="dxa"/>
            <w:shd w:val="clear" w:color="auto" w:fill="FFFFFF"/>
            <w:noWrap w:val="0"/>
            <w:vAlign w:val="center"/>
          </w:tcPr>
          <w:p>
            <w:pPr>
              <w:spacing w:line="280" w:lineRule="exact"/>
              <w:jc w:val="center"/>
              <w:rPr>
                <w:rFonts w:hint="default" w:ascii="Times New Roman" w:hAnsi="Times New Roman" w:cs="Times New Roman"/>
                <w:b/>
                <w:bCs/>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126" w:hRule="atLeast"/>
        </w:trPr>
        <w:tc>
          <w:tcPr>
            <w:tcW w:w="497" w:type="dxa"/>
            <w:shd w:val="clear" w:color="auto" w:fill="FFFFFF"/>
            <w:noWrap w:val="0"/>
            <w:vAlign w:val="center"/>
          </w:tcPr>
          <w:p>
            <w:pPr>
              <w:spacing w:line="280" w:lineRule="exact"/>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6</w:t>
            </w:r>
          </w:p>
        </w:tc>
        <w:tc>
          <w:tcPr>
            <w:tcW w:w="764" w:type="dxa"/>
            <w:shd w:val="clear" w:color="auto" w:fill="FFFFFF"/>
            <w:noWrap w:val="0"/>
            <w:vAlign w:val="center"/>
          </w:tcPr>
          <w:p>
            <w:pPr>
              <w:spacing w:line="280" w:lineRule="exac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济宁市医疗保障局</w:t>
            </w:r>
          </w:p>
        </w:tc>
        <w:tc>
          <w:tcPr>
            <w:tcW w:w="1287" w:type="dxa"/>
            <w:shd w:val="clear" w:color="auto" w:fill="FFFFFF"/>
            <w:noWrap w:val="0"/>
            <w:vAlign w:val="center"/>
          </w:tcPr>
          <w:p>
            <w:pPr>
              <w:spacing w:line="280" w:lineRule="exac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拟订全市医疗保障基金监督管理办法并监督实施，建立健全医疗保障基金安全防控机制，建立健全医疗保障信用评价体系和信息披露制度。监督管理纳入医保支付范围的医疗服务行为和医疗费用，规范医保经办业务，依法查处医疗保障领域违法违规行为。</w:t>
            </w:r>
          </w:p>
        </w:tc>
        <w:tc>
          <w:tcPr>
            <w:tcW w:w="916" w:type="dxa"/>
            <w:shd w:val="clear" w:color="auto" w:fill="FFFFFF"/>
            <w:noWrap w:val="0"/>
            <w:vAlign w:val="center"/>
          </w:tcPr>
          <w:p>
            <w:pPr>
              <w:spacing w:line="280" w:lineRule="exac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对采取虚报、隐瞒、伪造等手段，骗取医疗救助基金的处罚</w:t>
            </w:r>
          </w:p>
        </w:tc>
        <w:tc>
          <w:tcPr>
            <w:tcW w:w="1424" w:type="dxa"/>
            <w:shd w:val="clear" w:color="auto" w:fill="FFFFFF"/>
            <w:noWrap w:val="0"/>
            <w:vAlign w:val="center"/>
          </w:tcPr>
          <w:p>
            <w:pPr>
              <w:spacing w:line="280" w:lineRule="exac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3700000236018</w:t>
            </w:r>
          </w:p>
        </w:tc>
        <w:tc>
          <w:tcPr>
            <w:tcW w:w="540" w:type="dxa"/>
            <w:shd w:val="clear" w:color="auto" w:fill="FFFFFF"/>
            <w:noWrap w:val="0"/>
            <w:vAlign w:val="center"/>
          </w:tcPr>
          <w:p>
            <w:pPr>
              <w:spacing w:line="280" w:lineRule="exact"/>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行政</w:t>
            </w:r>
          </w:p>
          <w:p>
            <w:pPr>
              <w:spacing w:line="280" w:lineRule="exact"/>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处罚</w:t>
            </w:r>
          </w:p>
        </w:tc>
        <w:tc>
          <w:tcPr>
            <w:tcW w:w="3115" w:type="dxa"/>
            <w:shd w:val="clear" w:color="auto" w:fill="FFFFFF"/>
            <w:noWrap w:val="0"/>
            <w:vAlign w:val="center"/>
          </w:tcPr>
          <w:p>
            <w:pPr>
              <w:spacing w:line="280" w:lineRule="exac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1.</w:t>
            </w:r>
            <w:r>
              <w:rPr>
                <w:rFonts w:hint="default" w:ascii="Times New Roman" w:hAnsi="Times New Roman" w:cs="Times New Roman"/>
                <w:b/>
                <w:bCs/>
                <w:color w:val="000000"/>
                <w:kern w:val="0"/>
                <w:sz w:val="20"/>
              </w:rPr>
              <w:t>【行政法规】《社会救助暂行办法》（2014年5月国务院令第649号）第六十八条：采取虚报、隐瞒、伪造等手段，骗取社会救助资金、物资或者服务的，由有关部门决定停止社会救助，责令退回非法获取的救助资金、物资，可以处非法获取的救助款额或者物资价值1倍以上3倍以下的罚款；构成违反治安管理行为的，依法给予治安管理处罚。</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rPr>
              <w:t>2.【省政府规章】《山东省社会救助办法》（2014年9月山东省人民政府令第279号）第八十七条：采取虚报、隐瞒、伪造等手段骗取社会救助资金、物资或者服务的，由有关部门决定停止社会救助，责令退回违法获取的救助资金、物资，并将有关信息计入个人征信系统。情节恶劣的，可以依照国务院《社会救助暂行办法》处违法获取的救助款额或者物资价值1倍以上3倍以下的罚款。</w:t>
            </w:r>
          </w:p>
        </w:tc>
        <w:tc>
          <w:tcPr>
            <w:tcW w:w="603" w:type="dxa"/>
            <w:shd w:val="clear" w:color="auto" w:fill="FFFFFF"/>
            <w:noWrap w:val="0"/>
            <w:vAlign w:val="center"/>
          </w:tcPr>
          <w:p>
            <w:pPr>
              <w:spacing w:line="280" w:lineRule="exact"/>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市</w:t>
            </w:r>
          </w:p>
        </w:tc>
        <w:tc>
          <w:tcPr>
            <w:tcW w:w="704" w:type="dxa"/>
            <w:shd w:val="clear" w:color="auto" w:fill="FFFFFF"/>
            <w:noWrap w:val="0"/>
            <w:vAlign w:val="center"/>
          </w:tcPr>
          <w:p>
            <w:pPr>
              <w:spacing w:line="280" w:lineRule="exact"/>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无</w:t>
            </w:r>
          </w:p>
        </w:tc>
        <w:tc>
          <w:tcPr>
            <w:tcW w:w="1950" w:type="dxa"/>
            <w:shd w:val="clear" w:color="auto" w:fill="FFFFFF"/>
            <w:noWrap w:val="0"/>
            <w:vAlign w:val="center"/>
          </w:tcPr>
          <w:p>
            <w:pPr>
              <w:spacing w:line="280" w:lineRule="exac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直接实施责任：</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无</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指导监督责任</w:t>
            </w:r>
            <w:r>
              <w:rPr>
                <w:rFonts w:hint="default" w:ascii="Times New Roman" w:hAnsi="Times New Roman" w:cs="Times New Roman"/>
                <w:b/>
                <w:bCs/>
                <w:color w:val="000000"/>
                <w:kern w:val="0"/>
                <w:sz w:val="20"/>
              </w:rPr>
              <w:t>:</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rPr>
              <w:t>1.对本行政区域内虚报、隐瞒、伪造等手段骗取医疗救助基金处罚实施的情况进行指导监督。</w:t>
            </w:r>
          </w:p>
        </w:tc>
        <w:tc>
          <w:tcPr>
            <w:tcW w:w="1561" w:type="dxa"/>
            <w:shd w:val="clear" w:color="auto" w:fill="FFFFFF"/>
            <w:noWrap w:val="0"/>
            <w:vAlign w:val="center"/>
          </w:tcPr>
          <w:p>
            <w:pPr>
              <w:spacing w:line="200" w:lineRule="exact"/>
              <w:rPr>
                <w:rFonts w:hint="default" w:ascii="Times New Roman" w:hAnsi="Times New Roman" w:cs="Times New Roman"/>
                <w:b/>
                <w:bCs/>
                <w:color w:val="000000"/>
                <w:kern w:val="0"/>
                <w:sz w:val="18"/>
                <w:szCs w:val="18"/>
              </w:rPr>
            </w:pPr>
            <w:r>
              <w:rPr>
                <w:rFonts w:hint="default" w:ascii="Times New Roman" w:hAnsi="Times New Roman" w:cs="Times New Roman"/>
                <w:b/>
                <w:bCs/>
                <w:color w:val="000000"/>
                <w:kern w:val="0"/>
                <w:sz w:val="18"/>
                <w:szCs w:val="18"/>
              </w:rPr>
              <w:t>1.【法律】《监察法》（2018年3月通过）规定的追责情形。</w:t>
            </w:r>
            <w:r>
              <w:rPr>
                <w:rFonts w:hint="default" w:ascii="Times New Roman" w:hAnsi="Times New Roman" w:cs="Times New Roman"/>
                <w:b/>
                <w:bCs/>
                <w:color w:val="000000"/>
                <w:kern w:val="0"/>
                <w:sz w:val="18"/>
                <w:szCs w:val="18"/>
              </w:rPr>
              <w:br w:type="textWrapping"/>
            </w:r>
            <w:r>
              <w:rPr>
                <w:rFonts w:hint="default" w:ascii="Times New Roman" w:hAnsi="Times New Roman" w:cs="Times New Roman"/>
                <w:b/>
                <w:bCs/>
                <w:color w:val="000000"/>
                <w:kern w:val="0"/>
                <w:sz w:val="18"/>
                <w:szCs w:val="18"/>
              </w:rPr>
              <w:t>2.【行政法规】《社会救助暂行办法》（2014年5月国务院令第649号）第六十六条：违反本办法规定，有下列情形之一的，由上级行政机关或者监察机关责令改正；对直接负责的主管人员和其他直接责任人员依法给予处分：（一）对符合申请条件的救助申请不予受理的；（二）对符合救助条件的救助申请不予批准的；（三）对不符合救助条件的救助申请予以批准的；（四）泄露在工作中知悉的公民个人信息，造成后果的；（五）丢失、篡改接受社会救助款物、服务记录等数据的；（六）不按照规定发放社会救助资金、物资或者提供相关服务的；（七）在履</w:t>
            </w:r>
            <w:r>
              <w:rPr>
                <w:rFonts w:hint="default" w:ascii="Times New Roman" w:hAnsi="Times New Roman" w:cs="Times New Roman"/>
                <w:b/>
                <w:bCs/>
                <w:color w:val="000000"/>
                <w:kern w:val="0"/>
                <w:sz w:val="18"/>
              </w:rPr>
              <w:t>行社会救助职责过程中有其他滥用职权、玩忽职守、徇私舞弊行为的。</w:t>
            </w:r>
          </w:p>
        </w:tc>
        <w:tc>
          <w:tcPr>
            <w:tcW w:w="320" w:type="dxa"/>
            <w:shd w:val="clear" w:color="auto" w:fill="FFFFFF"/>
            <w:noWrap w:val="0"/>
            <w:vAlign w:val="center"/>
          </w:tcPr>
          <w:p>
            <w:pPr>
              <w:spacing w:line="280" w:lineRule="exact"/>
              <w:jc w:val="center"/>
              <w:rPr>
                <w:rFonts w:hint="default" w:ascii="Times New Roman" w:hAnsi="Times New Roman" w:cs="Times New Roman"/>
                <w:b/>
                <w:bCs/>
                <w:color w:val="000000"/>
                <w:kern w:val="0"/>
                <w:sz w:val="20"/>
                <w:szCs w:val="20"/>
              </w:rPr>
            </w:pPr>
          </w:p>
        </w:tc>
      </w:tr>
    </w:tbl>
    <w:p>
      <w:pPr>
        <w:widowControl/>
        <w:tabs>
          <w:tab w:val="left" w:pos="18154"/>
          <w:tab w:val="left" w:pos="23194"/>
        </w:tabs>
        <w:spacing w:line="600" w:lineRule="exact"/>
        <w:ind w:left="91"/>
        <w:jc w:val="center"/>
        <w:rPr>
          <w:rFonts w:hint="eastAsia" w:ascii="方正小标宋简体" w:hAnsi="方正小标宋简体" w:eastAsia="方正小标宋简体" w:cs="方正小标宋简体"/>
          <w:b/>
          <w:bCs/>
          <w:color w:val="000000"/>
          <w:kern w:val="0"/>
          <w:sz w:val="44"/>
          <w:szCs w:val="44"/>
        </w:rPr>
      </w:pPr>
      <w:r>
        <w:rPr>
          <w:rFonts w:hint="eastAsia" w:ascii="方正小标宋简体" w:hAnsi="方正小标宋简体" w:eastAsia="方正小标宋简体" w:cs="方正小标宋简体"/>
          <w:b/>
          <w:bCs/>
          <w:color w:val="000000"/>
          <w:kern w:val="0"/>
          <w:sz w:val="44"/>
          <w:szCs w:val="44"/>
        </w:rPr>
        <w:t>权责清单目录分表</w:t>
      </w:r>
      <w:r>
        <w:rPr>
          <w:rFonts w:hint="eastAsia" w:ascii="方正小标宋简体" w:hAnsi="方正小标宋简体" w:eastAsia="方正小标宋简体" w:cs="方正小标宋简体"/>
          <w:b/>
          <w:bCs/>
          <w:color w:val="000000"/>
          <w:kern w:val="0"/>
          <w:sz w:val="44"/>
          <w:szCs w:val="44"/>
          <w:lang w:eastAsia="zh-CN"/>
        </w:rPr>
        <w:t>（</w:t>
      </w:r>
      <w:r>
        <w:rPr>
          <w:rFonts w:hint="eastAsia" w:ascii="方正小标宋简体" w:hAnsi="方正小标宋简体" w:eastAsia="方正小标宋简体" w:cs="方正小标宋简体"/>
          <w:b/>
          <w:bCs/>
          <w:color w:val="000000"/>
          <w:kern w:val="0"/>
          <w:sz w:val="44"/>
          <w:szCs w:val="44"/>
        </w:rPr>
        <w:t>行政强制类</w:t>
      </w:r>
      <w:r>
        <w:rPr>
          <w:rFonts w:hint="eastAsia" w:ascii="方正小标宋简体" w:hAnsi="方正小标宋简体" w:eastAsia="方正小标宋简体" w:cs="方正小标宋简体"/>
          <w:b/>
          <w:bCs/>
          <w:color w:val="000000"/>
          <w:kern w:val="0"/>
          <w:sz w:val="44"/>
          <w:szCs w:val="44"/>
          <w:lang w:eastAsia="zh-CN"/>
        </w:rPr>
        <w:t>）</w:t>
      </w:r>
    </w:p>
    <w:tbl>
      <w:tblPr>
        <w:tblStyle w:val="4"/>
        <w:tblW w:w="13690" w:type="dxa"/>
        <w:tblInd w:w="0" w:type="dxa"/>
        <w:tblLayout w:type="fixed"/>
        <w:tblCellMar>
          <w:top w:w="0" w:type="dxa"/>
          <w:left w:w="28" w:type="dxa"/>
          <w:bottom w:w="0" w:type="dxa"/>
          <w:right w:w="28" w:type="dxa"/>
        </w:tblCellMar>
      </w:tblPr>
      <w:tblGrid>
        <w:gridCol w:w="472"/>
        <w:gridCol w:w="741"/>
        <w:gridCol w:w="1244"/>
        <w:gridCol w:w="815"/>
        <w:gridCol w:w="1457"/>
        <w:gridCol w:w="803"/>
        <w:gridCol w:w="2752"/>
        <w:gridCol w:w="803"/>
        <w:gridCol w:w="997"/>
        <w:gridCol w:w="1566"/>
        <w:gridCol w:w="1620"/>
        <w:gridCol w:w="420"/>
      </w:tblGrid>
      <w:tr>
        <w:tblPrEx>
          <w:tblLayout w:type="fixed"/>
          <w:tblCellMar>
            <w:top w:w="0" w:type="dxa"/>
            <w:left w:w="28" w:type="dxa"/>
            <w:bottom w:w="0" w:type="dxa"/>
            <w:right w:w="28" w:type="dxa"/>
          </w:tblCellMar>
        </w:tblPrEx>
        <w:trPr>
          <w:trHeight w:val="609"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80" w:lineRule="exact"/>
              <w:jc w:val="center"/>
              <w:rPr>
                <w:rFonts w:hint="eastAsia" w:ascii="方正黑体简体" w:hAnsi="方正黑体简体" w:eastAsia="方正黑体简体" w:cs="方正黑体简体"/>
                <w:b/>
                <w:bCs/>
                <w:color w:val="000000"/>
                <w:kern w:val="0"/>
                <w:sz w:val="20"/>
                <w:szCs w:val="20"/>
              </w:rPr>
            </w:pPr>
            <w:r>
              <w:rPr>
                <w:rFonts w:hint="eastAsia" w:ascii="方正黑体简体" w:hAnsi="方正黑体简体" w:eastAsia="方正黑体简体" w:cs="方正黑体简体"/>
                <w:b/>
                <w:bCs/>
                <w:color w:val="000000"/>
                <w:kern w:val="0"/>
                <w:sz w:val="20"/>
                <w:szCs w:val="20"/>
              </w:rPr>
              <w:t>序号</w:t>
            </w:r>
          </w:p>
        </w:tc>
        <w:tc>
          <w:tcPr>
            <w:tcW w:w="7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80" w:lineRule="exact"/>
              <w:jc w:val="center"/>
              <w:rPr>
                <w:rFonts w:hint="eastAsia" w:ascii="方正黑体简体" w:hAnsi="方正黑体简体" w:eastAsia="方正黑体简体" w:cs="方正黑体简体"/>
                <w:b/>
                <w:bCs/>
                <w:color w:val="000000"/>
                <w:kern w:val="0"/>
                <w:sz w:val="20"/>
                <w:szCs w:val="20"/>
              </w:rPr>
            </w:pPr>
            <w:r>
              <w:rPr>
                <w:rFonts w:hint="eastAsia" w:ascii="方正黑体简体" w:hAnsi="方正黑体简体" w:eastAsia="方正黑体简体" w:cs="方正黑体简体"/>
                <w:b/>
                <w:bCs/>
                <w:color w:val="000000"/>
                <w:kern w:val="0"/>
                <w:sz w:val="20"/>
                <w:szCs w:val="20"/>
              </w:rPr>
              <w:t>实施</w:t>
            </w:r>
          </w:p>
          <w:p>
            <w:pPr>
              <w:widowControl/>
              <w:spacing w:line="280" w:lineRule="exact"/>
              <w:jc w:val="center"/>
              <w:rPr>
                <w:rFonts w:hint="eastAsia" w:ascii="方正黑体简体" w:hAnsi="方正黑体简体" w:eastAsia="方正黑体简体" w:cs="方正黑体简体"/>
                <w:b/>
                <w:bCs/>
                <w:color w:val="000000"/>
                <w:kern w:val="0"/>
                <w:sz w:val="20"/>
                <w:szCs w:val="20"/>
              </w:rPr>
            </w:pPr>
            <w:r>
              <w:rPr>
                <w:rFonts w:hint="eastAsia" w:ascii="方正黑体简体" w:hAnsi="方正黑体简体" w:eastAsia="方正黑体简体" w:cs="方正黑体简体"/>
                <w:b/>
                <w:bCs/>
                <w:color w:val="000000"/>
                <w:kern w:val="0"/>
                <w:sz w:val="20"/>
                <w:szCs w:val="20"/>
              </w:rPr>
              <w:t>机构</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80" w:lineRule="exact"/>
              <w:jc w:val="center"/>
              <w:rPr>
                <w:rFonts w:hint="eastAsia" w:ascii="方正黑体简体" w:hAnsi="方正黑体简体" w:eastAsia="方正黑体简体" w:cs="方正黑体简体"/>
                <w:b/>
                <w:bCs/>
                <w:color w:val="000000"/>
                <w:kern w:val="0"/>
                <w:sz w:val="20"/>
                <w:szCs w:val="20"/>
              </w:rPr>
            </w:pPr>
            <w:r>
              <w:rPr>
                <w:rFonts w:hint="eastAsia" w:ascii="方正黑体简体" w:hAnsi="方正黑体简体" w:eastAsia="方正黑体简体" w:cs="方正黑体简体"/>
                <w:b/>
                <w:bCs/>
                <w:color w:val="000000"/>
                <w:kern w:val="0"/>
                <w:sz w:val="20"/>
                <w:szCs w:val="20"/>
              </w:rPr>
              <w:t>部门职责</w:t>
            </w:r>
          </w:p>
        </w:tc>
        <w:tc>
          <w:tcPr>
            <w:tcW w:w="8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80" w:lineRule="exact"/>
              <w:jc w:val="center"/>
              <w:rPr>
                <w:rFonts w:hint="eastAsia" w:ascii="方正黑体简体" w:hAnsi="方正黑体简体" w:eastAsia="方正黑体简体" w:cs="方正黑体简体"/>
                <w:b/>
                <w:bCs/>
                <w:color w:val="000000"/>
                <w:kern w:val="0"/>
                <w:sz w:val="20"/>
                <w:szCs w:val="20"/>
              </w:rPr>
            </w:pPr>
            <w:r>
              <w:rPr>
                <w:rFonts w:hint="eastAsia" w:ascii="方正黑体简体" w:hAnsi="方正黑体简体" w:eastAsia="方正黑体简体" w:cs="方正黑体简体"/>
                <w:b/>
                <w:bCs/>
                <w:color w:val="000000"/>
                <w:kern w:val="0"/>
                <w:sz w:val="20"/>
                <w:szCs w:val="20"/>
              </w:rPr>
              <w:t>事项</w:t>
            </w:r>
          </w:p>
          <w:p>
            <w:pPr>
              <w:widowControl/>
              <w:spacing w:line="280" w:lineRule="exact"/>
              <w:jc w:val="center"/>
              <w:rPr>
                <w:rFonts w:hint="eastAsia" w:ascii="方正黑体简体" w:hAnsi="方正黑体简体" w:eastAsia="方正黑体简体" w:cs="方正黑体简体"/>
                <w:b/>
                <w:bCs/>
                <w:color w:val="000000"/>
                <w:kern w:val="0"/>
                <w:sz w:val="20"/>
                <w:szCs w:val="20"/>
              </w:rPr>
            </w:pPr>
            <w:r>
              <w:rPr>
                <w:rFonts w:hint="eastAsia" w:ascii="方正黑体简体" w:hAnsi="方正黑体简体" w:eastAsia="方正黑体简体" w:cs="方正黑体简体"/>
                <w:b/>
                <w:bCs/>
                <w:color w:val="000000"/>
                <w:kern w:val="0"/>
                <w:sz w:val="20"/>
                <w:szCs w:val="20"/>
              </w:rPr>
              <w:t>名称</w:t>
            </w:r>
          </w:p>
        </w:tc>
        <w:tc>
          <w:tcPr>
            <w:tcW w:w="14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80" w:lineRule="exact"/>
              <w:jc w:val="center"/>
              <w:rPr>
                <w:rFonts w:hint="eastAsia" w:ascii="方正黑体简体" w:hAnsi="方正黑体简体" w:eastAsia="方正黑体简体" w:cs="方正黑体简体"/>
                <w:b/>
                <w:bCs/>
                <w:color w:val="000000"/>
                <w:kern w:val="0"/>
                <w:sz w:val="20"/>
                <w:szCs w:val="20"/>
              </w:rPr>
            </w:pPr>
            <w:r>
              <w:rPr>
                <w:rFonts w:hint="eastAsia" w:ascii="方正黑体简体" w:hAnsi="方正黑体简体" w:eastAsia="方正黑体简体" w:cs="方正黑体简体"/>
                <w:b/>
                <w:bCs/>
                <w:color w:val="000000"/>
                <w:kern w:val="0"/>
                <w:sz w:val="20"/>
                <w:szCs w:val="20"/>
              </w:rPr>
              <w:t>事项编码</w:t>
            </w:r>
          </w:p>
        </w:tc>
        <w:tc>
          <w:tcPr>
            <w:tcW w:w="8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80" w:lineRule="exact"/>
              <w:jc w:val="center"/>
              <w:rPr>
                <w:rFonts w:hint="eastAsia" w:ascii="方正黑体简体" w:hAnsi="方正黑体简体" w:eastAsia="方正黑体简体" w:cs="方正黑体简体"/>
                <w:b/>
                <w:bCs/>
                <w:color w:val="000000"/>
                <w:kern w:val="0"/>
                <w:sz w:val="20"/>
                <w:szCs w:val="20"/>
              </w:rPr>
            </w:pPr>
            <w:r>
              <w:rPr>
                <w:rFonts w:hint="eastAsia" w:ascii="方正黑体简体" w:hAnsi="方正黑体简体" w:eastAsia="方正黑体简体" w:cs="方正黑体简体"/>
                <w:b/>
                <w:bCs/>
                <w:color w:val="000000"/>
                <w:kern w:val="0"/>
                <w:sz w:val="20"/>
                <w:szCs w:val="20"/>
              </w:rPr>
              <w:t>事项</w:t>
            </w:r>
          </w:p>
          <w:p>
            <w:pPr>
              <w:widowControl/>
              <w:spacing w:line="280" w:lineRule="exact"/>
              <w:jc w:val="center"/>
              <w:rPr>
                <w:rFonts w:hint="eastAsia" w:ascii="方正黑体简体" w:hAnsi="方正黑体简体" w:eastAsia="方正黑体简体" w:cs="方正黑体简体"/>
                <w:b/>
                <w:bCs/>
                <w:color w:val="000000"/>
                <w:kern w:val="0"/>
                <w:sz w:val="20"/>
                <w:szCs w:val="20"/>
              </w:rPr>
            </w:pPr>
            <w:r>
              <w:rPr>
                <w:rFonts w:hint="eastAsia" w:ascii="方正黑体简体" w:hAnsi="方正黑体简体" w:eastAsia="方正黑体简体" w:cs="方正黑体简体"/>
                <w:b/>
                <w:bCs/>
                <w:color w:val="000000"/>
                <w:kern w:val="0"/>
                <w:sz w:val="20"/>
                <w:szCs w:val="20"/>
              </w:rPr>
              <w:t>类型</w:t>
            </w:r>
          </w:p>
        </w:tc>
        <w:tc>
          <w:tcPr>
            <w:tcW w:w="27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80" w:lineRule="exact"/>
              <w:jc w:val="center"/>
              <w:rPr>
                <w:rFonts w:hint="eastAsia" w:ascii="方正黑体简体" w:hAnsi="方正黑体简体" w:eastAsia="方正黑体简体" w:cs="方正黑体简体"/>
                <w:b/>
                <w:bCs/>
                <w:color w:val="000000"/>
                <w:kern w:val="0"/>
                <w:sz w:val="20"/>
                <w:szCs w:val="20"/>
              </w:rPr>
            </w:pPr>
            <w:r>
              <w:rPr>
                <w:rFonts w:hint="eastAsia" w:ascii="方正黑体简体" w:hAnsi="方正黑体简体" w:eastAsia="方正黑体简体" w:cs="方正黑体简体"/>
                <w:b/>
                <w:bCs/>
                <w:color w:val="000000"/>
                <w:kern w:val="0"/>
                <w:sz w:val="20"/>
                <w:szCs w:val="20"/>
              </w:rPr>
              <w:t>设定、行使依据及有关条款</w:t>
            </w:r>
          </w:p>
        </w:tc>
        <w:tc>
          <w:tcPr>
            <w:tcW w:w="8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80" w:lineRule="exact"/>
              <w:jc w:val="center"/>
              <w:rPr>
                <w:rFonts w:hint="eastAsia" w:ascii="方正黑体简体" w:hAnsi="方正黑体简体" w:eastAsia="方正黑体简体" w:cs="方正黑体简体"/>
                <w:b/>
                <w:bCs/>
                <w:color w:val="000000"/>
                <w:kern w:val="0"/>
                <w:sz w:val="20"/>
                <w:szCs w:val="20"/>
              </w:rPr>
            </w:pPr>
            <w:r>
              <w:rPr>
                <w:rFonts w:hint="eastAsia" w:ascii="方正黑体简体" w:hAnsi="方正黑体简体" w:eastAsia="方正黑体简体" w:cs="方正黑体简体"/>
                <w:b/>
                <w:bCs/>
                <w:color w:val="000000"/>
                <w:kern w:val="0"/>
                <w:sz w:val="20"/>
                <w:szCs w:val="20"/>
              </w:rPr>
              <w:t>实施</w:t>
            </w:r>
          </w:p>
          <w:p>
            <w:pPr>
              <w:widowControl/>
              <w:spacing w:line="280" w:lineRule="exact"/>
              <w:jc w:val="center"/>
              <w:rPr>
                <w:rFonts w:hint="eastAsia" w:ascii="方正黑体简体" w:hAnsi="方正黑体简体" w:eastAsia="方正黑体简体" w:cs="方正黑体简体"/>
                <w:b/>
                <w:bCs/>
                <w:color w:val="000000"/>
                <w:kern w:val="0"/>
                <w:sz w:val="20"/>
                <w:szCs w:val="20"/>
              </w:rPr>
            </w:pPr>
            <w:r>
              <w:rPr>
                <w:rFonts w:hint="eastAsia" w:ascii="方正黑体简体" w:hAnsi="方正黑体简体" w:eastAsia="方正黑体简体" w:cs="方正黑体简体"/>
                <w:b/>
                <w:bCs/>
                <w:color w:val="000000"/>
                <w:kern w:val="0"/>
                <w:sz w:val="20"/>
                <w:szCs w:val="20"/>
              </w:rPr>
              <w:t>层级</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80" w:lineRule="exact"/>
              <w:jc w:val="center"/>
              <w:rPr>
                <w:rFonts w:hint="eastAsia" w:ascii="方正黑体简体" w:hAnsi="方正黑体简体" w:eastAsia="方正黑体简体" w:cs="方正黑体简体"/>
                <w:b/>
                <w:bCs/>
                <w:color w:val="000000"/>
                <w:kern w:val="0"/>
                <w:sz w:val="20"/>
                <w:szCs w:val="20"/>
              </w:rPr>
            </w:pPr>
            <w:r>
              <w:rPr>
                <w:rFonts w:hint="eastAsia" w:ascii="方正黑体简体" w:hAnsi="方正黑体简体" w:eastAsia="方正黑体简体" w:cs="方正黑体简体"/>
                <w:b/>
                <w:bCs/>
                <w:color w:val="000000"/>
                <w:kern w:val="0"/>
                <w:sz w:val="20"/>
                <w:szCs w:val="20"/>
              </w:rPr>
              <w:t>实施</w:t>
            </w:r>
          </w:p>
          <w:p>
            <w:pPr>
              <w:widowControl/>
              <w:spacing w:line="280" w:lineRule="exact"/>
              <w:jc w:val="center"/>
              <w:rPr>
                <w:rFonts w:hint="eastAsia" w:ascii="方正黑体简体" w:hAnsi="方正黑体简体" w:eastAsia="方正黑体简体" w:cs="方正黑体简体"/>
                <w:b/>
                <w:bCs/>
                <w:color w:val="000000"/>
                <w:kern w:val="0"/>
                <w:sz w:val="20"/>
                <w:szCs w:val="20"/>
              </w:rPr>
            </w:pPr>
            <w:r>
              <w:rPr>
                <w:rFonts w:hint="eastAsia" w:ascii="方正黑体简体" w:hAnsi="方正黑体简体" w:eastAsia="方正黑体简体" w:cs="方正黑体简体"/>
                <w:b/>
                <w:bCs/>
                <w:color w:val="000000"/>
                <w:kern w:val="0"/>
                <w:sz w:val="20"/>
                <w:szCs w:val="20"/>
              </w:rPr>
              <w:t>权限</w:t>
            </w:r>
          </w:p>
        </w:tc>
        <w:tc>
          <w:tcPr>
            <w:tcW w:w="15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80" w:lineRule="exact"/>
              <w:jc w:val="center"/>
              <w:rPr>
                <w:rFonts w:hint="eastAsia" w:ascii="方正黑体简体" w:hAnsi="方正黑体简体" w:eastAsia="方正黑体简体" w:cs="方正黑体简体"/>
                <w:b/>
                <w:bCs/>
                <w:color w:val="000000"/>
                <w:kern w:val="0"/>
                <w:sz w:val="20"/>
                <w:szCs w:val="20"/>
              </w:rPr>
            </w:pPr>
            <w:r>
              <w:rPr>
                <w:rFonts w:hint="eastAsia" w:ascii="方正黑体简体" w:hAnsi="方正黑体简体" w:eastAsia="方正黑体简体" w:cs="方正黑体简体"/>
                <w:b/>
                <w:bCs/>
                <w:color w:val="000000"/>
                <w:kern w:val="0"/>
                <w:sz w:val="20"/>
                <w:szCs w:val="20"/>
              </w:rPr>
              <w:t>对应责任事项</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80" w:lineRule="exact"/>
              <w:jc w:val="center"/>
              <w:rPr>
                <w:rFonts w:hint="eastAsia" w:ascii="方正黑体简体" w:hAnsi="方正黑体简体" w:eastAsia="方正黑体简体" w:cs="方正黑体简体"/>
                <w:b/>
                <w:bCs/>
                <w:color w:val="000000"/>
                <w:kern w:val="0"/>
                <w:sz w:val="20"/>
                <w:szCs w:val="20"/>
              </w:rPr>
            </w:pPr>
            <w:r>
              <w:rPr>
                <w:rFonts w:hint="eastAsia" w:ascii="方正黑体简体" w:hAnsi="方正黑体简体" w:eastAsia="方正黑体简体" w:cs="方正黑体简体"/>
                <w:b/>
                <w:bCs/>
                <w:color w:val="000000"/>
                <w:kern w:val="0"/>
                <w:sz w:val="20"/>
                <w:szCs w:val="20"/>
              </w:rPr>
              <w:t>追责情形及依据</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80" w:lineRule="exact"/>
              <w:jc w:val="center"/>
              <w:rPr>
                <w:rFonts w:hint="eastAsia" w:ascii="方正黑体简体" w:hAnsi="方正黑体简体" w:eastAsia="方正黑体简体" w:cs="方正黑体简体"/>
                <w:b/>
                <w:bCs/>
                <w:color w:val="000000"/>
                <w:kern w:val="0"/>
                <w:sz w:val="20"/>
                <w:szCs w:val="20"/>
              </w:rPr>
            </w:pPr>
            <w:r>
              <w:rPr>
                <w:rFonts w:hint="eastAsia" w:ascii="方正黑体简体" w:hAnsi="方正黑体简体" w:eastAsia="方正黑体简体" w:cs="方正黑体简体"/>
                <w:b/>
                <w:bCs/>
                <w:color w:val="000000"/>
                <w:kern w:val="0"/>
                <w:sz w:val="20"/>
                <w:szCs w:val="20"/>
              </w:rPr>
              <w:t>备注</w:t>
            </w:r>
          </w:p>
        </w:tc>
      </w:tr>
      <w:tr>
        <w:tblPrEx>
          <w:tblLayout w:type="fixed"/>
          <w:tblCellMar>
            <w:top w:w="0" w:type="dxa"/>
            <w:left w:w="28" w:type="dxa"/>
            <w:bottom w:w="0" w:type="dxa"/>
            <w:right w:w="28" w:type="dxa"/>
          </w:tblCellMar>
        </w:tblPrEx>
        <w:trPr>
          <w:trHeight w:val="7483" w:hRule="atLeast"/>
        </w:trPr>
        <w:tc>
          <w:tcPr>
            <w:tcW w:w="47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80" w:lineRule="exact"/>
              <w:jc w:val="center"/>
              <w:rPr>
                <w:rFonts w:cs="Arial"/>
                <w:b/>
                <w:bCs/>
                <w:color w:val="000000"/>
                <w:kern w:val="0"/>
                <w:sz w:val="20"/>
                <w:szCs w:val="20"/>
              </w:rPr>
            </w:pPr>
            <w:r>
              <w:rPr>
                <w:rFonts w:cs="Arial"/>
                <w:b/>
                <w:bCs/>
                <w:color w:val="000000"/>
                <w:kern w:val="0"/>
                <w:sz w:val="20"/>
                <w:szCs w:val="20"/>
              </w:rPr>
              <w:t>1</w:t>
            </w:r>
          </w:p>
        </w:tc>
        <w:tc>
          <w:tcPr>
            <w:tcW w:w="7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80" w:lineRule="exact"/>
              <w:jc w:val="center"/>
              <w:rPr>
                <w:rFonts w:cs="Arial"/>
                <w:b/>
                <w:bCs/>
                <w:color w:val="000000"/>
                <w:kern w:val="0"/>
                <w:sz w:val="20"/>
                <w:szCs w:val="20"/>
              </w:rPr>
            </w:pPr>
            <w:r>
              <w:rPr>
                <w:rFonts w:hAnsi="Verdana" w:cs="Arial"/>
                <w:b/>
                <w:bCs/>
                <w:color w:val="000000"/>
                <w:kern w:val="0"/>
                <w:sz w:val="20"/>
                <w:szCs w:val="20"/>
              </w:rPr>
              <w:t>济宁市医疗保障局</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rPr>
                <w:rFonts w:cs="Arial"/>
                <w:b/>
                <w:bCs/>
                <w:color w:val="000000"/>
                <w:kern w:val="0"/>
                <w:sz w:val="20"/>
                <w:szCs w:val="20"/>
              </w:rPr>
            </w:pPr>
            <w:r>
              <w:rPr>
                <w:rFonts w:hAnsi="Verdana" w:cs="Arial"/>
                <w:b/>
                <w:bCs/>
                <w:color w:val="000000"/>
                <w:kern w:val="0"/>
                <w:sz w:val="20"/>
                <w:szCs w:val="20"/>
              </w:rPr>
              <w:t>拟定全市医疗保障基金监督管理办法并监督实施，建立健全医疗保障基金安全防控机制，建立健全医疗保障信用评价体系和信息披露制度。监督纳入医保范围内的医疗服务行为，管理纳入医保范围内的医疗费用，规范医保经办业务，组织查处医疗保障领域违规违法行为。</w:t>
            </w:r>
          </w:p>
        </w:tc>
        <w:tc>
          <w:tcPr>
            <w:tcW w:w="8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80" w:lineRule="exact"/>
              <w:jc w:val="center"/>
              <w:rPr>
                <w:rFonts w:cs="Arial"/>
                <w:b/>
                <w:bCs/>
                <w:color w:val="000000"/>
                <w:kern w:val="0"/>
                <w:sz w:val="20"/>
                <w:szCs w:val="20"/>
              </w:rPr>
            </w:pPr>
            <w:r>
              <w:rPr>
                <w:rFonts w:hAnsi="Verdana" w:cs="Arial"/>
                <w:b/>
                <w:bCs/>
                <w:color w:val="000000"/>
                <w:kern w:val="0"/>
                <w:sz w:val="20"/>
                <w:szCs w:val="20"/>
              </w:rPr>
              <w:t>对可能被转移、隐匿或者灭失的医疗保险基金相关资料进行封存</w:t>
            </w:r>
          </w:p>
        </w:tc>
        <w:tc>
          <w:tcPr>
            <w:tcW w:w="14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80" w:lineRule="exact"/>
              <w:jc w:val="center"/>
              <w:rPr>
                <w:rFonts w:cs="Arial"/>
                <w:b/>
                <w:bCs/>
                <w:color w:val="000000"/>
                <w:kern w:val="0"/>
                <w:sz w:val="20"/>
                <w:szCs w:val="20"/>
              </w:rPr>
            </w:pPr>
            <w:r>
              <w:rPr>
                <w:rFonts w:cs="Arial"/>
                <w:b/>
                <w:bCs/>
                <w:color w:val="000000"/>
                <w:kern w:val="0"/>
                <w:sz w:val="20"/>
                <w:szCs w:val="20"/>
              </w:rPr>
              <w:t>3700000336004</w:t>
            </w:r>
          </w:p>
        </w:tc>
        <w:tc>
          <w:tcPr>
            <w:tcW w:w="8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80" w:lineRule="exact"/>
              <w:jc w:val="center"/>
              <w:rPr>
                <w:rFonts w:hAnsi="Verdana" w:cs="Arial"/>
                <w:b/>
                <w:bCs/>
                <w:color w:val="000000"/>
                <w:kern w:val="0"/>
                <w:sz w:val="20"/>
                <w:szCs w:val="20"/>
              </w:rPr>
            </w:pPr>
            <w:r>
              <w:rPr>
                <w:rFonts w:hAnsi="Verdana" w:cs="Arial"/>
                <w:b/>
                <w:bCs/>
                <w:color w:val="000000"/>
                <w:kern w:val="0"/>
                <w:sz w:val="20"/>
                <w:szCs w:val="20"/>
              </w:rPr>
              <w:t>行政</w:t>
            </w:r>
          </w:p>
          <w:p>
            <w:pPr>
              <w:widowControl/>
              <w:spacing w:line="280" w:lineRule="exact"/>
              <w:jc w:val="center"/>
              <w:rPr>
                <w:rFonts w:cs="Arial"/>
                <w:b/>
                <w:bCs/>
                <w:color w:val="000000"/>
                <w:kern w:val="0"/>
                <w:sz w:val="20"/>
                <w:szCs w:val="20"/>
              </w:rPr>
            </w:pPr>
            <w:r>
              <w:rPr>
                <w:rFonts w:hAnsi="Verdana" w:cs="Arial"/>
                <w:b/>
                <w:bCs/>
                <w:color w:val="000000"/>
                <w:kern w:val="0"/>
                <w:sz w:val="20"/>
                <w:szCs w:val="20"/>
              </w:rPr>
              <w:t>强制</w:t>
            </w:r>
          </w:p>
        </w:tc>
        <w:tc>
          <w:tcPr>
            <w:tcW w:w="275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80" w:lineRule="exact"/>
              <w:jc w:val="left"/>
              <w:rPr>
                <w:rFonts w:cs="Arial"/>
                <w:b/>
                <w:bCs/>
                <w:color w:val="000000"/>
                <w:kern w:val="0"/>
                <w:sz w:val="20"/>
                <w:szCs w:val="20"/>
              </w:rPr>
            </w:pPr>
            <w:r>
              <w:rPr>
                <w:rFonts w:cs="Arial"/>
                <w:b/>
                <w:bCs/>
                <w:color w:val="000000"/>
                <w:kern w:val="0"/>
                <w:sz w:val="20"/>
                <w:szCs w:val="20"/>
              </w:rPr>
              <w:t>1.</w:t>
            </w:r>
            <w:r>
              <w:rPr>
                <w:rFonts w:hAnsi="Verdana" w:cs="Arial"/>
                <w:b/>
                <w:bCs/>
                <w:color w:val="000000"/>
                <w:kern w:val="0"/>
                <w:sz w:val="20"/>
                <w:szCs w:val="20"/>
              </w:rPr>
              <w:t>【法律】《社会保险法》（</w:t>
            </w:r>
            <w:r>
              <w:rPr>
                <w:rFonts w:cs="Arial"/>
                <w:b/>
                <w:bCs/>
                <w:color w:val="000000"/>
                <w:kern w:val="0"/>
                <w:sz w:val="20"/>
                <w:szCs w:val="20"/>
              </w:rPr>
              <w:t>2018</w:t>
            </w:r>
            <w:r>
              <w:rPr>
                <w:rFonts w:hAnsi="Verdana" w:cs="Arial"/>
                <w:b/>
                <w:bCs/>
                <w:color w:val="000000"/>
                <w:kern w:val="0"/>
                <w:sz w:val="20"/>
                <w:szCs w:val="20"/>
              </w:rPr>
              <w:t>年</w:t>
            </w:r>
            <w:r>
              <w:rPr>
                <w:rFonts w:cs="Arial"/>
                <w:b/>
                <w:bCs/>
                <w:color w:val="000000"/>
                <w:kern w:val="0"/>
                <w:sz w:val="20"/>
                <w:szCs w:val="20"/>
              </w:rPr>
              <w:t>12</w:t>
            </w:r>
            <w:r>
              <w:rPr>
                <w:rFonts w:hAnsi="Verdana" w:cs="Arial"/>
                <w:b/>
                <w:bCs/>
                <w:color w:val="000000"/>
                <w:kern w:val="0"/>
                <w:sz w:val="20"/>
                <w:szCs w:val="20"/>
              </w:rPr>
              <w:t>月修改）第七十九条：社会保险行政部门对社会保险基金的收支、管理和投资运营情况进行监督检查，发现存在问题的，应当提出整改建议，依法作出处理决定或者向有关行政部门提出处理建议。社会保险基金检查结果应当定期向社会公布。社会保险行政部门对社会保险基金实施监督检查，有权采取下列措施：（一）查阅、记录、复制与社会保险基金收支、管理和投资运营相关的资料，对可能被转移、隐匿或者灭失的资料予以封存；（二）询问与调查事项有关的单位和个人，要求其对与调查事项有关的问题作出说明、提供有关证明材料；（三）对隐匿、转移、侵占、挪用社会保险基金的行为予以制止并责令改正。</w:t>
            </w:r>
          </w:p>
        </w:tc>
        <w:tc>
          <w:tcPr>
            <w:tcW w:w="8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80" w:lineRule="exact"/>
              <w:jc w:val="center"/>
              <w:rPr>
                <w:rFonts w:cs="Arial"/>
                <w:b/>
                <w:bCs/>
                <w:color w:val="000000"/>
                <w:kern w:val="0"/>
                <w:sz w:val="20"/>
                <w:szCs w:val="20"/>
              </w:rPr>
            </w:pPr>
            <w:r>
              <w:rPr>
                <w:rFonts w:hAnsi="Verdana" w:cs="Arial"/>
                <w:b/>
                <w:bCs/>
                <w:color w:val="000000"/>
                <w:kern w:val="0"/>
                <w:sz w:val="20"/>
                <w:szCs w:val="20"/>
              </w:rPr>
              <w:t>市</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80" w:lineRule="exact"/>
              <w:jc w:val="center"/>
              <w:rPr>
                <w:rFonts w:cs="Arial"/>
                <w:b/>
                <w:bCs/>
                <w:color w:val="000000"/>
                <w:kern w:val="0"/>
                <w:sz w:val="20"/>
                <w:szCs w:val="20"/>
              </w:rPr>
            </w:pPr>
            <w:r>
              <w:rPr>
                <w:rFonts w:hint="eastAsia" w:hAnsi="宋体" w:cs="Arial"/>
                <w:b/>
                <w:bCs/>
                <w:color w:val="000000"/>
                <w:kern w:val="0"/>
                <w:sz w:val="20"/>
                <w:szCs w:val="20"/>
              </w:rPr>
              <w:t>按照属地管理原则，负责本系统跨区域、重大事项检查相关的行政强制及对隐匿、转移、侵占、挪用医疗保险基金等违法行为检查相关的行政强制。</w:t>
            </w:r>
          </w:p>
        </w:tc>
        <w:tc>
          <w:tcPr>
            <w:tcW w:w="15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80" w:lineRule="exact"/>
              <w:jc w:val="left"/>
              <w:rPr>
                <w:rFonts w:cs="Arial"/>
                <w:b/>
                <w:bCs/>
                <w:color w:val="000000"/>
                <w:kern w:val="0"/>
                <w:sz w:val="20"/>
                <w:szCs w:val="20"/>
              </w:rPr>
            </w:pPr>
            <w:r>
              <w:rPr>
                <w:rFonts w:hAnsi="Verdana" w:cs="Arial"/>
                <w:b/>
                <w:bCs/>
                <w:color w:val="000000"/>
                <w:kern w:val="0"/>
                <w:sz w:val="20"/>
                <w:szCs w:val="20"/>
              </w:rPr>
              <w:t>直接实施责任</w:t>
            </w:r>
            <w:r>
              <w:rPr>
                <w:rFonts w:cs="Arial"/>
                <w:b/>
                <w:bCs/>
                <w:color w:val="000000"/>
                <w:kern w:val="0"/>
                <w:sz w:val="20"/>
                <w:szCs w:val="20"/>
              </w:rPr>
              <w:t xml:space="preserve">: </w:t>
            </w:r>
            <w:r>
              <w:rPr>
                <w:rFonts w:cs="Arial"/>
                <w:b/>
                <w:bCs/>
                <w:color w:val="000000"/>
                <w:kern w:val="0"/>
                <w:sz w:val="20"/>
                <w:szCs w:val="20"/>
              </w:rPr>
              <w:br w:type="textWrapping"/>
            </w:r>
            <w:r>
              <w:rPr>
                <w:rFonts w:cs="Arial"/>
                <w:b/>
                <w:bCs/>
                <w:color w:val="000000"/>
                <w:kern w:val="0"/>
                <w:sz w:val="20"/>
                <w:szCs w:val="20"/>
              </w:rPr>
              <w:t>1.</w:t>
            </w:r>
            <w:r>
              <w:rPr>
                <w:rFonts w:hAnsi="Verdana" w:cs="Arial"/>
                <w:b/>
                <w:bCs/>
                <w:color w:val="000000"/>
                <w:kern w:val="0"/>
                <w:sz w:val="20"/>
                <w:szCs w:val="20"/>
              </w:rPr>
              <w:t>依法依规履行通知、告知、决定、执行等责任。</w:t>
            </w:r>
            <w:r>
              <w:rPr>
                <w:rFonts w:cs="Arial"/>
                <w:b/>
                <w:bCs/>
                <w:color w:val="000000"/>
                <w:kern w:val="0"/>
                <w:sz w:val="20"/>
                <w:szCs w:val="20"/>
              </w:rPr>
              <w:t xml:space="preserve"> </w:t>
            </w:r>
            <w:r>
              <w:rPr>
                <w:rFonts w:cs="Arial"/>
                <w:b/>
                <w:bCs/>
                <w:color w:val="000000"/>
                <w:kern w:val="0"/>
                <w:sz w:val="20"/>
                <w:szCs w:val="20"/>
              </w:rPr>
              <w:br w:type="textWrapping"/>
            </w:r>
            <w:r>
              <w:rPr>
                <w:rFonts w:hAnsi="Verdana" w:cs="Arial"/>
                <w:b/>
                <w:bCs/>
                <w:color w:val="000000"/>
                <w:kern w:val="0"/>
                <w:sz w:val="20"/>
                <w:szCs w:val="20"/>
              </w:rPr>
              <w:t>指导监督责任</w:t>
            </w:r>
            <w:r>
              <w:rPr>
                <w:rFonts w:cs="Arial"/>
                <w:b/>
                <w:bCs/>
                <w:color w:val="000000"/>
                <w:kern w:val="0"/>
                <w:sz w:val="20"/>
                <w:szCs w:val="20"/>
              </w:rPr>
              <w:t xml:space="preserve">: </w:t>
            </w:r>
            <w:r>
              <w:rPr>
                <w:rFonts w:cs="Arial"/>
                <w:b/>
                <w:bCs/>
                <w:color w:val="000000"/>
                <w:kern w:val="0"/>
                <w:sz w:val="20"/>
                <w:szCs w:val="20"/>
              </w:rPr>
              <w:br w:type="textWrapping"/>
            </w:r>
            <w:r>
              <w:rPr>
                <w:rFonts w:cs="Arial"/>
                <w:b/>
                <w:bCs/>
                <w:color w:val="000000"/>
                <w:kern w:val="0"/>
                <w:sz w:val="20"/>
                <w:szCs w:val="20"/>
              </w:rPr>
              <w:t>2.</w:t>
            </w:r>
            <w:r>
              <w:rPr>
                <w:rFonts w:hAnsi="Verdana" w:cs="Arial"/>
                <w:b/>
                <w:bCs/>
                <w:color w:val="000000"/>
                <w:kern w:val="0"/>
                <w:sz w:val="20"/>
                <w:szCs w:val="20"/>
              </w:rPr>
              <w:t>对县级行政强制事项实施情况进行指导监督。</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80" w:lineRule="exact"/>
              <w:rPr>
                <w:rFonts w:cs="Arial"/>
                <w:b/>
                <w:bCs/>
                <w:color w:val="000000"/>
                <w:kern w:val="0"/>
                <w:sz w:val="20"/>
                <w:szCs w:val="20"/>
              </w:rPr>
            </w:pPr>
            <w:r>
              <w:rPr>
                <w:rFonts w:cs="Arial"/>
                <w:b/>
                <w:bCs/>
                <w:color w:val="000000"/>
                <w:kern w:val="0"/>
                <w:sz w:val="20"/>
                <w:szCs w:val="20"/>
              </w:rPr>
              <w:t>1.</w:t>
            </w:r>
            <w:r>
              <w:rPr>
                <w:rFonts w:hAnsi="Verdana" w:cs="Arial"/>
                <w:b/>
                <w:bCs/>
                <w:color w:val="000000"/>
                <w:kern w:val="0"/>
                <w:sz w:val="20"/>
                <w:szCs w:val="20"/>
              </w:rPr>
              <w:t>【法律】《社会保险法》（</w:t>
            </w:r>
            <w:r>
              <w:rPr>
                <w:rFonts w:cs="Arial"/>
                <w:b/>
                <w:bCs/>
                <w:color w:val="000000"/>
                <w:kern w:val="0"/>
                <w:sz w:val="20"/>
                <w:szCs w:val="20"/>
              </w:rPr>
              <w:t>2018</w:t>
            </w:r>
            <w:r>
              <w:rPr>
                <w:rFonts w:hAnsi="Verdana" w:cs="Arial"/>
                <w:b/>
                <w:bCs/>
                <w:color w:val="000000"/>
                <w:kern w:val="0"/>
                <w:sz w:val="20"/>
                <w:szCs w:val="20"/>
              </w:rPr>
              <w:t>年</w:t>
            </w:r>
            <w:r>
              <w:rPr>
                <w:rFonts w:cs="Arial"/>
                <w:b/>
                <w:bCs/>
                <w:color w:val="000000"/>
                <w:kern w:val="0"/>
                <w:sz w:val="20"/>
                <w:szCs w:val="20"/>
              </w:rPr>
              <w:t>12</w:t>
            </w:r>
            <w:r>
              <w:rPr>
                <w:rFonts w:hAnsi="Verdana" w:cs="Arial"/>
                <w:b/>
                <w:bCs/>
                <w:color w:val="000000"/>
                <w:kern w:val="0"/>
                <w:sz w:val="20"/>
                <w:szCs w:val="20"/>
              </w:rPr>
              <w:t>月修改）第九十三条：　国家工作人员在社会保险管理、监督工作中滥用职权、玩忽职守、徇私舞弊的，依法给予处分。</w:t>
            </w:r>
            <w:r>
              <w:rPr>
                <w:rFonts w:cs="Arial"/>
                <w:b/>
                <w:bCs/>
                <w:color w:val="000000"/>
                <w:kern w:val="0"/>
                <w:sz w:val="20"/>
                <w:szCs w:val="20"/>
              </w:rPr>
              <w:br w:type="textWrapping"/>
            </w:r>
            <w:r>
              <w:rPr>
                <w:rFonts w:cs="Arial"/>
                <w:b/>
                <w:bCs/>
                <w:color w:val="000000"/>
                <w:kern w:val="0"/>
                <w:sz w:val="20"/>
                <w:szCs w:val="20"/>
              </w:rPr>
              <w:t>2.</w:t>
            </w:r>
            <w:r>
              <w:rPr>
                <w:rFonts w:hAnsi="Verdana" w:cs="Arial"/>
                <w:b/>
                <w:bCs/>
                <w:color w:val="000000"/>
                <w:kern w:val="0"/>
                <w:sz w:val="20"/>
                <w:szCs w:val="20"/>
              </w:rPr>
              <w:t>【法律】《监察法》（</w:t>
            </w:r>
            <w:r>
              <w:rPr>
                <w:rFonts w:cs="Arial"/>
                <w:b/>
                <w:bCs/>
                <w:color w:val="000000"/>
                <w:kern w:val="0"/>
                <w:sz w:val="20"/>
                <w:szCs w:val="20"/>
              </w:rPr>
              <w:t>2018</w:t>
            </w:r>
            <w:r>
              <w:rPr>
                <w:rFonts w:hAnsi="Verdana" w:cs="Arial"/>
                <w:b/>
                <w:bCs/>
                <w:color w:val="000000"/>
                <w:kern w:val="0"/>
                <w:sz w:val="20"/>
                <w:szCs w:val="20"/>
              </w:rPr>
              <w:t>年</w:t>
            </w:r>
            <w:r>
              <w:rPr>
                <w:rFonts w:cs="Arial"/>
                <w:b/>
                <w:bCs/>
                <w:color w:val="000000"/>
                <w:kern w:val="0"/>
                <w:sz w:val="20"/>
                <w:szCs w:val="20"/>
              </w:rPr>
              <w:t>3</w:t>
            </w:r>
            <w:r>
              <w:rPr>
                <w:rFonts w:hAnsi="Verdana" w:cs="Arial"/>
                <w:b/>
                <w:bCs/>
                <w:color w:val="000000"/>
                <w:kern w:val="0"/>
                <w:sz w:val="20"/>
                <w:szCs w:val="20"/>
              </w:rPr>
              <w:t>月通过）规定的追责情形</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80" w:lineRule="exact"/>
              <w:jc w:val="center"/>
              <w:rPr>
                <w:rFonts w:cs="Arial"/>
                <w:b/>
                <w:bCs/>
                <w:color w:val="000000"/>
                <w:kern w:val="0"/>
                <w:sz w:val="20"/>
                <w:szCs w:val="20"/>
              </w:rPr>
            </w:pPr>
          </w:p>
        </w:tc>
      </w:tr>
    </w:tbl>
    <w:p>
      <w:pPr>
        <w:widowControl/>
        <w:tabs>
          <w:tab w:val="left" w:pos="18154"/>
          <w:tab w:val="left" w:pos="23194"/>
        </w:tabs>
        <w:spacing w:line="600" w:lineRule="exact"/>
        <w:ind w:left="91"/>
        <w:jc w:val="center"/>
        <w:rPr>
          <w:rFonts w:hint="eastAsia" w:ascii="方正小标宋简体" w:hAnsi="方正小标宋简体" w:eastAsia="方正小标宋简体" w:cs="方正小标宋简体"/>
          <w:b/>
          <w:bCs/>
          <w:color w:val="000000"/>
          <w:kern w:val="0"/>
          <w:sz w:val="44"/>
          <w:szCs w:val="44"/>
        </w:rPr>
      </w:pPr>
      <w:r>
        <w:rPr>
          <w:rFonts w:hint="eastAsia" w:ascii="方正小标宋简体" w:hAnsi="方正小标宋简体" w:eastAsia="方正小标宋简体" w:cs="方正小标宋简体"/>
          <w:b/>
          <w:bCs/>
          <w:color w:val="000000"/>
          <w:kern w:val="0"/>
          <w:sz w:val="44"/>
          <w:szCs w:val="44"/>
        </w:rPr>
        <w:t>权责清单目录分表</w:t>
      </w:r>
      <w:r>
        <w:rPr>
          <w:rFonts w:hint="eastAsia" w:ascii="方正小标宋简体" w:hAnsi="方正小标宋简体" w:eastAsia="方正小标宋简体" w:cs="方正小标宋简体"/>
          <w:b/>
          <w:bCs/>
          <w:color w:val="000000"/>
          <w:kern w:val="0"/>
          <w:sz w:val="44"/>
          <w:szCs w:val="44"/>
          <w:lang w:eastAsia="zh-CN"/>
        </w:rPr>
        <w:t>（</w:t>
      </w:r>
      <w:r>
        <w:rPr>
          <w:rFonts w:hint="eastAsia" w:ascii="方正小标宋简体" w:hAnsi="方正小标宋简体" w:eastAsia="方正小标宋简体" w:cs="方正小标宋简体"/>
          <w:b/>
          <w:bCs/>
          <w:color w:val="000000"/>
          <w:kern w:val="0"/>
          <w:sz w:val="44"/>
          <w:szCs w:val="44"/>
        </w:rPr>
        <w:t>行政确认类</w:t>
      </w:r>
      <w:r>
        <w:rPr>
          <w:rFonts w:hint="eastAsia" w:ascii="方正小标宋简体" w:hAnsi="方正小标宋简体" w:eastAsia="方正小标宋简体" w:cs="方正小标宋简体"/>
          <w:b/>
          <w:bCs/>
          <w:color w:val="000000"/>
          <w:kern w:val="0"/>
          <w:sz w:val="44"/>
          <w:szCs w:val="44"/>
          <w:lang w:eastAsia="zh-CN"/>
        </w:rPr>
        <w:t>）</w:t>
      </w:r>
    </w:p>
    <w:tbl>
      <w:tblPr>
        <w:tblStyle w:val="4"/>
        <w:tblW w:w="13692" w:type="dxa"/>
        <w:tblInd w:w="0" w:type="dxa"/>
        <w:tblLayout w:type="fixed"/>
        <w:tblCellMar>
          <w:top w:w="0" w:type="dxa"/>
          <w:left w:w="28" w:type="dxa"/>
          <w:bottom w:w="0" w:type="dxa"/>
          <w:right w:w="28" w:type="dxa"/>
        </w:tblCellMar>
      </w:tblPr>
      <w:tblGrid>
        <w:gridCol w:w="518"/>
        <w:gridCol w:w="695"/>
        <w:gridCol w:w="1244"/>
        <w:gridCol w:w="815"/>
        <w:gridCol w:w="1457"/>
        <w:gridCol w:w="647"/>
        <w:gridCol w:w="2608"/>
        <w:gridCol w:w="803"/>
        <w:gridCol w:w="997"/>
        <w:gridCol w:w="1868"/>
        <w:gridCol w:w="1620"/>
        <w:gridCol w:w="420"/>
      </w:tblGrid>
      <w:tr>
        <w:tblPrEx>
          <w:tblLayout w:type="fixed"/>
          <w:tblCellMar>
            <w:top w:w="0" w:type="dxa"/>
            <w:left w:w="28" w:type="dxa"/>
            <w:bottom w:w="0" w:type="dxa"/>
            <w:right w:w="28" w:type="dxa"/>
          </w:tblCellMar>
        </w:tblPrEx>
        <w:trPr>
          <w:trHeight w:val="436" w:hRule="atLeast"/>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80" w:lineRule="exact"/>
              <w:jc w:val="center"/>
              <w:rPr>
                <w:rFonts w:hint="eastAsia" w:ascii="方正黑体简体" w:hAnsi="方正黑体简体" w:eastAsia="方正黑体简体" w:cs="方正黑体简体"/>
                <w:b/>
                <w:bCs/>
                <w:color w:val="000000"/>
                <w:kern w:val="0"/>
                <w:sz w:val="20"/>
                <w:szCs w:val="20"/>
              </w:rPr>
            </w:pPr>
            <w:r>
              <w:rPr>
                <w:rFonts w:hint="eastAsia" w:ascii="方正黑体简体" w:hAnsi="方正黑体简体" w:eastAsia="方正黑体简体" w:cs="方正黑体简体"/>
                <w:b/>
                <w:bCs/>
                <w:color w:val="000000"/>
                <w:kern w:val="0"/>
                <w:sz w:val="20"/>
                <w:szCs w:val="20"/>
              </w:rPr>
              <w:t>序号</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80" w:lineRule="exact"/>
              <w:jc w:val="center"/>
              <w:rPr>
                <w:rFonts w:hint="eastAsia" w:ascii="方正黑体简体" w:hAnsi="方正黑体简体" w:eastAsia="方正黑体简体" w:cs="方正黑体简体"/>
                <w:b/>
                <w:bCs/>
                <w:color w:val="000000"/>
                <w:kern w:val="0"/>
                <w:sz w:val="20"/>
                <w:szCs w:val="20"/>
              </w:rPr>
            </w:pPr>
            <w:r>
              <w:rPr>
                <w:rFonts w:hint="eastAsia" w:ascii="方正黑体简体" w:hAnsi="方正黑体简体" w:eastAsia="方正黑体简体" w:cs="方正黑体简体"/>
                <w:b/>
                <w:bCs/>
                <w:color w:val="000000"/>
                <w:kern w:val="0"/>
                <w:sz w:val="20"/>
                <w:szCs w:val="20"/>
              </w:rPr>
              <w:t>实施</w:t>
            </w:r>
          </w:p>
          <w:p>
            <w:pPr>
              <w:widowControl/>
              <w:spacing w:line="280" w:lineRule="exact"/>
              <w:jc w:val="center"/>
              <w:rPr>
                <w:rFonts w:hint="eastAsia" w:ascii="方正黑体简体" w:hAnsi="方正黑体简体" w:eastAsia="方正黑体简体" w:cs="方正黑体简体"/>
                <w:b/>
                <w:bCs/>
                <w:color w:val="000000"/>
                <w:kern w:val="0"/>
                <w:sz w:val="20"/>
                <w:szCs w:val="20"/>
              </w:rPr>
            </w:pPr>
            <w:r>
              <w:rPr>
                <w:rFonts w:hint="eastAsia" w:ascii="方正黑体简体" w:hAnsi="方正黑体简体" w:eastAsia="方正黑体简体" w:cs="方正黑体简体"/>
                <w:b/>
                <w:bCs/>
                <w:color w:val="000000"/>
                <w:kern w:val="0"/>
                <w:sz w:val="20"/>
                <w:szCs w:val="20"/>
              </w:rPr>
              <w:t>机构</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80" w:lineRule="exact"/>
              <w:jc w:val="center"/>
              <w:rPr>
                <w:rFonts w:hint="eastAsia" w:ascii="方正黑体简体" w:hAnsi="方正黑体简体" w:eastAsia="方正黑体简体" w:cs="方正黑体简体"/>
                <w:b/>
                <w:bCs/>
                <w:color w:val="000000"/>
                <w:kern w:val="0"/>
                <w:sz w:val="20"/>
                <w:szCs w:val="20"/>
              </w:rPr>
            </w:pPr>
            <w:r>
              <w:rPr>
                <w:rFonts w:hint="eastAsia" w:ascii="方正黑体简体" w:hAnsi="方正黑体简体" w:eastAsia="方正黑体简体" w:cs="方正黑体简体"/>
                <w:b/>
                <w:bCs/>
                <w:color w:val="000000"/>
                <w:kern w:val="0"/>
                <w:sz w:val="20"/>
                <w:szCs w:val="20"/>
              </w:rPr>
              <w:t>部门职责</w:t>
            </w:r>
          </w:p>
        </w:tc>
        <w:tc>
          <w:tcPr>
            <w:tcW w:w="8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80" w:lineRule="exact"/>
              <w:jc w:val="center"/>
              <w:rPr>
                <w:rFonts w:hint="eastAsia" w:ascii="方正黑体简体" w:hAnsi="方正黑体简体" w:eastAsia="方正黑体简体" w:cs="方正黑体简体"/>
                <w:b/>
                <w:bCs/>
                <w:color w:val="000000"/>
                <w:kern w:val="0"/>
                <w:sz w:val="20"/>
                <w:szCs w:val="20"/>
              </w:rPr>
            </w:pPr>
            <w:r>
              <w:rPr>
                <w:rFonts w:hint="eastAsia" w:ascii="方正黑体简体" w:hAnsi="方正黑体简体" w:eastAsia="方正黑体简体" w:cs="方正黑体简体"/>
                <w:b/>
                <w:bCs/>
                <w:color w:val="000000"/>
                <w:kern w:val="0"/>
                <w:sz w:val="20"/>
                <w:szCs w:val="20"/>
              </w:rPr>
              <w:t>事项</w:t>
            </w:r>
          </w:p>
          <w:p>
            <w:pPr>
              <w:widowControl/>
              <w:spacing w:line="280" w:lineRule="exact"/>
              <w:jc w:val="center"/>
              <w:rPr>
                <w:rFonts w:hint="eastAsia" w:ascii="方正黑体简体" w:hAnsi="方正黑体简体" w:eastAsia="方正黑体简体" w:cs="方正黑体简体"/>
                <w:b/>
                <w:bCs/>
                <w:color w:val="000000"/>
                <w:kern w:val="0"/>
                <w:sz w:val="20"/>
                <w:szCs w:val="20"/>
              </w:rPr>
            </w:pPr>
            <w:r>
              <w:rPr>
                <w:rFonts w:hint="eastAsia" w:ascii="方正黑体简体" w:hAnsi="方正黑体简体" w:eastAsia="方正黑体简体" w:cs="方正黑体简体"/>
                <w:b/>
                <w:bCs/>
                <w:color w:val="000000"/>
                <w:kern w:val="0"/>
                <w:sz w:val="20"/>
                <w:szCs w:val="20"/>
              </w:rPr>
              <w:t>名称</w:t>
            </w:r>
          </w:p>
        </w:tc>
        <w:tc>
          <w:tcPr>
            <w:tcW w:w="14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80" w:lineRule="exact"/>
              <w:jc w:val="center"/>
              <w:rPr>
                <w:rFonts w:hint="eastAsia" w:ascii="方正黑体简体" w:hAnsi="方正黑体简体" w:eastAsia="方正黑体简体" w:cs="方正黑体简体"/>
                <w:b/>
                <w:bCs/>
                <w:color w:val="000000"/>
                <w:kern w:val="0"/>
                <w:sz w:val="20"/>
                <w:szCs w:val="20"/>
              </w:rPr>
            </w:pPr>
            <w:r>
              <w:rPr>
                <w:rFonts w:hint="eastAsia" w:ascii="方正黑体简体" w:hAnsi="方正黑体简体" w:eastAsia="方正黑体简体" w:cs="方正黑体简体"/>
                <w:b/>
                <w:bCs/>
                <w:color w:val="000000"/>
                <w:kern w:val="0"/>
                <w:sz w:val="20"/>
                <w:szCs w:val="20"/>
              </w:rPr>
              <w:t>事项编码</w:t>
            </w:r>
          </w:p>
        </w:tc>
        <w:tc>
          <w:tcPr>
            <w:tcW w:w="6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80" w:lineRule="exact"/>
              <w:jc w:val="center"/>
              <w:rPr>
                <w:rFonts w:hint="eastAsia" w:ascii="方正黑体简体" w:hAnsi="方正黑体简体" w:eastAsia="方正黑体简体" w:cs="方正黑体简体"/>
                <w:b/>
                <w:bCs/>
                <w:color w:val="000000"/>
                <w:kern w:val="0"/>
                <w:sz w:val="20"/>
                <w:szCs w:val="20"/>
              </w:rPr>
            </w:pPr>
            <w:r>
              <w:rPr>
                <w:rFonts w:hint="eastAsia" w:ascii="方正黑体简体" w:hAnsi="方正黑体简体" w:eastAsia="方正黑体简体" w:cs="方正黑体简体"/>
                <w:b/>
                <w:bCs/>
                <w:color w:val="000000"/>
                <w:kern w:val="0"/>
                <w:sz w:val="20"/>
                <w:szCs w:val="20"/>
              </w:rPr>
              <w:t>事项</w:t>
            </w:r>
          </w:p>
          <w:p>
            <w:pPr>
              <w:widowControl/>
              <w:spacing w:line="280" w:lineRule="exact"/>
              <w:jc w:val="center"/>
              <w:rPr>
                <w:rFonts w:hint="eastAsia" w:ascii="方正黑体简体" w:hAnsi="方正黑体简体" w:eastAsia="方正黑体简体" w:cs="方正黑体简体"/>
                <w:b/>
                <w:bCs/>
                <w:color w:val="000000"/>
                <w:kern w:val="0"/>
                <w:sz w:val="20"/>
                <w:szCs w:val="20"/>
              </w:rPr>
            </w:pPr>
            <w:r>
              <w:rPr>
                <w:rFonts w:hint="eastAsia" w:ascii="方正黑体简体" w:hAnsi="方正黑体简体" w:eastAsia="方正黑体简体" w:cs="方正黑体简体"/>
                <w:b/>
                <w:bCs/>
                <w:color w:val="000000"/>
                <w:kern w:val="0"/>
                <w:sz w:val="20"/>
                <w:szCs w:val="20"/>
              </w:rPr>
              <w:t>类型</w:t>
            </w:r>
          </w:p>
        </w:tc>
        <w:tc>
          <w:tcPr>
            <w:tcW w:w="26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80" w:lineRule="exact"/>
              <w:jc w:val="center"/>
              <w:rPr>
                <w:rFonts w:hint="eastAsia" w:ascii="方正黑体简体" w:hAnsi="方正黑体简体" w:eastAsia="方正黑体简体" w:cs="方正黑体简体"/>
                <w:b/>
                <w:bCs/>
                <w:color w:val="000000"/>
                <w:kern w:val="0"/>
                <w:sz w:val="20"/>
                <w:szCs w:val="20"/>
              </w:rPr>
            </w:pPr>
            <w:r>
              <w:rPr>
                <w:rFonts w:hint="eastAsia" w:ascii="方正黑体简体" w:hAnsi="方正黑体简体" w:eastAsia="方正黑体简体" w:cs="方正黑体简体"/>
                <w:b/>
                <w:bCs/>
                <w:color w:val="000000"/>
                <w:kern w:val="0"/>
                <w:sz w:val="20"/>
                <w:szCs w:val="20"/>
              </w:rPr>
              <w:t>设定、行使依据及有关条款</w:t>
            </w:r>
          </w:p>
        </w:tc>
        <w:tc>
          <w:tcPr>
            <w:tcW w:w="8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80" w:lineRule="exact"/>
              <w:jc w:val="center"/>
              <w:rPr>
                <w:rFonts w:hint="eastAsia" w:ascii="方正黑体简体" w:hAnsi="方正黑体简体" w:eastAsia="方正黑体简体" w:cs="方正黑体简体"/>
                <w:b/>
                <w:bCs/>
                <w:color w:val="000000"/>
                <w:kern w:val="0"/>
                <w:sz w:val="20"/>
                <w:szCs w:val="20"/>
              </w:rPr>
            </w:pPr>
            <w:r>
              <w:rPr>
                <w:rFonts w:hint="eastAsia" w:ascii="方正黑体简体" w:hAnsi="方正黑体简体" w:eastAsia="方正黑体简体" w:cs="方正黑体简体"/>
                <w:b/>
                <w:bCs/>
                <w:color w:val="000000"/>
                <w:kern w:val="0"/>
                <w:sz w:val="20"/>
                <w:szCs w:val="20"/>
              </w:rPr>
              <w:t>实施</w:t>
            </w:r>
          </w:p>
          <w:p>
            <w:pPr>
              <w:widowControl/>
              <w:spacing w:line="280" w:lineRule="exact"/>
              <w:jc w:val="center"/>
              <w:rPr>
                <w:rFonts w:hint="eastAsia" w:ascii="方正黑体简体" w:hAnsi="方正黑体简体" w:eastAsia="方正黑体简体" w:cs="方正黑体简体"/>
                <w:b/>
                <w:bCs/>
                <w:color w:val="000000"/>
                <w:kern w:val="0"/>
                <w:sz w:val="20"/>
                <w:szCs w:val="20"/>
              </w:rPr>
            </w:pPr>
            <w:r>
              <w:rPr>
                <w:rFonts w:hint="eastAsia" w:ascii="方正黑体简体" w:hAnsi="方正黑体简体" w:eastAsia="方正黑体简体" w:cs="方正黑体简体"/>
                <w:b/>
                <w:bCs/>
                <w:color w:val="000000"/>
                <w:kern w:val="0"/>
                <w:sz w:val="20"/>
                <w:szCs w:val="20"/>
              </w:rPr>
              <w:t>层级</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80" w:lineRule="exact"/>
              <w:jc w:val="center"/>
              <w:rPr>
                <w:rFonts w:hint="eastAsia" w:ascii="方正黑体简体" w:hAnsi="方正黑体简体" w:eastAsia="方正黑体简体" w:cs="方正黑体简体"/>
                <w:b/>
                <w:bCs/>
                <w:color w:val="000000"/>
                <w:kern w:val="0"/>
                <w:sz w:val="20"/>
                <w:szCs w:val="20"/>
              </w:rPr>
            </w:pPr>
            <w:r>
              <w:rPr>
                <w:rFonts w:hint="eastAsia" w:ascii="方正黑体简体" w:hAnsi="方正黑体简体" w:eastAsia="方正黑体简体" w:cs="方正黑体简体"/>
                <w:b/>
                <w:bCs/>
                <w:color w:val="000000"/>
                <w:kern w:val="0"/>
                <w:sz w:val="20"/>
                <w:szCs w:val="20"/>
              </w:rPr>
              <w:t>实施</w:t>
            </w:r>
          </w:p>
          <w:p>
            <w:pPr>
              <w:widowControl/>
              <w:spacing w:line="280" w:lineRule="exact"/>
              <w:jc w:val="center"/>
              <w:rPr>
                <w:rFonts w:hint="eastAsia" w:ascii="方正黑体简体" w:hAnsi="方正黑体简体" w:eastAsia="方正黑体简体" w:cs="方正黑体简体"/>
                <w:b/>
                <w:bCs/>
                <w:color w:val="000000"/>
                <w:kern w:val="0"/>
                <w:sz w:val="20"/>
                <w:szCs w:val="20"/>
              </w:rPr>
            </w:pPr>
            <w:r>
              <w:rPr>
                <w:rFonts w:hint="eastAsia" w:ascii="方正黑体简体" w:hAnsi="方正黑体简体" w:eastAsia="方正黑体简体" w:cs="方正黑体简体"/>
                <w:b/>
                <w:bCs/>
                <w:color w:val="000000"/>
                <w:kern w:val="0"/>
                <w:sz w:val="20"/>
                <w:szCs w:val="20"/>
              </w:rPr>
              <w:t>权限</w:t>
            </w:r>
          </w:p>
        </w:tc>
        <w:tc>
          <w:tcPr>
            <w:tcW w:w="18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80" w:lineRule="exact"/>
              <w:jc w:val="center"/>
              <w:rPr>
                <w:rFonts w:hint="eastAsia" w:ascii="方正黑体简体" w:hAnsi="方正黑体简体" w:eastAsia="方正黑体简体" w:cs="方正黑体简体"/>
                <w:b/>
                <w:bCs/>
                <w:color w:val="000000"/>
                <w:kern w:val="0"/>
                <w:sz w:val="20"/>
                <w:szCs w:val="20"/>
              </w:rPr>
            </w:pPr>
            <w:r>
              <w:rPr>
                <w:rFonts w:hint="eastAsia" w:ascii="方正黑体简体" w:hAnsi="方正黑体简体" w:eastAsia="方正黑体简体" w:cs="方正黑体简体"/>
                <w:b/>
                <w:bCs/>
                <w:color w:val="000000"/>
                <w:kern w:val="0"/>
                <w:sz w:val="20"/>
                <w:szCs w:val="20"/>
              </w:rPr>
              <w:t>对应责任事项</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80" w:lineRule="exact"/>
              <w:jc w:val="center"/>
              <w:rPr>
                <w:rFonts w:hint="eastAsia" w:ascii="方正黑体简体" w:hAnsi="方正黑体简体" w:eastAsia="方正黑体简体" w:cs="方正黑体简体"/>
                <w:b/>
                <w:bCs/>
                <w:color w:val="000000"/>
                <w:kern w:val="0"/>
                <w:sz w:val="20"/>
                <w:szCs w:val="20"/>
              </w:rPr>
            </w:pPr>
            <w:r>
              <w:rPr>
                <w:rFonts w:hint="eastAsia" w:ascii="方正黑体简体" w:hAnsi="方正黑体简体" w:eastAsia="方正黑体简体" w:cs="方正黑体简体"/>
                <w:b/>
                <w:bCs/>
                <w:color w:val="000000"/>
                <w:kern w:val="0"/>
                <w:sz w:val="20"/>
                <w:szCs w:val="20"/>
              </w:rPr>
              <w:t>追责情形及依据</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80" w:lineRule="exact"/>
              <w:jc w:val="center"/>
              <w:rPr>
                <w:rFonts w:hint="eastAsia" w:ascii="方正黑体简体" w:hAnsi="方正黑体简体" w:eastAsia="方正黑体简体" w:cs="方正黑体简体"/>
                <w:b/>
                <w:bCs/>
                <w:color w:val="000000"/>
                <w:kern w:val="0"/>
                <w:sz w:val="20"/>
                <w:szCs w:val="20"/>
              </w:rPr>
            </w:pPr>
            <w:r>
              <w:rPr>
                <w:rFonts w:hint="eastAsia" w:ascii="方正黑体简体" w:hAnsi="方正黑体简体" w:eastAsia="方正黑体简体" w:cs="方正黑体简体"/>
                <w:b/>
                <w:bCs/>
                <w:color w:val="000000"/>
                <w:kern w:val="0"/>
                <w:sz w:val="20"/>
                <w:szCs w:val="20"/>
              </w:rPr>
              <w:t>备注</w:t>
            </w:r>
          </w:p>
        </w:tc>
      </w:tr>
      <w:tr>
        <w:tblPrEx>
          <w:tblLayout w:type="fixed"/>
          <w:tblCellMar>
            <w:top w:w="0" w:type="dxa"/>
            <w:left w:w="28" w:type="dxa"/>
            <w:bottom w:w="0" w:type="dxa"/>
            <w:right w:w="28" w:type="dxa"/>
          </w:tblCellMar>
        </w:tblPrEx>
        <w:trPr>
          <w:trHeight w:val="7501" w:hRule="atLeast"/>
        </w:trPr>
        <w:tc>
          <w:tcPr>
            <w:tcW w:w="5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80" w:lineRule="exact"/>
              <w:jc w:val="center"/>
              <w:rPr>
                <w:rFonts w:cs="Arial"/>
                <w:b/>
                <w:bCs/>
                <w:color w:val="000000"/>
                <w:kern w:val="0"/>
                <w:sz w:val="20"/>
                <w:szCs w:val="20"/>
              </w:rPr>
            </w:pPr>
            <w:r>
              <w:rPr>
                <w:rFonts w:cs="Arial"/>
                <w:b/>
                <w:bCs/>
                <w:color w:val="000000"/>
                <w:kern w:val="0"/>
                <w:sz w:val="20"/>
                <w:szCs w:val="20"/>
              </w:rPr>
              <w:t>1</w:t>
            </w:r>
          </w:p>
        </w:tc>
        <w:tc>
          <w:tcPr>
            <w:tcW w:w="6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rPr>
                <w:rFonts w:hAnsi="Verdana" w:cs="Arial"/>
                <w:b/>
                <w:bCs/>
                <w:color w:val="000000"/>
                <w:kern w:val="0"/>
                <w:sz w:val="20"/>
                <w:szCs w:val="20"/>
              </w:rPr>
            </w:pPr>
            <w:r>
              <w:rPr>
                <w:rFonts w:hAnsi="Verdana" w:cs="Arial"/>
                <w:b/>
                <w:bCs/>
                <w:color w:val="000000"/>
                <w:kern w:val="0"/>
                <w:sz w:val="20"/>
                <w:szCs w:val="20"/>
              </w:rPr>
              <w:t>济宁市医疗保障局</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rPr>
                <w:rFonts w:hAnsi="Verdana" w:cs="Arial"/>
                <w:b/>
                <w:bCs/>
                <w:color w:val="000000"/>
                <w:kern w:val="0"/>
                <w:sz w:val="20"/>
                <w:szCs w:val="20"/>
              </w:rPr>
            </w:pPr>
            <w:r>
              <w:rPr>
                <w:rFonts w:hAnsi="Verdana" w:cs="Arial"/>
                <w:b/>
                <w:bCs/>
                <w:color w:val="000000"/>
                <w:kern w:val="0"/>
                <w:sz w:val="20"/>
                <w:szCs w:val="20"/>
              </w:rPr>
              <w:t>拟定全市医疗保障筹资和待遇政策</w:t>
            </w:r>
          </w:p>
        </w:tc>
        <w:tc>
          <w:tcPr>
            <w:tcW w:w="8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rPr>
                <w:rFonts w:hAnsi="Verdana" w:cs="Arial"/>
                <w:b/>
                <w:bCs/>
                <w:color w:val="000000"/>
                <w:kern w:val="0"/>
                <w:sz w:val="20"/>
                <w:szCs w:val="20"/>
              </w:rPr>
            </w:pPr>
            <w:r>
              <w:rPr>
                <w:rFonts w:hint="eastAsia" w:hAnsi="Verdana" w:cs="Arial"/>
                <w:b/>
                <w:bCs/>
                <w:color w:val="000000"/>
                <w:kern w:val="0"/>
                <w:sz w:val="20"/>
                <w:szCs w:val="20"/>
              </w:rPr>
              <w:t>缓缴医疗保险费、生育保险费审核</w:t>
            </w:r>
          </w:p>
        </w:tc>
        <w:tc>
          <w:tcPr>
            <w:tcW w:w="14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rPr>
                <w:rFonts w:hAnsi="Verdana" w:cs="Arial"/>
                <w:b/>
                <w:bCs/>
                <w:color w:val="000000"/>
                <w:kern w:val="0"/>
                <w:sz w:val="20"/>
                <w:szCs w:val="20"/>
              </w:rPr>
            </w:pPr>
            <w:r>
              <w:rPr>
                <w:rFonts w:hAnsi="Verdana" w:cs="Arial"/>
                <w:b/>
                <w:bCs/>
                <w:color w:val="000000"/>
                <w:kern w:val="0"/>
                <w:sz w:val="20"/>
                <w:szCs w:val="20"/>
              </w:rPr>
              <w:t>3700000736002</w:t>
            </w:r>
          </w:p>
        </w:tc>
        <w:tc>
          <w:tcPr>
            <w:tcW w:w="64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jc w:val="center"/>
              <w:rPr>
                <w:rFonts w:hAnsi="Verdana" w:cs="Arial"/>
                <w:b/>
                <w:bCs/>
                <w:color w:val="000000"/>
                <w:kern w:val="0"/>
                <w:sz w:val="20"/>
                <w:szCs w:val="20"/>
              </w:rPr>
            </w:pPr>
            <w:r>
              <w:rPr>
                <w:rFonts w:hAnsi="Verdana" w:cs="Arial"/>
                <w:b/>
                <w:bCs/>
                <w:color w:val="000000"/>
                <w:kern w:val="0"/>
                <w:sz w:val="20"/>
                <w:szCs w:val="20"/>
              </w:rPr>
              <w:t>行政</w:t>
            </w:r>
          </w:p>
          <w:p>
            <w:pPr>
              <w:widowControl/>
              <w:spacing w:line="260" w:lineRule="exact"/>
              <w:jc w:val="center"/>
              <w:rPr>
                <w:rFonts w:hAnsi="Verdana" w:cs="Arial"/>
                <w:b/>
                <w:bCs/>
                <w:color w:val="000000"/>
                <w:kern w:val="0"/>
                <w:sz w:val="20"/>
                <w:szCs w:val="20"/>
              </w:rPr>
            </w:pPr>
            <w:r>
              <w:rPr>
                <w:rFonts w:hAnsi="Verdana" w:cs="Arial"/>
                <w:b/>
                <w:bCs/>
                <w:color w:val="000000"/>
                <w:kern w:val="0"/>
                <w:sz w:val="20"/>
                <w:szCs w:val="20"/>
              </w:rPr>
              <w:t>确认</w:t>
            </w:r>
          </w:p>
        </w:tc>
        <w:tc>
          <w:tcPr>
            <w:tcW w:w="260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rPr>
                <w:rFonts w:hAnsi="Verdana" w:cs="Arial"/>
                <w:b/>
                <w:bCs/>
                <w:color w:val="000000"/>
                <w:kern w:val="0"/>
                <w:sz w:val="20"/>
                <w:szCs w:val="20"/>
              </w:rPr>
            </w:pPr>
            <w:r>
              <w:rPr>
                <w:rFonts w:hAnsi="Verdana" w:cs="Arial"/>
                <w:b/>
                <w:bCs/>
                <w:color w:val="000000"/>
                <w:kern w:val="0"/>
                <w:sz w:val="20"/>
                <w:szCs w:val="20"/>
              </w:rPr>
              <w:t>1.【行政法规】《社会保险法》（2018年12月修改）第六十条：用人单位应当自行申报、按时足额缴纳社会保险费，非因不可抗力等法定事由不得缓缴、减免。</w:t>
            </w:r>
            <w:r>
              <w:rPr>
                <w:rFonts w:hAnsi="Verdana" w:cs="Arial"/>
                <w:b/>
                <w:bCs/>
                <w:color w:val="000000"/>
                <w:kern w:val="0"/>
                <w:sz w:val="20"/>
                <w:szCs w:val="20"/>
              </w:rPr>
              <w:br w:type="textWrapping"/>
            </w:r>
            <w:r>
              <w:rPr>
                <w:rFonts w:hAnsi="Verdana" w:cs="Arial"/>
                <w:b/>
                <w:bCs/>
                <w:color w:val="000000"/>
                <w:kern w:val="0"/>
                <w:sz w:val="20"/>
                <w:szCs w:val="20"/>
              </w:rPr>
              <w:t>2.【部门规章】《实施&lt;中华人民共和国社会保险法&gt;若干规定》（2011年6月人社部令第13号）第二十一条：用人单位因不可抗力造成生产经营出现严重困难的，经省级人民政府社会保险行政部门批准后，可以暂缓缴纳一定期限的社会保险费，期限一般不超过一年。暂缓缴费期间，免收滞纳金。到期后，用人单位应当缴纳相应的社会保险费。</w:t>
            </w:r>
          </w:p>
        </w:tc>
        <w:tc>
          <w:tcPr>
            <w:tcW w:w="8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rPr>
                <w:rFonts w:hAnsi="Verdana" w:cs="Arial"/>
                <w:b/>
                <w:bCs/>
                <w:color w:val="000000"/>
                <w:kern w:val="0"/>
                <w:sz w:val="20"/>
                <w:szCs w:val="20"/>
              </w:rPr>
            </w:pPr>
            <w:r>
              <w:rPr>
                <w:rFonts w:hAnsi="Verdana" w:cs="Arial"/>
                <w:b/>
                <w:bCs/>
                <w:color w:val="000000"/>
                <w:kern w:val="0"/>
                <w:sz w:val="20"/>
                <w:szCs w:val="20"/>
              </w:rPr>
              <w:t>市</w:t>
            </w:r>
          </w:p>
        </w:tc>
        <w:tc>
          <w:tcPr>
            <w:tcW w:w="99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60" w:lineRule="exact"/>
              <w:rPr>
                <w:rFonts w:hAnsi="Verdana" w:cs="Arial"/>
                <w:b/>
                <w:bCs/>
                <w:color w:val="000000"/>
                <w:kern w:val="0"/>
                <w:sz w:val="20"/>
                <w:szCs w:val="20"/>
              </w:rPr>
            </w:pPr>
            <w:r>
              <w:rPr>
                <w:rFonts w:hAnsi="Verdana" w:cs="Arial"/>
                <w:b/>
                <w:bCs/>
                <w:color w:val="000000"/>
                <w:kern w:val="0"/>
                <w:sz w:val="20"/>
                <w:szCs w:val="20"/>
              </w:rPr>
              <w:t>负责本行政区域内暂缓缴纳医疗保险费、生育保险费申请的初审</w:t>
            </w:r>
          </w:p>
        </w:tc>
        <w:tc>
          <w:tcPr>
            <w:tcW w:w="18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Ansi="Verdana" w:cs="Arial"/>
                <w:b/>
                <w:bCs/>
                <w:color w:val="000000"/>
                <w:kern w:val="0"/>
                <w:sz w:val="20"/>
                <w:szCs w:val="20"/>
              </w:rPr>
            </w:pPr>
            <w:r>
              <w:rPr>
                <w:rFonts w:hint="eastAsia" w:hAnsi="Verdana" w:cs="Arial"/>
                <w:b/>
                <w:bCs/>
                <w:color w:val="000000"/>
                <w:kern w:val="0"/>
                <w:sz w:val="20"/>
                <w:szCs w:val="20"/>
              </w:rPr>
              <w:t>直接实施责任</w:t>
            </w:r>
            <w:r>
              <w:rPr>
                <w:rFonts w:hAnsi="Verdana" w:cs="Arial"/>
                <w:b/>
                <w:bCs/>
                <w:color w:val="000000"/>
                <w:kern w:val="0"/>
                <w:sz w:val="20"/>
                <w:szCs w:val="20"/>
              </w:rPr>
              <w:t>:</w:t>
            </w:r>
            <w:r>
              <w:rPr>
                <w:rFonts w:hAnsi="Verdana" w:cs="Arial"/>
                <w:b/>
                <w:bCs/>
                <w:color w:val="000000"/>
                <w:kern w:val="0"/>
                <w:sz w:val="20"/>
                <w:szCs w:val="20"/>
              </w:rPr>
              <w:br w:type="textWrapping"/>
            </w:r>
            <w:r>
              <w:rPr>
                <w:rFonts w:hAnsi="Verdana" w:cs="Arial"/>
                <w:b/>
                <w:bCs/>
                <w:color w:val="000000"/>
                <w:kern w:val="0"/>
                <w:sz w:val="20"/>
                <w:szCs w:val="20"/>
              </w:rPr>
              <w:t>1.根据省级规定，明确暂缓医疗和生育保险费依据、程序、期限以及需要提交的全部材料目录和申请书示范文本等，便于申请人阅取。</w:t>
            </w:r>
            <w:r>
              <w:rPr>
                <w:rFonts w:hAnsi="Verdana" w:cs="Arial"/>
                <w:b/>
                <w:bCs/>
                <w:color w:val="000000"/>
                <w:kern w:val="0"/>
                <w:sz w:val="20"/>
                <w:szCs w:val="20"/>
              </w:rPr>
              <w:br w:type="textWrapping"/>
            </w:r>
            <w:r>
              <w:rPr>
                <w:rFonts w:hAnsi="Verdana" w:cs="Arial"/>
                <w:b/>
                <w:bCs/>
                <w:color w:val="000000"/>
                <w:kern w:val="0"/>
                <w:sz w:val="20"/>
                <w:szCs w:val="20"/>
              </w:rPr>
              <w:t>2.依法依规接收暂缓缴纳医疗和生育保险费申请并进行初审，将初审意见上报省级部门。</w:t>
            </w:r>
            <w:r>
              <w:rPr>
                <w:rFonts w:hAnsi="Verdana" w:cs="Arial"/>
                <w:b/>
                <w:bCs/>
                <w:color w:val="000000"/>
                <w:kern w:val="0"/>
                <w:sz w:val="20"/>
                <w:szCs w:val="20"/>
              </w:rPr>
              <w:br w:type="textWrapping"/>
            </w:r>
            <w:r>
              <w:rPr>
                <w:rFonts w:hAnsi="Verdana" w:cs="Arial"/>
                <w:b/>
                <w:bCs/>
                <w:color w:val="000000"/>
                <w:kern w:val="0"/>
                <w:sz w:val="20"/>
                <w:szCs w:val="20"/>
              </w:rPr>
              <w:t>3.指导用人单位与社保经办机构签订缓缴协议，明确缓缴期间双方的权利与责任。</w:t>
            </w:r>
            <w:r>
              <w:rPr>
                <w:rFonts w:hAnsi="Verdana" w:cs="Arial"/>
                <w:b/>
                <w:bCs/>
                <w:color w:val="000000"/>
                <w:kern w:val="0"/>
                <w:sz w:val="20"/>
                <w:szCs w:val="20"/>
              </w:rPr>
              <w:br w:type="textWrapping"/>
            </w:r>
            <w:r>
              <w:rPr>
                <w:rFonts w:hAnsi="Verdana" w:cs="Arial"/>
                <w:b/>
                <w:bCs/>
                <w:color w:val="000000"/>
                <w:kern w:val="0"/>
                <w:sz w:val="20"/>
                <w:szCs w:val="20"/>
              </w:rPr>
              <w:t>指导监督责任：</w:t>
            </w:r>
            <w:r>
              <w:rPr>
                <w:rFonts w:hAnsi="Verdana" w:cs="Arial"/>
                <w:b/>
                <w:bCs/>
                <w:color w:val="000000"/>
                <w:kern w:val="0"/>
                <w:sz w:val="20"/>
                <w:szCs w:val="20"/>
              </w:rPr>
              <w:br w:type="textWrapping"/>
            </w:r>
            <w:r>
              <w:rPr>
                <w:rFonts w:hAnsi="Verdana" w:cs="Arial"/>
                <w:b/>
                <w:bCs/>
                <w:color w:val="000000"/>
                <w:kern w:val="0"/>
                <w:sz w:val="20"/>
                <w:szCs w:val="20"/>
              </w:rPr>
              <w:t>无</w:t>
            </w:r>
          </w:p>
        </w:tc>
        <w:tc>
          <w:tcPr>
            <w:tcW w:w="16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Ansi="Verdana" w:cs="Arial"/>
                <w:b/>
                <w:bCs/>
                <w:color w:val="000000"/>
                <w:kern w:val="0"/>
                <w:sz w:val="20"/>
                <w:szCs w:val="20"/>
              </w:rPr>
            </w:pPr>
            <w:r>
              <w:rPr>
                <w:rFonts w:hAnsi="Verdana" w:cs="Arial"/>
                <w:b/>
                <w:bCs/>
                <w:color w:val="000000"/>
                <w:kern w:val="0"/>
                <w:sz w:val="20"/>
                <w:szCs w:val="20"/>
              </w:rPr>
              <w:t>1.【法律】《社会保险法》（2018年12月修改）第九十三条：　国家工作人员在社会保险管理、监督工作中滥用职权、玩忽职守、徇私舞弊的，依法给予处分。</w:t>
            </w:r>
            <w:r>
              <w:rPr>
                <w:rFonts w:hAnsi="Verdana" w:cs="Arial"/>
                <w:b/>
                <w:bCs/>
                <w:color w:val="000000"/>
                <w:kern w:val="0"/>
                <w:sz w:val="20"/>
                <w:szCs w:val="20"/>
              </w:rPr>
              <w:br w:type="textWrapping"/>
            </w:r>
            <w:r>
              <w:rPr>
                <w:rFonts w:hAnsi="Verdana" w:cs="Arial"/>
                <w:b/>
                <w:bCs/>
                <w:color w:val="000000"/>
                <w:kern w:val="0"/>
                <w:sz w:val="20"/>
                <w:szCs w:val="20"/>
              </w:rPr>
              <w:t>2.【法律】《监察法》（2018年3月通过）规定的追责情形</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80" w:lineRule="exact"/>
              <w:jc w:val="center"/>
              <w:rPr>
                <w:rFonts w:cs="Arial"/>
                <w:b/>
                <w:bCs/>
                <w:color w:val="000000"/>
                <w:kern w:val="0"/>
                <w:sz w:val="20"/>
                <w:szCs w:val="20"/>
              </w:rPr>
            </w:pPr>
          </w:p>
        </w:tc>
      </w:tr>
    </w:tbl>
    <w:p>
      <w:pPr>
        <w:widowControl/>
        <w:tabs>
          <w:tab w:val="left" w:pos="18154"/>
          <w:tab w:val="left" w:pos="23194"/>
        </w:tabs>
        <w:spacing w:line="600" w:lineRule="exact"/>
        <w:ind w:left="91"/>
        <w:jc w:val="center"/>
        <w:rPr>
          <w:rFonts w:hint="eastAsia" w:ascii="方正小标宋简体" w:hAnsi="方正小标宋简体" w:eastAsia="方正小标宋简体" w:cs="方正小标宋简体"/>
          <w:b/>
          <w:bCs/>
          <w:color w:val="000000"/>
          <w:kern w:val="0"/>
          <w:sz w:val="44"/>
          <w:szCs w:val="44"/>
        </w:rPr>
      </w:pPr>
      <w:r>
        <w:rPr>
          <w:rFonts w:hint="eastAsia" w:ascii="方正小标宋简体" w:hAnsi="方正小标宋简体" w:eastAsia="方正小标宋简体" w:cs="方正小标宋简体"/>
          <w:b/>
          <w:bCs/>
          <w:color w:val="000000"/>
          <w:kern w:val="0"/>
          <w:sz w:val="44"/>
          <w:szCs w:val="44"/>
        </w:rPr>
        <w:t>权责清单目录分表</w:t>
      </w:r>
      <w:r>
        <w:rPr>
          <w:rFonts w:hint="eastAsia" w:ascii="方正小标宋简体" w:hAnsi="方正小标宋简体" w:eastAsia="方正小标宋简体" w:cs="方正小标宋简体"/>
          <w:b/>
          <w:bCs/>
          <w:color w:val="000000"/>
          <w:kern w:val="0"/>
          <w:sz w:val="44"/>
          <w:szCs w:val="44"/>
          <w:lang w:eastAsia="zh-CN"/>
        </w:rPr>
        <w:t>（</w:t>
      </w:r>
      <w:r>
        <w:rPr>
          <w:rFonts w:hint="eastAsia" w:ascii="方正小标宋简体" w:hAnsi="方正小标宋简体" w:eastAsia="方正小标宋简体" w:cs="方正小标宋简体"/>
          <w:b/>
          <w:bCs/>
          <w:color w:val="000000"/>
          <w:kern w:val="0"/>
          <w:sz w:val="44"/>
          <w:szCs w:val="44"/>
        </w:rPr>
        <w:t>行政检查类</w:t>
      </w:r>
      <w:r>
        <w:rPr>
          <w:rFonts w:hint="eastAsia" w:ascii="方正小标宋简体" w:hAnsi="方正小标宋简体" w:eastAsia="方正小标宋简体" w:cs="方正小标宋简体"/>
          <w:b/>
          <w:bCs/>
          <w:color w:val="000000"/>
          <w:kern w:val="0"/>
          <w:sz w:val="44"/>
          <w:szCs w:val="44"/>
          <w:lang w:eastAsia="zh-CN"/>
        </w:rPr>
        <w:t>）</w:t>
      </w:r>
    </w:p>
    <w:tbl>
      <w:tblPr>
        <w:tblStyle w:val="4"/>
        <w:tblW w:w="13682" w:type="dxa"/>
        <w:tblInd w:w="0" w:type="dxa"/>
        <w:tblLayout w:type="fixed"/>
        <w:tblCellMar>
          <w:top w:w="0" w:type="dxa"/>
          <w:left w:w="28" w:type="dxa"/>
          <w:bottom w:w="0" w:type="dxa"/>
          <w:right w:w="28" w:type="dxa"/>
        </w:tblCellMar>
      </w:tblPr>
      <w:tblGrid>
        <w:gridCol w:w="409"/>
        <w:gridCol w:w="796"/>
        <w:gridCol w:w="1265"/>
        <w:gridCol w:w="811"/>
        <w:gridCol w:w="1510"/>
        <w:gridCol w:w="796"/>
        <w:gridCol w:w="2541"/>
        <w:gridCol w:w="796"/>
        <w:gridCol w:w="811"/>
        <w:gridCol w:w="1549"/>
        <w:gridCol w:w="1980"/>
        <w:gridCol w:w="418"/>
      </w:tblGrid>
      <w:tr>
        <w:tblPrEx>
          <w:tblLayout w:type="fixed"/>
          <w:tblCellMar>
            <w:top w:w="0" w:type="dxa"/>
            <w:left w:w="28" w:type="dxa"/>
            <w:bottom w:w="0" w:type="dxa"/>
            <w:right w:w="28" w:type="dxa"/>
          </w:tblCellMar>
        </w:tblPrEx>
        <w:trPr>
          <w:trHeight w:val="77" w:hRule="atLeast"/>
          <w:tblHeader/>
        </w:trPr>
        <w:tc>
          <w:tcPr>
            <w:tcW w:w="4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80" w:lineRule="exact"/>
              <w:jc w:val="center"/>
              <w:rPr>
                <w:rFonts w:hint="eastAsia" w:ascii="方正黑体简体" w:eastAsia="方正黑体简体" w:cs="Arial"/>
                <w:b/>
                <w:bCs/>
                <w:color w:val="000000"/>
                <w:kern w:val="0"/>
                <w:sz w:val="20"/>
                <w:szCs w:val="20"/>
              </w:rPr>
            </w:pPr>
            <w:r>
              <w:rPr>
                <w:rFonts w:hint="eastAsia" w:ascii="方正黑体简体" w:hAnsi="Verdana" w:eastAsia="方正黑体简体" w:cs="Arial"/>
                <w:b/>
                <w:bCs/>
                <w:color w:val="000000"/>
                <w:kern w:val="0"/>
                <w:sz w:val="20"/>
                <w:szCs w:val="20"/>
              </w:rPr>
              <w:t>序号</w:t>
            </w:r>
          </w:p>
        </w:tc>
        <w:tc>
          <w:tcPr>
            <w:tcW w:w="7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80" w:lineRule="exact"/>
              <w:jc w:val="center"/>
              <w:rPr>
                <w:rFonts w:hint="eastAsia" w:ascii="方正黑体简体" w:hAnsi="Verdana" w:eastAsia="方正黑体简体" w:cs="Arial"/>
                <w:b/>
                <w:bCs/>
                <w:color w:val="000000"/>
                <w:kern w:val="0"/>
                <w:sz w:val="20"/>
                <w:szCs w:val="20"/>
              </w:rPr>
            </w:pPr>
            <w:r>
              <w:rPr>
                <w:rFonts w:hint="eastAsia" w:ascii="方正黑体简体" w:hAnsi="Verdana" w:eastAsia="方正黑体简体" w:cs="Arial"/>
                <w:b/>
                <w:bCs/>
                <w:color w:val="000000"/>
                <w:kern w:val="0"/>
                <w:sz w:val="20"/>
                <w:szCs w:val="20"/>
              </w:rPr>
              <w:t>实施</w:t>
            </w:r>
          </w:p>
          <w:p>
            <w:pPr>
              <w:spacing w:line="280" w:lineRule="exact"/>
              <w:jc w:val="center"/>
              <w:rPr>
                <w:rFonts w:hint="eastAsia" w:ascii="方正黑体简体" w:eastAsia="方正黑体简体" w:cs="Arial"/>
                <w:b/>
                <w:bCs/>
                <w:color w:val="000000"/>
                <w:kern w:val="0"/>
                <w:sz w:val="20"/>
                <w:szCs w:val="20"/>
              </w:rPr>
            </w:pPr>
            <w:r>
              <w:rPr>
                <w:rFonts w:hint="eastAsia" w:ascii="方正黑体简体" w:hAnsi="Verdana" w:eastAsia="方正黑体简体" w:cs="Arial"/>
                <w:b/>
                <w:bCs/>
                <w:color w:val="000000"/>
                <w:kern w:val="0"/>
                <w:sz w:val="20"/>
                <w:szCs w:val="20"/>
              </w:rPr>
              <w:t>机构</w:t>
            </w:r>
          </w:p>
        </w:tc>
        <w:tc>
          <w:tcPr>
            <w:tcW w:w="12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80" w:lineRule="exact"/>
              <w:jc w:val="center"/>
              <w:rPr>
                <w:rFonts w:hint="eastAsia" w:ascii="方正黑体简体" w:eastAsia="方正黑体简体" w:cs="Arial"/>
                <w:b/>
                <w:bCs/>
                <w:color w:val="000000"/>
                <w:kern w:val="0"/>
                <w:sz w:val="20"/>
                <w:szCs w:val="20"/>
              </w:rPr>
            </w:pPr>
            <w:r>
              <w:rPr>
                <w:rFonts w:hint="eastAsia" w:ascii="方正黑体简体" w:hAnsi="Verdana" w:eastAsia="方正黑体简体" w:cs="Arial"/>
                <w:b/>
                <w:bCs/>
                <w:color w:val="000000"/>
                <w:kern w:val="0"/>
                <w:sz w:val="20"/>
                <w:szCs w:val="20"/>
              </w:rPr>
              <w:t>部门职责</w:t>
            </w:r>
          </w:p>
        </w:tc>
        <w:tc>
          <w:tcPr>
            <w:tcW w:w="8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80" w:lineRule="exact"/>
              <w:jc w:val="center"/>
              <w:rPr>
                <w:rFonts w:hint="eastAsia" w:ascii="方正黑体简体" w:hAnsi="Verdana" w:eastAsia="方正黑体简体" w:cs="Arial"/>
                <w:b/>
                <w:bCs/>
                <w:color w:val="000000"/>
                <w:kern w:val="0"/>
                <w:sz w:val="20"/>
                <w:szCs w:val="20"/>
              </w:rPr>
            </w:pPr>
            <w:r>
              <w:rPr>
                <w:rFonts w:hint="eastAsia" w:ascii="方正黑体简体" w:hAnsi="Verdana" w:eastAsia="方正黑体简体" w:cs="Arial"/>
                <w:b/>
                <w:bCs/>
                <w:color w:val="000000"/>
                <w:kern w:val="0"/>
                <w:sz w:val="20"/>
                <w:szCs w:val="20"/>
              </w:rPr>
              <w:t>事项</w:t>
            </w:r>
          </w:p>
          <w:p>
            <w:pPr>
              <w:spacing w:line="280" w:lineRule="exact"/>
              <w:jc w:val="center"/>
              <w:rPr>
                <w:rFonts w:hint="eastAsia" w:ascii="方正黑体简体" w:eastAsia="方正黑体简体" w:cs="Arial"/>
                <w:b/>
                <w:bCs/>
                <w:color w:val="000000"/>
                <w:kern w:val="0"/>
                <w:sz w:val="20"/>
                <w:szCs w:val="20"/>
              </w:rPr>
            </w:pPr>
            <w:r>
              <w:rPr>
                <w:rFonts w:hint="eastAsia" w:ascii="方正黑体简体" w:hAnsi="Verdana" w:eastAsia="方正黑体简体" w:cs="Arial"/>
                <w:b/>
                <w:bCs/>
                <w:color w:val="000000"/>
                <w:kern w:val="0"/>
                <w:sz w:val="20"/>
                <w:szCs w:val="20"/>
              </w:rPr>
              <w:t>名称</w:t>
            </w:r>
          </w:p>
        </w:tc>
        <w:tc>
          <w:tcPr>
            <w:tcW w:w="15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80" w:lineRule="exact"/>
              <w:jc w:val="center"/>
              <w:rPr>
                <w:rFonts w:hint="eastAsia" w:ascii="方正黑体简体" w:eastAsia="方正黑体简体" w:cs="Arial"/>
                <w:b/>
                <w:bCs/>
                <w:color w:val="000000"/>
                <w:kern w:val="0"/>
                <w:sz w:val="20"/>
                <w:szCs w:val="20"/>
              </w:rPr>
            </w:pPr>
            <w:r>
              <w:rPr>
                <w:rFonts w:hint="eastAsia" w:ascii="方正黑体简体" w:hAnsi="Verdana" w:eastAsia="方正黑体简体" w:cs="Arial"/>
                <w:b/>
                <w:bCs/>
                <w:color w:val="000000"/>
                <w:kern w:val="0"/>
                <w:sz w:val="20"/>
                <w:szCs w:val="20"/>
              </w:rPr>
              <w:t>事项编码</w:t>
            </w:r>
          </w:p>
        </w:tc>
        <w:tc>
          <w:tcPr>
            <w:tcW w:w="7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80" w:lineRule="exact"/>
              <w:jc w:val="center"/>
              <w:rPr>
                <w:rFonts w:hint="eastAsia" w:ascii="方正黑体简体" w:hAnsi="Verdana" w:eastAsia="方正黑体简体" w:cs="Arial"/>
                <w:b/>
                <w:bCs/>
                <w:color w:val="000000"/>
                <w:kern w:val="0"/>
                <w:sz w:val="20"/>
                <w:szCs w:val="20"/>
              </w:rPr>
            </w:pPr>
            <w:r>
              <w:rPr>
                <w:rFonts w:hint="eastAsia" w:ascii="方正黑体简体" w:hAnsi="Verdana" w:eastAsia="方正黑体简体" w:cs="Arial"/>
                <w:b/>
                <w:bCs/>
                <w:color w:val="000000"/>
                <w:kern w:val="0"/>
                <w:sz w:val="20"/>
                <w:szCs w:val="20"/>
              </w:rPr>
              <w:t>事项</w:t>
            </w:r>
          </w:p>
          <w:p>
            <w:pPr>
              <w:spacing w:line="280" w:lineRule="exact"/>
              <w:jc w:val="center"/>
              <w:rPr>
                <w:rFonts w:hint="eastAsia" w:ascii="方正黑体简体" w:eastAsia="方正黑体简体" w:cs="Arial"/>
                <w:b/>
                <w:bCs/>
                <w:color w:val="000000"/>
                <w:kern w:val="0"/>
                <w:sz w:val="20"/>
                <w:szCs w:val="20"/>
              </w:rPr>
            </w:pPr>
            <w:r>
              <w:rPr>
                <w:rFonts w:hint="eastAsia" w:ascii="方正黑体简体" w:hAnsi="Verdana" w:eastAsia="方正黑体简体" w:cs="Arial"/>
                <w:b/>
                <w:bCs/>
                <w:color w:val="000000"/>
                <w:kern w:val="0"/>
                <w:sz w:val="20"/>
                <w:szCs w:val="20"/>
              </w:rPr>
              <w:t>类型</w:t>
            </w:r>
          </w:p>
        </w:tc>
        <w:tc>
          <w:tcPr>
            <w:tcW w:w="25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80" w:lineRule="exact"/>
              <w:jc w:val="center"/>
              <w:rPr>
                <w:rFonts w:hint="eastAsia" w:ascii="方正黑体简体" w:eastAsia="方正黑体简体" w:cs="Arial"/>
                <w:b/>
                <w:bCs/>
                <w:color w:val="000000"/>
                <w:kern w:val="0"/>
                <w:sz w:val="20"/>
                <w:szCs w:val="20"/>
              </w:rPr>
            </w:pPr>
            <w:r>
              <w:rPr>
                <w:rFonts w:hint="eastAsia" w:ascii="方正黑体简体" w:hAnsi="Verdana" w:eastAsia="方正黑体简体" w:cs="Arial"/>
                <w:b/>
                <w:bCs/>
                <w:color w:val="000000"/>
                <w:kern w:val="0"/>
                <w:sz w:val="20"/>
                <w:szCs w:val="20"/>
              </w:rPr>
              <w:t>设定、行使依据及有关条款</w:t>
            </w:r>
          </w:p>
        </w:tc>
        <w:tc>
          <w:tcPr>
            <w:tcW w:w="7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80" w:lineRule="exact"/>
              <w:jc w:val="center"/>
              <w:rPr>
                <w:rFonts w:hint="eastAsia" w:ascii="方正黑体简体" w:hAnsi="Verdana" w:eastAsia="方正黑体简体" w:cs="Arial"/>
                <w:b/>
                <w:bCs/>
                <w:color w:val="000000"/>
                <w:kern w:val="0"/>
                <w:sz w:val="20"/>
                <w:szCs w:val="20"/>
              </w:rPr>
            </w:pPr>
            <w:r>
              <w:rPr>
                <w:rFonts w:hint="eastAsia" w:ascii="方正黑体简体" w:hAnsi="Verdana" w:eastAsia="方正黑体简体" w:cs="Arial"/>
                <w:b/>
                <w:bCs/>
                <w:color w:val="000000"/>
                <w:kern w:val="0"/>
                <w:sz w:val="20"/>
                <w:szCs w:val="20"/>
              </w:rPr>
              <w:t>实施</w:t>
            </w:r>
          </w:p>
          <w:p>
            <w:pPr>
              <w:spacing w:line="280" w:lineRule="exact"/>
              <w:jc w:val="center"/>
              <w:rPr>
                <w:rFonts w:hint="eastAsia" w:ascii="方正黑体简体" w:eastAsia="方正黑体简体" w:cs="Arial"/>
                <w:b/>
                <w:bCs/>
                <w:color w:val="000000"/>
                <w:kern w:val="0"/>
                <w:sz w:val="20"/>
                <w:szCs w:val="20"/>
              </w:rPr>
            </w:pPr>
            <w:r>
              <w:rPr>
                <w:rFonts w:hint="eastAsia" w:ascii="方正黑体简体" w:hAnsi="Verdana" w:eastAsia="方正黑体简体" w:cs="Arial"/>
                <w:b/>
                <w:bCs/>
                <w:color w:val="000000"/>
                <w:kern w:val="0"/>
                <w:sz w:val="20"/>
                <w:szCs w:val="20"/>
              </w:rPr>
              <w:t>层级</w:t>
            </w:r>
          </w:p>
        </w:tc>
        <w:tc>
          <w:tcPr>
            <w:tcW w:w="8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80" w:lineRule="exact"/>
              <w:jc w:val="center"/>
              <w:rPr>
                <w:rFonts w:hint="eastAsia" w:ascii="方正黑体简体" w:hAnsi="Verdana" w:eastAsia="方正黑体简体" w:cs="Arial"/>
                <w:b/>
                <w:bCs/>
                <w:color w:val="000000"/>
                <w:kern w:val="0"/>
                <w:sz w:val="20"/>
                <w:szCs w:val="20"/>
              </w:rPr>
            </w:pPr>
            <w:r>
              <w:rPr>
                <w:rFonts w:hint="eastAsia" w:ascii="方正黑体简体" w:hAnsi="Verdana" w:eastAsia="方正黑体简体" w:cs="Arial"/>
                <w:b/>
                <w:bCs/>
                <w:color w:val="000000"/>
                <w:kern w:val="0"/>
                <w:sz w:val="20"/>
                <w:szCs w:val="20"/>
              </w:rPr>
              <w:t>实施</w:t>
            </w:r>
          </w:p>
          <w:p>
            <w:pPr>
              <w:spacing w:line="280" w:lineRule="exact"/>
              <w:jc w:val="center"/>
              <w:rPr>
                <w:rFonts w:hint="eastAsia" w:ascii="方正黑体简体" w:eastAsia="方正黑体简体" w:cs="Arial"/>
                <w:b/>
                <w:bCs/>
                <w:color w:val="000000"/>
                <w:kern w:val="0"/>
                <w:sz w:val="20"/>
                <w:szCs w:val="20"/>
              </w:rPr>
            </w:pPr>
            <w:r>
              <w:rPr>
                <w:rFonts w:hint="eastAsia" w:ascii="方正黑体简体" w:hAnsi="Verdana" w:eastAsia="方正黑体简体" w:cs="Arial"/>
                <w:b/>
                <w:bCs/>
                <w:color w:val="000000"/>
                <w:kern w:val="0"/>
                <w:sz w:val="20"/>
                <w:szCs w:val="20"/>
              </w:rPr>
              <w:t>权限</w:t>
            </w:r>
          </w:p>
        </w:tc>
        <w:tc>
          <w:tcPr>
            <w:tcW w:w="154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80" w:lineRule="exact"/>
              <w:jc w:val="center"/>
              <w:rPr>
                <w:rFonts w:hint="eastAsia" w:ascii="方正黑体简体" w:eastAsia="方正黑体简体" w:cs="Arial"/>
                <w:b/>
                <w:bCs/>
                <w:color w:val="000000"/>
                <w:kern w:val="0"/>
                <w:sz w:val="20"/>
                <w:szCs w:val="20"/>
              </w:rPr>
            </w:pPr>
            <w:r>
              <w:rPr>
                <w:rFonts w:hint="eastAsia" w:ascii="方正黑体简体" w:hAnsi="Verdana" w:eastAsia="方正黑体简体" w:cs="Arial"/>
                <w:b/>
                <w:bCs/>
                <w:color w:val="000000"/>
                <w:kern w:val="0"/>
                <w:sz w:val="20"/>
                <w:szCs w:val="20"/>
              </w:rPr>
              <w:t>对应责任事项</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80" w:lineRule="exact"/>
              <w:jc w:val="center"/>
              <w:rPr>
                <w:rFonts w:hint="eastAsia" w:ascii="方正黑体简体" w:eastAsia="方正黑体简体" w:cs="Arial"/>
                <w:b/>
                <w:bCs/>
                <w:color w:val="000000"/>
                <w:kern w:val="0"/>
                <w:sz w:val="20"/>
                <w:szCs w:val="20"/>
              </w:rPr>
            </w:pPr>
            <w:r>
              <w:rPr>
                <w:rFonts w:hint="eastAsia" w:ascii="方正黑体简体" w:hAnsi="Verdana" w:eastAsia="方正黑体简体" w:cs="Arial"/>
                <w:b/>
                <w:bCs/>
                <w:color w:val="000000"/>
                <w:kern w:val="0"/>
                <w:sz w:val="20"/>
                <w:szCs w:val="20"/>
              </w:rPr>
              <w:t>追责情形及依据</w:t>
            </w:r>
          </w:p>
        </w:tc>
        <w:tc>
          <w:tcPr>
            <w:tcW w:w="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80" w:lineRule="exact"/>
              <w:jc w:val="center"/>
              <w:rPr>
                <w:rFonts w:hint="eastAsia" w:ascii="方正黑体简体" w:eastAsia="方正黑体简体" w:cs="Arial"/>
                <w:b/>
                <w:bCs/>
                <w:color w:val="000000"/>
                <w:kern w:val="0"/>
                <w:sz w:val="20"/>
                <w:szCs w:val="20"/>
              </w:rPr>
            </w:pPr>
            <w:r>
              <w:rPr>
                <w:rFonts w:hint="eastAsia" w:ascii="方正黑体简体" w:hAnsi="Verdana" w:eastAsia="方正黑体简体" w:cs="Arial"/>
                <w:b/>
                <w:bCs/>
                <w:color w:val="000000"/>
                <w:kern w:val="0"/>
                <w:sz w:val="20"/>
                <w:szCs w:val="20"/>
              </w:rPr>
              <w:t>备注</w:t>
            </w:r>
          </w:p>
        </w:tc>
      </w:tr>
      <w:tr>
        <w:tblPrEx>
          <w:tblLayout w:type="fixed"/>
          <w:tblCellMar>
            <w:top w:w="0" w:type="dxa"/>
            <w:left w:w="28" w:type="dxa"/>
            <w:bottom w:w="0" w:type="dxa"/>
            <w:right w:w="28" w:type="dxa"/>
          </w:tblCellMar>
        </w:tblPrEx>
        <w:trPr>
          <w:trHeight w:val="90" w:hRule="atLeast"/>
        </w:trPr>
        <w:tc>
          <w:tcPr>
            <w:tcW w:w="4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80" w:lineRule="exact"/>
              <w:jc w:val="center"/>
              <w:rPr>
                <w:rFonts w:cs="Arial"/>
                <w:b/>
                <w:bCs/>
                <w:color w:val="000000"/>
                <w:kern w:val="0"/>
                <w:sz w:val="20"/>
                <w:szCs w:val="20"/>
              </w:rPr>
            </w:pPr>
            <w:r>
              <w:rPr>
                <w:rFonts w:cs="Arial"/>
                <w:b/>
                <w:bCs/>
                <w:color w:val="000000"/>
                <w:kern w:val="0"/>
                <w:sz w:val="20"/>
                <w:szCs w:val="20"/>
              </w:rPr>
              <w:t>1</w:t>
            </w:r>
          </w:p>
        </w:tc>
        <w:tc>
          <w:tcPr>
            <w:tcW w:w="7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80" w:lineRule="exact"/>
              <w:jc w:val="center"/>
              <w:rPr>
                <w:rFonts w:cs="Arial"/>
                <w:b/>
                <w:bCs/>
                <w:color w:val="000000"/>
                <w:kern w:val="0"/>
                <w:sz w:val="20"/>
                <w:szCs w:val="20"/>
              </w:rPr>
            </w:pPr>
            <w:r>
              <w:rPr>
                <w:rFonts w:hAnsi="Verdana" w:cs="Arial"/>
                <w:b/>
                <w:bCs/>
                <w:color w:val="000000"/>
                <w:kern w:val="0"/>
                <w:sz w:val="20"/>
                <w:szCs w:val="20"/>
              </w:rPr>
              <w:t>济宁市医疗保障局</w:t>
            </w:r>
          </w:p>
        </w:tc>
        <w:tc>
          <w:tcPr>
            <w:tcW w:w="12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80" w:lineRule="exact"/>
              <w:rPr>
                <w:rFonts w:cs="Arial"/>
                <w:b/>
                <w:bCs/>
                <w:color w:val="000000"/>
                <w:kern w:val="0"/>
                <w:sz w:val="20"/>
                <w:szCs w:val="20"/>
              </w:rPr>
            </w:pPr>
            <w:r>
              <w:rPr>
                <w:rFonts w:hAnsi="Verdana" w:cs="Arial"/>
                <w:b/>
                <w:bCs/>
                <w:color w:val="000000"/>
                <w:kern w:val="0"/>
                <w:sz w:val="20"/>
                <w:szCs w:val="20"/>
              </w:rPr>
              <w:t>拟定全市医疗保障基金监督管理办法并监督实施，建立健全医疗保障基金安全防控机制，建立健全医疗保障信用评价体系和信息披露制度。监督纳入医保范围内的医疗服务行为，管理纳入医保范围内的医疗费用，规范医保经办业务，组织查处医疗保障领域违规违法行为。</w:t>
            </w:r>
          </w:p>
        </w:tc>
        <w:tc>
          <w:tcPr>
            <w:tcW w:w="8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80" w:lineRule="exact"/>
              <w:jc w:val="center"/>
              <w:rPr>
                <w:rFonts w:cs="Arial"/>
                <w:b/>
                <w:bCs/>
                <w:color w:val="000000"/>
                <w:kern w:val="0"/>
                <w:sz w:val="20"/>
                <w:szCs w:val="20"/>
              </w:rPr>
            </w:pPr>
            <w:r>
              <w:rPr>
                <w:rFonts w:hAnsi="Verdana" w:cs="Arial"/>
                <w:b/>
                <w:bCs/>
                <w:color w:val="000000"/>
                <w:kern w:val="0"/>
                <w:sz w:val="20"/>
                <w:szCs w:val="20"/>
              </w:rPr>
              <w:t>对纳入医保支付范围的医疗服务行为和医疗费用及医保经办业务开展监督检查</w:t>
            </w:r>
          </w:p>
        </w:tc>
        <w:tc>
          <w:tcPr>
            <w:tcW w:w="15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80" w:lineRule="exact"/>
              <w:jc w:val="center"/>
              <w:rPr>
                <w:rFonts w:cs="Arial"/>
                <w:b/>
                <w:bCs/>
                <w:color w:val="000000"/>
                <w:kern w:val="0"/>
                <w:sz w:val="20"/>
                <w:szCs w:val="20"/>
              </w:rPr>
            </w:pPr>
            <w:r>
              <w:rPr>
                <w:rFonts w:cs="Arial"/>
                <w:b/>
                <w:bCs/>
                <w:color w:val="000000"/>
                <w:kern w:val="0"/>
                <w:sz w:val="20"/>
                <w:szCs w:val="20"/>
              </w:rPr>
              <w:t>3700000636003</w:t>
            </w:r>
          </w:p>
        </w:tc>
        <w:tc>
          <w:tcPr>
            <w:tcW w:w="7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80" w:lineRule="exact"/>
              <w:jc w:val="center"/>
              <w:rPr>
                <w:rFonts w:hAnsi="Verdana" w:cs="Arial"/>
                <w:b/>
                <w:bCs/>
                <w:color w:val="000000"/>
                <w:kern w:val="0"/>
                <w:sz w:val="20"/>
                <w:szCs w:val="20"/>
              </w:rPr>
            </w:pPr>
            <w:r>
              <w:rPr>
                <w:rFonts w:hAnsi="Verdana" w:cs="Arial"/>
                <w:b/>
                <w:bCs/>
                <w:color w:val="000000"/>
                <w:kern w:val="0"/>
                <w:sz w:val="20"/>
                <w:szCs w:val="20"/>
              </w:rPr>
              <w:t>行政</w:t>
            </w:r>
          </w:p>
          <w:p>
            <w:pPr>
              <w:spacing w:line="280" w:lineRule="exact"/>
              <w:jc w:val="center"/>
              <w:rPr>
                <w:rFonts w:cs="Arial"/>
                <w:b/>
                <w:bCs/>
                <w:color w:val="000000"/>
                <w:kern w:val="0"/>
                <w:sz w:val="20"/>
                <w:szCs w:val="20"/>
              </w:rPr>
            </w:pPr>
            <w:r>
              <w:rPr>
                <w:rFonts w:hAnsi="Verdana" w:cs="Arial"/>
                <w:b/>
                <w:bCs/>
                <w:color w:val="000000"/>
                <w:kern w:val="0"/>
                <w:sz w:val="20"/>
                <w:szCs w:val="20"/>
              </w:rPr>
              <w:t>检查</w:t>
            </w:r>
          </w:p>
        </w:tc>
        <w:tc>
          <w:tcPr>
            <w:tcW w:w="25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180" w:lineRule="exact"/>
              <w:jc w:val="left"/>
              <w:textAlignment w:val="auto"/>
              <w:rPr>
                <w:rFonts w:cs="Arial"/>
                <w:b/>
                <w:bCs/>
                <w:color w:val="000000"/>
                <w:kern w:val="0"/>
                <w:sz w:val="20"/>
                <w:szCs w:val="20"/>
              </w:rPr>
            </w:pPr>
          </w:p>
          <w:p>
            <w:pPr>
              <w:spacing w:line="280" w:lineRule="exact"/>
              <w:jc w:val="left"/>
              <w:rPr>
                <w:rFonts w:hAnsi="Verdana" w:cs="Arial"/>
                <w:b/>
                <w:bCs/>
                <w:color w:val="000000"/>
                <w:kern w:val="0"/>
                <w:sz w:val="20"/>
                <w:szCs w:val="20"/>
              </w:rPr>
            </w:pPr>
            <w:r>
              <w:rPr>
                <w:rFonts w:cs="Arial"/>
                <w:b/>
                <w:bCs/>
                <w:color w:val="000000"/>
                <w:kern w:val="0"/>
                <w:sz w:val="20"/>
                <w:szCs w:val="20"/>
              </w:rPr>
              <w:t>1.</w:t>
            </w:r>
            <w:r>
              <w:rPr>
                <w:rFonts w:hAnsi="Verdana" w:cs="Arial"/>
                <w:b/>
                <w:bCs/>
                <w:color w:val="000000"/>
                <w:kern w:val="0"/>
                <w:sz w:val="20"/>
                <w:szCs w:val="20"/>
              </w:rPr>
              <w:t>【法律】《社会保险法》（</w:t>
            </w:r>
            <w:r>
              <w:rPr>
                <w:rFonts w:cs="Arial"/>
                <w:b/>
                <w:bCs/>
                <w:color w:val="000000"/>
                <w:kern w:val="0"/>
                <w:sz w:val="20"/>
                <w:szCs w:val="20"/>
              </w:rPr>
              <w:t>2018</w:t>
            </w:r>
            <w:r>
              <w:rPr>
                <w:rFonts w:hAnsi="Verdana" w:cs="Arial"/>
                <w:b/>
                <w:bCs/>
                <w:color w:val="000000"/>
                <w:kern w:val="0"/>
                <w:sz w:val="20"/>
                <w:szCs w:val="20"/>
              </w:rPr>
              <w:t>年</w:t>
            </w:r>
            <w:r>
              <w:rPr>
                <w:rFonts w:cs="Arial"/>
                <w:b/>
                <w:bCs/>
                <w:color w:val="000000"/>
                <w:kern w:val="0"/>
                <w:sz w:val="20"/>
                <w:szCs w:val="20"/>
              </w:rPr>
              <w:t>12</w:t>
            </w:r>
            <w:r>
              <w:rPr>
                <w:rFonts w:hAnsi="Verdana" w:cs="Arial"/>
                <w:b/>
                <w:bCs/>
                <w:color w:val="000000"/>
                <w:kern w:val="0"/>
                <w:sz w:val="20"/>
                <w:szCs w:val="20"/>
              </w:rPr>
              <w:t>月修改）第七十七条第一款：县级以上人民政府社会保险行政部门应当加强对用人单位和个人遵守社会保险法律、法规情况的监督检查。第七十九条：社会保险行政部门对社会保险基金的收支、管理和投资运营情况进行监督检查，发现存在问题的，应当提出整改建议，依法作出处理决定或者向有关行政部门提出处理建议。社会保险基金检查结果应当定期向社会公布。</w:t>
            </w:r>
            <w:r>
              <w:rPr>
                <w:rFonts w:cs="Arial"/>
                <w:b/>
                <w:bCs/>
                <w:color w:val="000000"/>
                <w:kern w:val="0"/>
                <w:sz w:val="20"/>
                <w:szCs w:val="20"/>
              </w:rPr>
              <w:br w:type="textWrapping"/>
            </w:r>
            <w:r>
              <w:rPr>
                <w:rFonts w:cs="Arial"/>
                <w:b/>
                <w:bCs/>
                <w:color w:val="000000"/>
                <w:kern w:val="0"/>
                <w:sz w:val="20"/>
                <w:szCs w:val="20"/>
              </w:rPr>
              <w:t>2.</w:t>
            </w:r>
            <w:r>
              <w:rPr>
                <w:rFonts w:hAnsi="Verdana" w:cs="Arial"/>
                <w:b/>
                <w:bCs/>
                <w:color w:val="000000"/>
                <w:kern w:val="0"/>
                <w:sz w:val="20"/>
                <w:szCs w:val="20"/>
              </w:rPr>
              <w:t>【法律】《基本医疗卫生与健康促进法》（</w:t>
            </w:r>
            <w:r>
              <w:rPr>
                <w:rFonts w:cs="Arial"/>
                <w:b/>
                <w:bCs/>
                <w:color w:val="000000"/>
                <w:kern w:val="0"/>
                <w:sz w:val="20"/>
                <w:szCs w:val="20"/>
              </w:rPr>
              <w:t>2019</w:t>
            </w:r>
            <w:r>
              <w:rPr>
                <w:rFonts w:hAnsi="Verdana" w:cs="Arial"/>
                <w:b/>
                <w:bCs/>
                <w:color w:val="000000"/>
                <w:kern w:val="0"/>
                <w:sz w:val="20"/>
                <w:szCs w:val="20"/>
              </w:rPr>
              <w:t>年</w:t>
            </w:r>
            <w:r>
              <w:rPr>
                <w:rFonts w:cs="Arial"/>
                <w:b/>
                <w:bCs/>
                <w:color w:val="000000"/>
                <w:kern w:val="0"/>
                <w:sz w:val="20"/>
                <w:szCs w:val="20"/>
              </w:rPr>
              <w:t>12</w:t>
            </w:r>
            <w:r>
              <w:rPr>
                <w:rFonts w:hAnsi="Verdana" w:cs="Arial"/>
                <w:b/>
                <w:bCs/>
                <w:color w:val="000000"/>
                <w:kern w:val="0"/>
                <w:sz w:val="20"/>
                <w:szCs w:val="20"/>
              </w:rPr>
              <w:t>月通过）第八十七条：县级以上人民政府医疗保障主管部门应当提高医疗保障监管能力和水平，对纳入基本医疗保险基金支付范围的医疗服务行为和医疗费用加强监督管理，确保基本医疗保险基金合理使用、安全可控</w:t>
            </w:r>
          </w:p>
          <w:p>
            <w:pPr>
              <w:spacing w:line="280" w:lineRule="exact"/>
              <w:jc w:val="left"/>
              <w:rPr>
                <w:rFonts w:hAnsi="Verdana" w:cs="Arial"/>
                <w:b/>
                <w:bCs/>
                <w:color w:val="000000"/>
                <w:kern w:val="0"/>
                <w:sz w:val="20"/>
                <w:szCs w:val="20"/>
              </w:rPr>
            </w:pPr>
          </w:p>
        </w:tc>
        <w:tc>
          <w:tcPr>
            <w:tcW w:w="7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80" w:lineRule="exact"/>
              <w:jc w:val="center"/>
              <w:rPr>
                <w:rFonts w:cs="Arial"/>
                <w:b/>
                <w:bCs/>
                <w:color w:val="000000"/>
                <w:kern w:val="0"/>
                <w:sz w:val="20"/>
                <w:szCs w:val="20"/>
              </w:rPr>
            </w:pPr>
            <w:r>
              <w:rPr>
                <w:rFonts w:hAnsi="Verdana" w:cs="Arial"/>
                <w:b/>
                <w:bCs/>
                <w:color w:val="000000"/>
                <w:kern w:val="0"/>
                <w:sz w:val="20"/>
                <w:szCs w:val="20"/>
              </w:rPr>
              <w:t>市</w:t>
            </w:r>
          </w:p>
        </w:tc>
        <w:tc>
          <w:tcPr>
            <w:tcW w:w="8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80" w:lineRule="exact"/>
              <w:jc w:val="center"/>
              <w:rPr>
                <w:rFonts w:cs="Arial"/>
                <w:b/>
                <w:bCs/>
                <w:color w:val="000000"/>
                <w:kern w:val="0"/>
                <w:sz w:val="20"/>
                <w:szCs w:val="20"/>
              </w:rPr>
            </w:pPr>
            <w:r>
              <w:rPr>
                <w:rFonts w:hAnsi="Verdana" w:cs="Arial"/>
                <w:b/>
                <w:bCs/>
                <w:color w:val="000000"/>
                <w:kern w:val="0"/>
                <w:sz w:val="20"/>
                <w:szCs w:val="20"/>
              </w:rPr>
              <w:t>按照属地管理原则，负责对本市纳入医保支付范围的医疗服务行为和医疗费用及医保经办业务开展监督检查</w:t>
            </w:r>
          </w:p>
        </w:tc>
        <w:tc>
          <w:tcPr>
            <w:tcW w:w="154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80" w:lineRule="exact"/>
              <w:jc w:val="left"/>
              <w:rPr>
                <w:rFonts w:cs="Arial"/>
                <w:b/>
                <w:bCs/>
                <w:color w:val="000000"/>
                <w:kern w:val="0"/>
                <w:sz w:val="20"/>
                <w:szCs w:val="20"/>
              </w:rPr>
            </w:pPr>
            <w:r>
              <w:rPr>
                <w:rFonts w:hint="eastAsia" w:hAnsi="宋体" w:cs="Arial"/>
                <w:b/>
                <w:bCs/>
                <w:color w:val="000000"/>
                <w:kern w:val="0"/>
                <w:sz w:val="20"/>
                <w:szCs w:val="20"/>
              </w:rPr>
              <w:t>直接实施责任</w:t>
            </w:r>
            <w:r>
              <w:rPr>
                <w:rFonts w:cs="Arial"/>
                <w:b/>
                <w:bCs/>
                <w:color w:val="000000"/>
                <w:kern w:val="0"/>
                <w:sz w:val="20"/>
              </w:rPr>
              <w:t>:</w:t>
            </w:r>
            <w:r>
              <w:rPr>
                <w:rFonts w:cs="Arial"/>
                <w:b/>
                <w:bCs/>
                <w:color w:val="000000"/>
                <w:kern w:val="0"/>
                <w:sz w:val="20"/>
                <w:szCs w:val="20"/>
              </w:rPr>
              <w:br w:type="textWrapping"/>
            </w:r>
            <w:r>
              <w:rPr>
                <w:rFonts w:cs="Arial"/>
                <w:b/>
                <w:bCs/>
                <w:color w:val="000000"/>
                <w:kern w:val="0"/>
                <w:sz w:val="20"/>
              </w:rPr>
              <w:t>1.</w:t>
            </w:r>
            <w:r>
              <w:rPr>
                <w:rFonts w:hAnsi="宋体" w:cs="Arial"/>
                <w:b/>
                <w:bCs/>
                <w:color w:val="000000"/>
                <w:kern w:val="0"/>
                <w:sz w:val="20"/>
              </w:rPr>
              <w:t>制定年度监督检查计划，开展</w:t>
            </w:r>
            <w:r>
              <w:rPr>
                <w:rFonts w:cs="Arial"/>
                <w:b/>
                <w:bCs/>
                <w:color w:val="000000"/>
                <w:kern w:val="0"/>
                <w:sz w:val="20"/>
              </w:rPr>
              <w:t>“</w:t>
            </w:r>
            <w:r>
              <w:rPr>
                <w:rFonts w:hAnsi="宋体" w:cs="Arial"/>
                <w:b/>
                <w:bCs/>
                <w:color w:val="000000"/>
                <w:kern w:val="0"/>
                <w:sz w:val="20"/>
              </w:rPr>
              <w:t>双随机一公开</w:t>
            </w:r>
            <w:r>
              <w:rPr>
                <w:rFonts w:cs="Arial"/>
                <w:b/>
                <w:bCs/>
                <w:color w:val="000000"/>
                <w:kern w:val="0"/>
                <w:sz w:val="20"/>
              </w:rPr>
              <w:t>”</w:t>
            </w:r>
            <w:r>
              <w:rPr>
                <w:rFonts w:hAnsi="宋体" w:cs="Arial"/>
                <w:b/>
                <w:bCs/>
                <w:color w:val="000000"/>
                <w:kern w:val="0"/>
                <w:sz w:val="20"/>
              </w:rPr>
              <w:t>检查，通过飞行检查、日常检查、专项检查等多种方式对全市纳入医保支付范围的医疗服务行为和医疗费用及医保经办业务开展监督检查。</w:t>
            </w:r>
            <w:r>
              <w:rPr>
                <w:rFonts w:cs="Arial"/>
                <w:b/>
                <w:bCs/>
                <w:color w:val="000000"/>
                <w:kern w:val="0"/>
                <w:sz w:val="20"/>
                <w:szCs w:val="20"/>
              </w:rPr>
              <w:br w:type="textWrapping"/>
            </w:r>
            <w:r>
              <w:rPr>
                <w:rFonts w:cs="Arial"/>
                <w:b/>
                <w:bCs/>
                <w:color w:val="000000"/>
                <w:kern w:val="0"/>
                <w:sz w:val="20"/>
              </w:rPr>
              <w:t>2.</w:t>
            </w:r>
            <w:r>
              <w:rPr>
                <w:rFonts w:hAnsi="宋体" w:cs="Arial"/>
                <w:b/>
                <w:bCs/>
                <w:color w:val="000000"/>
                <w:kern w:val="0"/>
                <w:sz w:val="20"/>
              </w:rPr>
              <w:t>加强与相关主管部门的沟通协调，开展联合检查，避免多头执法、执法扰民等现象。</w:t>
            </w:r>
            <w:r>
              <w:rPr>
                <w:rFonts w:cs="Arial"/>
                <w:b/>
                <w:bCs/>
                <w:color w:val="000000"/>
                <w:kern w:val="0"/>
                <w:sz w:val="20"/>
                <w:szCs w:val="20"/>
              </w:rPr>
              <w:br w:type="textWrapping"/>
            </w:r>
            <w:r>
              <w:rPr>
                <w:rFonts w:hAnsi="宋体" w:cs="Arial"/>
                <w:b/>
                <w:bCs/>
                <w:color w:val="000000"/>
                <w:kern w:val="0"/>
                <w:sz w:val="20"/>
              </w:rPr>
              <w:t>指导监督责任</w:t>
            </w:r>
            <w:r>
              <w:rPr>
                <w:rFonts w:cs="Arial"/>
                <w:b/>
                <w:bCs/>
                <w:color w:val="000000"/>
                <w:kern w:val="0"/>
                <w:sz w:val="20"/>
              </w:rPr>
              <w:t>:</w:t>
            </w:r>
            <w:r>
              <w:rPr>
                <w:rFonts w:cs="Arial"/>
                <w:b/>
                <w:bCs/>
                <w:color w:val="000000"/>
                <w:kern w:val="0"/>
                <w:sz w:val="20"/>
                <w:szCs w:val="20"/>
              </w:rPr>
              <w:br w:type="textWrapping"/>
            </w:r>
            <w:r>
              <w:rPr>
                <w:rFonts w:cs="Arial"/>
                <w:b/>
                <w:bCs/>
                <w:color w:val="000000"/>
                <w:kern w:val="0"/>
                <w:sz w:val="20"/>
              </w:rPr>
              <w:t>3.</w:t>
            </w:r>
            <w:r>
              <w:rPr>
                <w:rFonts w:hAnsi="宋体" w:cs="Arial"/>
                <w:b/>
                <w:bCs/>
                <w:color w:val="000000"/>
                <w:kern w:val="0"/>
                <w:sz w:val="20"/>
              </w:rPr>
              <w:t>加强对县（市、区）监督检查工作的指导、监督。</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80" w:lineRule="exact"/>
              <w:rPr>
                <w:rFonts w:cs="Arial"/>
                <w:b/>
                <w:bCs/>
                <w:color w:val="000000"/>
                <w:kern w:val="0"/>
                <w:sz w:val="20"/>
                <w:szCs w:val="20"/>
              </w:rPr>
            </w:pPr>
            <w:r>
              <w:rPr>
                <w:rFonts w:cs="Arial"/>
                <w:b/>
                <w:bCs/>
                <w:color w:val="000000"/>
                <w:kern w:val="0"/>
                <w:sz w:val="20"/>
                <w:szCs w:val="20"/>
              </w:rPr>
              <w:t>1.</w:t>
            </w:r>
            <w:r>
              <w:rPr>
                <w:rFonts w:hAnsi="Verdana" w:cs="Arial"/>
                <w:b/>
                <w:bCs/>
                <w:color w:val="000000"/>
                <w:kern w:val="0"/>
                <w:sz w:val="20"/>
                <w:szCs w:val="20"/>
              </w:rPr>
              <w:t>【法律】《社会保险法》（</w:t>
            </w:r>
            <w:r>
              <w:rPr>
                <w:rFonts w:cs="Arial"/>
                <w:b/>
                <w:bCs/>
                <w:color w:val="000000"/>
                <w:kern w:val="0"/>
                <w:sz w:val="20"/>
                <w:szCs w:val="20"/>
              </w:rPr>
              <w:t>2018</w:t>
            </w:r>
            <w:r>
              <w:rPr>
                <w:rFonts w:hAnsi="Verdana" w:cs="Arial"/>
                <w:b/>
                <w:bCs/>
                <w:color w:val="000000"/>
                <w:kern w:val="0"/>
                <w:sz w:val="20"/>
                <w:szCs w:val="20"/>
              </w:rPr>
              <w:t>年</w:t>
            </w:r>
            <w:r>
              <w:rPr>
                <w:rFonts w:cs="Arial"/>
                <w:b/>
                <w:bCs/>
                <w:color w:val="000000"/>
                <w:kern w:val="0"/>
                <w:sz w:val="20"/>
                <w:szCs w:val="20"/>
              </w:rPr>
              <w:t>12</w:t>
            </w:r>
            <w:r>
              <w:rPr>
                <w:rFonts w:hAnsi="Verdana" w:cs="Arial"/>
                <w:b/>
                <w:bCs/>
                <w:color w:val="000000"/>
                <w:kern w:val="0"/>
                <w:sz w:val="20"/>
                <w:szCs w:val="20"/>
              </w:rPr>
              <w:t>月修改）第九十三条：　国家工作人员在社会保险管理、监督工作中滥用职权、玩忽职守、徇私舞弊的，依法给予处分。</w:t>
            </w:r>
            <w:r>
              <w:rPr>
                <w:rFonts w:cs="Arial"/>
                <w:b/>
                <w:bCs/>
                <w:color w:val="000000"/>
                <w:kern w:val="0"/>
                <w:sz w:val="20"/>
                <w:szCs w:val="20"/>
              </w:rPr>
              <w:br w:type="textWrapping"/>
            </w:r>
            <w:r>
              <w:rPr>
                <w:rFonts w:cs="Arial"/>
                <w:b/>
                <w:bCs/>
                <w:color w:val="000000"/>
                <w:kern w:val="0"/>
                <w:sz w:val="20"/>
                <w:szCs w:val="20"/>
              </w:rPr>
              <w:t>2.</w:t>
            </w:r>
            <w:r>
              <w:rPr>
                <w:rFonts w:hAnsi="Verdana" w:cs="Arial"/>
                <w:b/>
                <w:bCs/>
                <w:color w:val="000000"/>
                <w:kern w:val="0"/>
                <w:sz w:val="20"/>
                <w:szCs w:val="20"/>
              </w:rPr>
              <w:t>【法律】《监察法》（</w:t>
            </w:r>
            <w:r>
              <w:rPr>
                <w:rFonts w:cs="Arial"/>
                <w:b/>
                <w:bCs/>
                <w:color w:val="000000"/>
                <w:kern w:val="0"/>
                <w:sz w:val="20"/>
                <w:szCs w:val="20"/>
              </w:rPr>
              <w:t>2018</w:t>
            </w:r>
            <w:r>
              <w:rPr>
                <w:rFonts w:hAnsi="Verdana" w:cs="Arial"/>
                <w:b/>
                <w:bCs/>
                <w:color w:val="000000"/>
                <w:kern w:val="0"/>
                <w:sz w:val="20"/>
                <w:szCs w:val="20"/>
              </w:rPr>
              <w:t>年</w:t>
            </w:r>
            <w:r>
              <w:rPr>
                <w:rFonts w:cs="Arial"/>
                <w:b/>
                <w:bCs/>
                <w:color w:val="000000"/>
                <w:kern w:val="0"/>
                <w:sz w:val="20"/>
                <w:szCs w:val="20"/>
              </w:rPr>
              <w:t>3</w:t>
            </w:r>
            <w:r>
              <w:rPr>
                <w:rFonts w:hAnsi="Verdana" w:cs="Arial"/>
                <w:b/>
                <w:bCs/>
                <w:color w:val="000000"/>
                <w:kern w:val="0"/>
                <w:sz w:val="20"/>
                <w:szCs w:val="20"/>
              </w:rPr>
              <w:t>月通过）规定的追责情形</w:t>
            </w:r>
          </w:p>
        </w:tc>
        <w:tc>
          <w:tcPr>
            <w:tcW w:w="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80" w:lineRule="exact"/>
              <w:jc w:val="center"/>
              <w:rPr>
                <w:rFonts w:cs="Arial"/>
                <w:b/>
                <w:bCs/>
                <w:color w:val="000000"/>
                <w:kern w:val="0"/>
                <w:sz w:val="20"/>
                <w:szCs w:val="20"/>
              </w:rPr>
            </w:pPr>
          </w:p>
        </w:tc>
      </w:tr>
      <w:tr>
        <w:tblPrEx>
          <w:tblLayout w:type="fixed"/>
          <w:tblCellMar>
            <w:top w:w="0" w:type="dxa"/>
            <w:left w:w="28" w:type="dxa"/>
            <w:bottom w:w="0" w:type="dxa"/>
            <w:right w:w="28" w:type="dxa"/>
          </w:tblCellMar>
        </w:tblPrEx>
        <w:trPr>
          <w:trHeight w:val="8288" w:hRule="atLeast"/>
        </w:trPr>
        <w:tc>
          <w:tcPr>
            <w:tcW w:w="4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80" w:lineRule="exact"/>
              <w:jc w:val="center"/>
              <w:rPr>
                <w:rFonts w:cs="Arial"/>
                <w:b/>
                <w:bCs/>
                <w:color w:val="000000"/>
                <w:kern w:val="0"/>
                <w:sz w:val="20"/>
                <w:szCs w:val="20"/>
              </w:rPr>
            </w:pPr>
            <w:r>
              <w:rPr>
                <w:rFonts w:cs="Arial"/>
                <w:b/>
                <w:bCs/>
                <w:color w:val="000000"/>
                <w:kern w:val="0"/>
                <w:sz w:val="20"/>
                <w:szCs w:val="20"/>
              </w:rPr>
              <w:t>2</w:t>
            </w:r>
          </w:p>
        </w:tc>
        <w:tc>
          <w:tcPr>
            <w:tcW w:w="7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80" w:lineRule="exact"/>
              <w:jc w:val="center"/>
              <w:rPr>
                <w:rFonts w:cs="Arial"/>
                <w:b/>
                <w:bCs/>
                <w:color w:val="000000"/>
                <w:kern w:val="0"/>
                <w:sz w:val="20"/>
                <w:szCs w:val="20"/>
              </w:rPr>
            </w:pPr>
            <w:r>
              <w:rPr>
                <w:rFonts w:hAnsi="Verdana" w:cs="Arial"/>
                <w:b/>
                <w:bCs/>
                <w:color w:val="000000"/>
                <w:kern w:val="0"/>
                <w:sz w:val="20"/>
                <w:szCs w:val="20"/>
              </w:rPr>
              <w:t>济宁市医疗保障局</w:t>
            </w:r>
          </w:p>
        </w:tc>
        <w:tc>
          <w:tcPr>
            <w:tcW w:w="12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80" w:lineRule="exact"/>
              <w:rPr>
                <w:rFonts w:cs="Arial"/>
                <w:b/>
                <w:bCs/>
                <w:color w:val="000000"/>
                <w:kern w:val="0"/>
                <w:sz w:val="20"/>
                <w:szCs w:val="20"/>
              </w:rPr>
            </w:pPr>
            <w:r>
              <w:rPr>
                <w:rFonts w:hAnsi="Verdana" w:cs="Arial"/>
                <w:b/>
                <w:bCs/>
                <w:color w:val="000000"/>
                <w:kern w:val="0"/>
                <w:sz w:val="20"/>
                <w:szCs w:val="20"/>
              </w:rPr>
              <w:t>承担基金使用稽核检查</w:t>
            </w:r>
          </w:p>
        </w:tc>
        <w:tc>
          <w:tcPr>
            <w:tcW w:w="8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80" w:lineRule="exact"/>
              <w:jc w:val="center"/>
              <w:rPr>
                <w:rFonts w:cs="Arial"/>
                <w:b/>
                <w:bCs/>
                <w:color w:val="000000"/>
                <w:kern w:val="0"/>
                <w:sz w:val="20"/>
                <w:szCs w:val="20"/>
              </w:rPr>
            </w:pPr>
            <w:r>
              <w:rPr>
                <w:rFonts w:hAnsi="Verdana" w:cs="Arial"/>
                <w:b/>
                <w:bCs/>
                <w:color w:val="000000"/>
                <w:kern w:val="0"/>
                <w:sz w:val="20"/>
                <w:szCs w:val="20"/>
              </w:rPr>
              <w:t>医疗保险稽核</w:t>
            </w:r>
          </w:p>
        </w:tc>
        <w:tc>
          <w:tcPr>
            <w:tcW w:w="15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80" w:lineRule="exact"/>
              <w:jc w:val="center"/>
              <w:rPr>
                <w:rFonts w:cs="Arial"/>
                <w:b/>
                <w:bCs/>
                <w:color w:val="000000"/>
                <w:kern w:val="0"/>
                <w:sz w:val="20"/>
                <w:szCs w:val="20"/>
              </w:rPr>
            </w:pPr>
            <w:r>
              <w:rPr>
                <w:rFonts w:cs="Arial"/>
                <w:b/>
                <w:bCs/>
                <w:color w:val="000000"/>
                <w:kern w:val="0"/>
                <w:sz w:val="20"/>
                <w:szCs w:val="20"/>
              </w:rPr>
              <w:t>3700000636004</w:t>
            </w:r>
          </w:p>
        </w:tc>
        <w:tc>
          <w:tcPr>
            <w:tcW w:w="7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80" w:lineRule="exact"/>
              <w:jc w:val="center"/>
              <w:rPr>
                <w:rFonts w:hAnsi="Verdana" w:cs="Arial"/>
                <w:b/>
                <w:bCs/>
                <w:color w:val="000000"/>
                <w:kern w:val="0"/>
                <w:sz w:val="20"/>
                <w:szCs w:val="20"/>
              </w:rPr>
            </w:pPr>
            <w:r>
              <w:rPr>
                <w:rFonts w:hAnsi="Verdana" w:cs="Arial"/>
                <w:b/>
                <w:bCs/>
                <w:color w:val="000000"/>
                <w:kern w:val="0"/>
                <w:sz w:val="20"/>
                <w:szCs w:val="20"/>
              </w:rPr>
              <w:t>行政</w:t>
            </w:r>
          </w:p>
          <w:p>
            <w:pPr>
              <w:spacing w:line="280" w:lineRule="exact"/>
              <w:jc w:val="center"/>
              <w:rPr>
                <w:rFonts w:cs="Arial"/>
                <w:b/>
                <w:bCs/>
                <w:color w:val="000000"/>
                <w:kern w:val="0"/>
                <w:sz w:val="20"/>
                <w:szCs w:val="20"/>
              </w:rPr>
            </w:pPr>
            <w:r>
              <w:rPr>
                <w:rFonts w:hAnsi="Verdana" w:cs="Arial"/>
                <w:b/>
                <w:bCs/>
                <w:color w:val="000000"/>
                <w:kern w:val="0"/>
                <w:sz w:val="20"/>
                <w:szCs w:val="20"/>
              </w:rPr>
              <w:t>检查</w:t>
            </w:r>
          </w:p>
        </w:tc>
        <w:tc>
          <w:tcPr>
            <w:tcW w:w="25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80" w:lineRule="exact"/>
              <w:jc w:val="left"/>
              <w:rPr>
                <w:rFonts w:cs="Arial"/>
                <w:b/>
                <w:bCs/>
                <w:color w:val="000000"/>
                <w:kern w:val="0"/>
                <w:sz w:val="20"/>
                <w:szCs w:val="20"/>
              </w:rPr>
            </w:pPr>
            <w:r>
              <w:rPr>
                <w:rFonts w:cs="Arial"/>
                <w:b/>
                <w:bCs/>
                <w:color w:val="000000"/>
                <w:kern w:val="0"/>
                <w:sz w:val="20"/>
                <w:szCs w:val="20"/>
              </w:rPr>
              <w:t>1.</w:t>
            </w:r>
            <w:r>
              <w:rPr>
                <w:rFonts w:hAnsi="宋体" w:cs="Arial"/>
                <w:b/>
                <w:bCs/>
                <w:color w:val="000000"/>
                <w:kern w:val="0"/>
                <w:sz w:val="20"/>
              </w:rPr>
              <w:t>【部门规章】《社会保险稽核办法》（</w:t>
            </w:r>
            <w:r>
              <w:rPr>
                <w:rFonts w:cs="Arial"/>
                <w:b/>
                <w:bCs/>
                <w:color w:val="000000"/>
                <w:kern w:val="0"/>
                <w:sz w:val="20"/>
              </w:rPr>
              <w:t>2003</w:t>
            </w:r>
            <w:r>
              <w:rPr>
                <w:rFonts w:hAnsi="宋体" w:cs="Arial"/>
                <w:b/>
                <w:bCs/>
                <w:color w:val="000000"/>
                <w:kern w:val="0"/>
                <w:sz w:val="20"/>
              </w:rPr>
              <w:t>年</w:t>
            </w:r>
            <w:r>
              <w:rPr>
                <w:rFonts w:cs="Arial"/>
                <w:b/>
                <w:bCs/>
                <w:color w:val="000000"/>
                <w:kern w:val="0"/>
                <w:sz w:val="20"/>
              </w:rPr>
              <w:t>2</w:t>
            </w:r>
            <w:r>
              <w:rPr>
                <w:rFonts w:hAnsi="宋体" w:cs="Arial"/>
                <w:b/>
                <w:bCs/>
                <w:color w:val="000000"/>
                <w:kern w:val="0"/>
                <w:sz w:val="20"/>
              </w:rPr>
              <w:t>月劳动部令第</w:t>
            </w:r>
            <w:r>
              <w:rPr>
                <w:rFonts w:cs="Arial"/>
                <w:b/>
                <w:bCs/>
                <w:color w:val="000000"/>
                <w:kern w:val="0"/>
                <w:sz w:val="20"/>
              </w:rPr>
              <w:t>16</w:t>
            </w:r>
            <w:r>
              <w:rPr>
                <w:rFonts w:hAnsi="宋体" w:cs="Arial"/>
                <w:b/>
                <w:bCs/>
                <w:color w:val="000000"/>
                <w:kern w:val="0"/>
                <w:sz w:val="20"/>
              </w:rPr>
              <w:t>号）第二条：本办法所称稽核是指社会保险经办机构依法对社会保险费缴纳情况和社会保险待遇领取情况进行的核查。</w:t>
            </w:r>
            <w:r>
              <w:rPr>
                <w:rFonts w:cs="Arial"/>
                <w:b/>
                <w:bCs/>
                <w:color w:val="000000"/>
                <w:kern w:val="0"/>
                <w:sz w:val="20"/>
                <w:szCs w:val="20"/>
              </w:rPr>
              <w:br w:type="textWrapping"/>
            </w:r>
            <w:r>
              <w:rPr>
                <w:rFonts w:cs="Arial"/>
                <w:b/>
                <w:bCs/>
                <w:color w:val="000000"/>
                <w:kern w:val="0"/>
                <w:sz w:val="20"/>
              </w:rPr>
              <w:t>2.</w:t>
            </w:r>
            <w:r>
              <w:rPr>
                <w:rFonts w:hAnsi="宋体" w:cs="Arial"/>
                <w:b/>
                <w:bCs/>
                <w:color w:val="000000"/>
                <w:kern w:val="0"/>
                <w:sz w:val="20"/>
              </w:rPr>
              <w:t>【法律】《山东省社会保险稽查办法》（</w:t>
            </w:r>
            <w:r>
              <w:rPr>
                <w:rFonts w:cs="Arial"/>
                <w:b/>
                <w:bCs/>
                <w:color w:val="000000"/>
                <w:kern w:val="0"/>
                <w:sz w:val="20"/>
              </w:rPr>
              <w:t>2003</w:t>
            </w:r>
            <w:r>
              <w:rPr>
                <w:rFonts w:hAnsi="宋体" w:cs="Arial"/>
                <w:b/>
                <w:bCs/>
                <w:color w:val="000000"/>
                <w:kern w:val="0"/>
                <w:sz w:val="20"/>
              </w:rPr>
              <w:t>年</w:t>
            </w:r>
            <w:r>
              <w:rPr>
                <w:rFonts w:cs="Arial"/>
                <w:b/>
                <w:bCs/>
                <w:color w:val="000000"/>
                <w:kern w:val="0"/>
                <w:sz w:val="20"/>
              </w:rPr>
              <w:t>6</w:t>
            </w:r>
            <w:r>
              <w:rPr>
                <w:rFonts w:hAnsi="宋体" w:cs="Arial"/>
                <w:b/>
                <w:bCs/>
                <w:color w:val="000000"/>
                <w:kern w:val="0"/>
                <w:sz w:val="20"/>
              </w:rPr>
              <w:t>月山东省人民政府令第</w:t>
            </w:r>
            <w:r>
              <w:rPr>
                <w:rFonts w:cs="Arial"/>
                <w:b/>
                <w:bCs/>
                <w:color w:val="000000"/>
                <w:kern w:val="0"/>
                <w:sz w:val="20"/>
              </w:rPr>
              <w:t>158</w:t>
            </w:r>
            <w:r>
              <w:rPr>
                <w:rFonts w:hAnsi="宋体" w:cs="Arial"/>
                <w:b/>
                <w:bCs/>
                <w:color w:val="000000"/>
                <w:kern w:val="0"/>
                <w:sz w:val="20"/>
              </w:rPr>
              <w:t>号）第二条：本办法所称社会保险稽查，是指劳动和社会保障部门依法对参加社会保险的单位或个人遵守社会保险法律、法规，依法缴纳社会保险费和领取社会保险待遇情况，以及对社会保险基金筹集、支付、管理、运营等情况进行检查，并对违反社会保险法律、法规的行为依法作出处理的行政执法活动。</w:t>
            </w:r>
          </w:p>
        </w:tc>
        <w:tc>
          <w:tcPr>
            <w:tcW w:w="7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80" w:lineRule="exact"/>
              <w:jc w:val="center"/>
              <w:rPr>
                <w:rFonts w:cs="Arial"/>
                <w:b/>
                <w:bCs/>
                <w:color w:val="000000"/>
                <w:kern w:val="0"/>
                <w:sz w:val="20"/>
                <w:szCs w:val="20"/>
              </w:rPr>
            </w:pPr>
            <w:r>
              <w:rPr>
                <w:rFonts w:hAnsi="Verdana" w:cs="Arial"/>
                <w:b/>
                <w:bCs/>
                <w:color w:val="000000"/>
                <w:kern w:val="0"/>
                <w:sz w:val="20"/>
                <w:szCs w:val="20"/>
              </w:rPr>
              <w:t>市</w:t>
            </w:r>
          </w:p>
        </w:tc>
        <w:tc>
          <w:tcPr>
            <w:tcW w:w="8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80" w:lineRule="exact"/>
              <w:jc w:val="center"/>
              <w:rPr>
                <w:rFonts w:cs="Arial"/>
                <w:b/>
                <w:bCs/>
                <w:color w:val="000000"/>
                <w:kern w:val="0"/>
                <w:sz w:val="20"/>
                <w:szCs w:val="20"/>
              </w:rPr>
            </w:pPr>
            <w:r>
              <w:rPr>
                <w:rFonts w:hAnsi="Verdana" w:cs="Arial"/>
                <w:b/>
                <w:bCs/>
                <w:color w:val="000000"/>
                <w:kern w:val="0"/>
                <w:sz w:val="20"/>
                <w:szCs w:val="20"/>
              </w:rPr>
              <w:t>按照属地管理原则，负责本行政区域医疗保险稽核工作</w:t>
            </w:r>
          </w:p>
        </w:tc>
        <w:tc>
          <w:tcPr>
            <w:tcW w:w="154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80" w:lineRule="exact"/>
              <w:jc w:val="left"/>
              <w:rPr>
                <w:rFonts w:cs="Arial"/>
                <w:b/>
                <w:bCs/>
                <w:color w:val="000000"/>
                <w:kern w:val="0"/>
                <w:sz w:val="20"/>
                <w:szCs w:val="20"/>
              </w:rPr>
            </w:pPr>
            <w:r>
              <w:rPr>
                <w:rFonts w:hint="eastAsia" w:hAnsi="宋体" w:cs="Arial"/>
                <w:b/>
                <w:bCs/>
                <w:color w:val="000000"/>
                <w:kern w:val="0"/>
                <w:sz w:val="20"/>
                <w:szCs w:val="20"/>
              </w:rPr>
              <w:t>直接实施责任</w:t>
            </w:r>
            <w:r>
              <w:rPr>
                <w:rFonts w:cs="Arial"/>
                <w:b/>
                <w:bCs/>
                <w:color w:val="000000"/>
                <w:kern w:val="0"/>
                <w:sz w:val="20"/>
              </w:rPr>
              <w:t>:</w:t>
            </w:r>
            <w:r>
              <w:rPr>
                <w:rFonts w:cs="Arial"/>
                <w:b/>
                <w:bCs/>
                <w:color w:val="000000"/>
                <w:kern w:val="0"/>
                <w:sz w:val="20"/>
                <w:szCs w:val="20"/>
              </w:rPr>
              <w:br w:type="textWrapping"/>
            </w:r>
            <w:r>
              <w:rPr>
                <w:rFonts w:cs="Arial"/>
                <w:b/>
                <w:bCs/>
                <w:color w:val="000000"/>
                <w:kern w:val="0"/>
                <w:sz w:val="20"/>
              </w:rPr>
              <w:t>1.</w:t>
            </w:r>
            <w:r>
              <w:rPr>
                <w:rFonts w:hAnsi="宋体" w:cs="Arial"/>
                <w:b/>
                <w:bCs/>
                <w:color w:val="000000"/>
                <w:kern w:val="0"/>
                <w:sz w:val="20"/>
              </w:rPr>
              <w:t>制定年度监督检查计划，通过日常检查、专项检查等多种方式加强医保基金稽核检查。</w:t>
            </w:r>
            <w:r>
              <w:rPr>
                <w:rFonts w:hint="eastAsia" w:cs="Arial"/>
                <w:b/>
                <w:bCs/>
                <w:color w:val="000000"/>
                <w:kern w:val="0"/>
                <w:sz w:val="20"/>
                <w:szCs w:val="20"/>
              </w:rPr>
              <w:br w:type="textWrapping"/>
            </w:r>
            <w:r>
              <w:rPr>
                <w:rFonts w:cs="Arial"/>
                <w:b/>
                <w:bCs/>
                <w:color w:val="000000"/>
                <w:kern w:val="0"/>
                <w:sz w:val="20"/>
              </w:rPr>
              <w:t>2.</w:t>
            </w:r>
            <w:r>
              <w:rPr>
                <w:rFonts w:hAnsi="宋体" w:cs="Arial"/>
                <w:b/>
                <w:bCs/>
                <w:color w:val="000000"/>
                <w:kern w:val="0"/>
                <w:sz w:val="20"/>
              </w:rPr>
              <w:t>加强与相关主管部门的沟通协调，开展联合检查，形成合力。</w:t>
            </w:r>
            <w:r>
              <w:rPr>
                <w:rFonts w:cs="Arial"/>
                <w:b/>
                <w:bCs/>
                <w:color w:val="000000"/>
                <w:kern w:val="0"/>
                <w:sz w:val="20"/>
                <w:szCs w:val="20"/>
              </w:rPr>
              <w:br w:type="textWrapping"/>
            </w:r>
            <w:r>
              <w:rPr>
                <w:rFonts w:hAnsi="宋体" w:cs="Arial"/>
                <w:b/>
                <w:bCs/>
                <w:color w:val="000000"/>
                <w:kern w:val="0"/>
                <w:sz w:val="20"/>
              </w:rPr>
              <w:t>指导监督责任</w:t>
            </w:r>
            <w:r>
              <w:rPr>
                <w:rFonts w:cs="Arial"/>
                <w:b/>
                <w:bCs/>
                <w:color w:val="000000"/>
                <w:kern w:val="0"/>
                <w:sz w:val="20"/>
              </w:rPr>
              <w:t>:</w:t>
            </w:r>
            <w:r>
              <w:rPr>
                <w:rFonts w:cs="Arial"/>
                <w:b/>
                <w:bCs/>
                <w:color w:val="000000"/>
                <w:kern w:val="0"/>
                <w:sz w:val="20"/>
                <w:szCs w:val="20"/>
              </w:rPr>
              <w:br w:type="textWrapping"/>
            </w:r>
            <w:r>
              <w:rPr>
                <w:rFonts w:cs="Arial"/>
                <w:b/>
                <w:bCs/>
                <w:color w:val="000000"/>
                <w:kern w:val="0"/>
                <w:sz w:val="20"/>
              </w:rPr>
              <w:t>3.</w:t>
            </w:r>
            <w:r>
              <w:rPr>
                <w:rFonts w:hAnsi="宋体" w:cs="Arial"/>
                <w:b/>
                <w:bCs/>
                <w:color w:val="000000"/>
                <w:kern w:val="0"/>
                <w:sz w:val="20"/>
              </w:rPr>
              <w:t>加强对县（市、区）监督检查工作的指导、监督。</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80" w:lineRule="exact"/>
              <w:rPr>
                <w:rFonts w:cs="Arial"/>
                <w:b/>
                <w:bCs/>
                <w:color w:val="000000"/>
                <w:kern w:val="0"/>
                <w:sz w:val="20"/>
                <w:szCs w:val="20"/>
              </w:rPr>
            </w:pPr>
            <w:r>
              <w:rPr>
                <w:rFonts w:cs="Arial"/>
                <w:b/>
                <w:bCs/>
                <w:color w:val="000000"/>
                <w:kern w:val="0"/>
                <w:sz w:val="20"/>
                <w:szCs w:val="20"/>
              </w:rPr>
              <w:t>1.</w:t>
            </w:r>
            <w:r>
              <w:rPr>
                <w:rFonts w:hAnsi="宋体" w:cs="Arial"/>
                <w:b/>
                <w:bCs/>
                <w:color w:val="000000"/>
                <w:kern w:val="0"/>
                <w:sz w:val="20"/>
              </w:rPr>
              <w:t>【部门规章】《社会保险稽核办法》（</w:t>
            </w:r>
            <w:r>
              <w:rPr>
                <w:rFonts w:cs="Arial"/>
                <w:b/>
                <w:bCs/>
                <w:color w:val="000000"/>
                <w:kern w:val="0"/>
                <w:sz w:val="20"/>
              </w:rPr>
              <w:t>2003</w:t>
            </w:r>
            <w:r>
              <w:rPr>
                <w:rFonts w:hAnsi="宋体" w:cs="Arial"/>
                <w:b/>
                <w:bCs/>
                <w:color w:val="000000"/>
                <w:kern w:val="0"/>
                <w:sz w:val="20"/>
              </w:rPr>
              <w:t>年</w:t>
            </w:r>
            <w:r>
              <w:rPr>
                <w:rFonts w:cs="Arial"/>
                <w:b/>
                <w:bCs/>
                <w:color w:val="000000"/>
                <w:kern w:val="0"/>
                <w:sz w:val="20"/>
              </w:rPr>
              <w:t>2</w:t>
            </w:r>
            <w:r>
              <w:rPr>
                <w:rFonts w:hAnsi="宋体" w:cs="Arial"/>
                <w:b/>
                <w:bCs/>
                <w:color w:val="000000"/>
                <w:kern w:val="0"/>
                <w:sz w:val="20"/>
              </w:rPr>
              <w:t>月劳动部令第</w:t>
            </w:r>
            <w:r>
              <w:rPr>
                <w:rFonts w:cs="Arial"/>
                <w:b/>
                <w:bCs/>
                <w:color w:val="000000"/>
                <w:kern w:val="0"/>
                <w:sz w:val="20"/>
              </w:rPr>
              <w:t>16</w:t>
            </w:r>
            <w:r>
              <w:rPr>
                <w:rFonts w:hAnsi="宋体" w:cs="Arial"/>
                <w:b/>
                <w:bCs/>
                <w:color w:val="000000"/>
                <w:kern w:val="0"/>
                <w:sz w:val="20"/>
              </w:rPr>
              <w:t>号）第十三条：社会保险经办机构工作人员在稽核工作中滥用职权、徇私舞弊、玩忽职守的，依法给予行政处分；构成犯罪的，依法追究刑事责任。</w:t>
            </w:r>
            <w:r>
              <w:rPr>
                <w:rFonts w:cs="Arial"/>
                <w:b/>
                <w:bCs/>
                <w:color w:val="000000"/>
                <w:kern w:val="0"/>
                <w:sz w:val="20"/>
                <w:szCs w:val="20"/>
              </w:rPr>
              <w:br w:type="textWrapping"/>
            </w:r>
            <w:r>
              <w:rPr>
                <w:rFonts w:cs="Arial"/>
                <w:b/>
                <w:bCs/>
                <w:color w:val="000000"/>
                <w:kern w:val="0"/>
                <w:sz w:val="20"/>
              </w:rPr>
              <w:t>2.</w:t>
            </w:r>
            <w:r>
              <w:rPr>
                <w:rFonts w:hAnsi="宋体" w:cs="Arial"/>
                <w:b/>
                <w:bCs/>
                <w:color w:val="000000"/>
                <w:kern w:val="0"/>
                <w:sz w:val="20"/>
              </w:rPr>
              <w:t>【地方规章】《山东省社会保险稽查办法》（</w:t>
            </w:r>
            <w:r>
              <w:rPr>
                <w:rFonts w:cs="Arial"/>
                <w:b/>
                <w:bCs/>
                <w:color w:val="000000"/>
                <w:kern w:val="0"/>
                <w:sz w:val="20"/>
              </w:rPr>
              <w:t>2003</w:t>
            </w:r>
            <w:r>
              <w:rPr>
                <w:rFonts w:hAnsi="宋体" w:cs="Arial"/>
                <w:b/>
                <w:bCs/>
                <w:color w:val="000000"/>
                <w:kern w:val="0"/>
                <w:sz w:val="20"/>
              </w:rPr>
              <w:t>年</w:t>
            </w:r>
            <w:r>
              <w:rPr>
                <w:rFonts w:cs="Arial"/>
                <w:b/>
                <w:bCs/>
                <w:color w:val="000000"/>
                <w:kern w:val="0"/>
                <w:sz w:val="20"/>
              </w:rPr>
              <w:t>6</w:t>
            </w:r>
            <w:r>
              <w:rPr>
                <w:rFonts w:hAnsi="宋体" w:cs="Arial"/>
                <w:b/>
                <w:bCs/>
                <w:color w:val="000000"/>
                <w:kern w:val="0"/>
                <w:sz w:val="20"/>
              </w:rPr>
              <w:t>月山东省人民政府令第</w:t>
            </w:r>
            <w:r>
              <w:rPr>
                <w:rFonts w:cs="Arial"/>
                <w:b/>
                <w:bCs/>
                <w:color w:val="000000"/>
                <w:kern w:val="0"/>
                <w:sz w:val="20"/>
              </w:rPr>
              <w:t>158</w:t>
            </w:r>
            <w:r>
              <w:rPr>
                <w:rFonts w:hAnsi="宋体" w:cs="Arial"/>
                <w:b/>
                <w:bCs/>
                <w:color w:val="000000"/>
                <w:kern w:val="0"/>
                <w:sz w:val="20"/>
              </w:rPr>
              <w:t>号）第二十三条：社会保险稽查工作人员在稽查中滥用职权、玩忽职守、徇私舞弊构成犯罪的，依法追究刑事责任；尚不构成犯罪的，给予行政处分。</w:t>
            </w:r>
          </w:p>
        </w:tc>
        <w:tc>
          <w:tcPr>
            <w:tcW w:w="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80" w:lineRule="exact"/>
              <w:jc w:val="center"/>
              <w:rPr>
                <w:rFonts w:cs="Arial"/>
                <w:b/>
                <w:bCs/>
                <w:color w:val="000000"/>
                <w:kern w:val="0"/>
                <w:sz w:val="20"/>
                <w:szCs w:val="20"/>
              </w:rPr>
            </w:pPr>
          </w:p>
        </w:tc>
      </w:tr>
      <w:tr>
        <w:tblPrEx>
          <w:tblLayout w:type="fixed"/>
          <w:tblCellMar>
            <w:top w:w="0" w:type="dxa"/>
            <w:left w:w="28" w:type="dxa"/>
            <w:bottom w:w="0" w:type="dxa"/>
            <w:right w:w="28" w:type="dxa"/>
          </w:tblCellMar>
        </w:tblPrEx>
        <w:trPr>
          <w:trHeight w:val="8356" w:hRule="atLeast"/>
        </w:trPr>
        <w:tc>
          <w:tcPr>
            <w:tcW w:w="409"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spacing w:line="280" w:lineRule="exact"/>
              <w:jc w:val="center"/>
              <w:rPr>
                <w:rFonts w:cs="Arial"/>
                <w:b/>
                <w:bCs/>
                <w:color w:val="000000"/>
                <w:kern w:val="0"/>
                <w:sz w:val="20"/>
                <w:szCs w:val="20"/>
              </w:rPr>
            </w:pPr>
            <w:r>
              <w:rPr>
                <w:rFonts w:cs="Arial"/>
                <w:b/>
                <w:bCs/>
                <w:color w:val="000000"/>
                <w:kern w:val="0"/>
                <w:sz w:val="20"/>
                <w:szCs w:val="20"/>
              </w:rPr>
              <w:t>3</w:t>
            </w:r>
          </w:p>
        </w:tc>
        <w:tc>
          <w:tcPr>
            <w:tcW w:w="79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spacing w:line="280" w:lineRule="exact"/>
              <w:jc w:val="center"/>
              <w:rPr>
                <w:rFonts w:cs="Arial"/>
                <w:b/>
                <w:bCs/>
                <w:color w:val="000000"/>
                <w:kern w:val="0"/>
                <w:sz w:val="20"/>
                <w:szCs w:val="20"/>
              </w:rPr>
            </w:pPr>
            <w:r>
              <w:rPr>
                <w:rFonts w:hAnsi="Verdana" w:cs="Arial"/>
                <w:b/>
                <w:bCs/>
                <w:color w:val="000000"/>
                <w:kern w:val="0"/>
                <w:sz w:val="20"/>
                <w:szCs w:val="20"/>
              </w:rPr>
              <w:t>济宁市医疗保障局</w:t>
            </w:r>
          </w:p>
        </w:tc>
        <w:tc>
          <w:tcPr>
            <w:tcW w:w="1265"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spacing w:line="280" w:lineRule="exact"/>
              <w:rPr>
                <w:rFonts w:cs="Arial"/>
                <w:b/>
                <w:bCs/>
                <w:color w:val="000000"/>
                <w:kern w:val="0"/>
                <w:sz w:val="20"/>
                <w:szCs w:val="20"/>
              </w:rPr>
            </w:pPr>
            <w:r>
              <w:rPr>
                <w:rFonts w:hint="eastAsia" w:hAnsi="宋体" w:cs="Arial"/>
                <w:b/>
                <w:bCs/>
                <w:color w:val="000000"/>
                <w:kern w:val="0"/>
                <w:sz w:val="20"/>
                <w:szCs w:val="20"/>
              </w:rPr>
              <w:t>拟订全市药品、医用耗材价格和医疗服务项目、医疗服务设施收费等政策并监督实施，建立价格信息监测和信息发布制度。拟定全市药品、医用耗材的集中采购、配送以及结算管理政策并监督实施。</w:t>
            </w:r>
          </w:p>
        </w:tc>
        <w:tc>
          <w:tcPr>
            <w:tcW w:w="811"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spacing w:line="280" w:lineRule="exact"/>
              <w:rPr>
                <w:rFonts w:cs="Arial"/>
                <w:b/>
                <w:bCs/>
                <w:color w:val="000000"/>
                <w:kern w:val="0"/>
                <w:sz w:val="20"/>
                <w:szCs w:val="20"/>
              </w:rPr>
            </w:pPr>
            <w:r>
              <w:rPr>
                <w:rFonts w:hAnsi="Verdana" w:cs="Arial"/>
                <w:b/>
                <w:bCs/>
                <w:color w:val="000000"/>
                <w:kern w:val="0"/>
                <w:sz w:val="20"/>
                <w:szCs w:val="20"/>
              </w:rPr>
              <w:t>对药品、医用耗材价格监测和成本调查及购销价格数量等资料的监督检查</w:t>
            </w:r>
          </w:p>
        </w:tc>
        <w:tc>
          <w:tcPr>
            <w:tcW w:w="151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spacing w:line="280" w:lineRule="exact"/>
              <w:jc w:val="center"/>
              <w:rPr>
                <w:rFonts w:cs="Arial"/>
                <w:b/>
                <w:bCs/>
                <w:color w:val="000000"/>
                <w:kern w:val="0"/>
                <w:sz w:val="20"/>
                <w:szCs w:val="20"/>
              </w:rPr>
            </w:pPr>
            <w:r>
              <w:rPr>
                <w:rFonts w:cs="Arial"/>
                <w:b/>
                <w:bCs/>
                <w:color w:val="000000"/>
                <w:kern w:val="0"/>
                <w:sz w:val="20"/>
                <w:szCs w:val="20"/>
              </w:rPr>
              <w:t>3700000636005</w:t>
            </w:r>
          </w:p>
        </w:tc>
        <w:tc>
          <w:tcPr>
            <w:tcW w:w="79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spacing w:line="280" w:lineRule="exact"/>
              <w:jc w:val="center"/>
              <w:rPr>
                <w:rFonts w:hint="eastAsia" w:hAnsi="Verdana" w:cs="Arial"/>
                <w:b/>
                <w:bCs/>
                <w:color w:val="000000"/>
                <w:kern w:val="0"/>
                <w:sz w:val="20"/>
                <w:szCs w:val="20"/>
              </w:rPr>
            </w:pPr>
            <w:r>
              <w:rPr>
                <w:rFonts w:hAnsi="Verdana" w:cs="Arial"/>
                <w:b/>
                <w:bCs/>
                <w:color w:val="000000"/>
                <w:kern w:val="0"/>
                <w:sz w:val="20"/>
                <w:szCs w:val="20"/>
              </w:rPr>
              <w:t>行政</w:t>
            </w:r>
          </w:p>
          <w:p>
            <w:pPr>
              <w:spacing w:line="280" w:lineRule="exact"/>
              <w:jc w:val="center"/>
              <w:rPr>
                <w:rFonts w:cs="Arial"/>
                <w:b/>
                <w:bCs/>
                <w:color w:val="000000"/>
                <w:kern w:val="0"/>
                <w:sz w:val="20"/>
                <w:szCs w:val="20"/>
              </w:rPr>
            </w:pPr>
            <w:r>
              <w:rPr>
                <w:rFonts w:hAnsi="Verdana" w:cs="Arial"/>
                <w:b/>
                <w:bCs/>
                <w:color w:val="000000"/>
                <w:kern w:val="0"/>
                <w:sz w:val="20"/>
                <w:szCs w:val="20"/>
              </w:rPr>
              <w:t>检查</w:t>
            </w:r>
          </w:p>
        </w:tc>
        <w:tc>
          <w:tcPr>
            <w:tcW w:w="2541"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spacing w:line="280" w:lineRule="exact"/>
              <w:jc w:val="left"/>
              <w:rPr>
                <w:rFonts w:cs="Arial"/>
                <w:b/>
                <w:bCs/>
                <w:color w:val="000000"/>
                <w:kern w:val="0"/>
                <w:sz w:val="20"/>
                <w:szCs w:val="20"/>
              </w:rPr>
            </w:pPr>
            <w:r>
              <w:rPr>
                <w:rFonts w:cs="Arial"/>
                <w:b/>
                <w:bCs/>
                <w:color w:val="000000"/>
                <w:kern w:val="0"/>
                <w:sz w:val="20"/>
                <w:szCs w:val="20"/>
              </w:rPr>
              <w:t>1.</w:t>
            </w:r>
            <w:r>
              <w:rPr>
                <w:rFonts w:hAnsi="Verdana" w:cs="Arial"/>
                <w:b/>
                <w:bCs/>
                <w:color w:val="000000"/>
                <w:kern w:val="0"/>
                <w:sz w:val="20"/>
                <w:szCs w:val="20"/>
              </w:rPr>
              <w:t>【法律】《基本医疗卫生与健康促进法》（</w:t>
            </w:r>
            <w:r>
              <w:rPr>
                <w:rFonts w:cs="Arial"/>
                <w:b/>
                <w:bCs/>
                <w:color w:val="000000"/>
                <w:kern w:val="0"/>
                <w:sz w:val="20"/>
                <w:szCs w:val="20"/>
              </w:rPr>
              <w:t>2019</w:t>
            </w:r>
            <w:r>
              <w:rPr>
                <w:rFonts w:hAnsi="Verdana" w:cs="Arial"/>
                <w:b/>
                <w:bCs/>
                <w:color w:val="000000"/>
                <w:kern w:val="0"/>
                <w:sz w:val="20"/>
                <w:szCs w:val="20"/>
              </w:rPr>
              <w:t>年</w:t>
            </w:r>
            <w:r>
              <w:rPr>
                <w:rFonts w:cs="Arial"/>
                <w:b/>
                <w:bCs/>
                <w:color w:val="000000"/>
                <w:kern w:val="0"/>
                <w:sz w:val="20"/>
                <w:szCs w:val="20"/>
              </w:rPr>
              <w:t>12</w:t>
            </w:r>
            <w:r>
              <w:rPr>
                <w:rFonts w:hAnsi="Verdana" w:cs="Arial"/>
                <w:b/>
                <w:bCs/>
                <w:color w:val="000000"/>
                <w:kern w:val="0"/>
                <w:sz w:val="20"/>
                <w:szCs w:val="20"/>
              </w:rPr>
              <w:t>月通过）第一百零三条：违反本法规定，参加药品采购投标的投标人以低于成本的报价竞价，或者以欺诈、串通投标、滥用市场支配地位等方式竞标的，由县级以上人民政府医疗保障主管部门责令改正，没收违法所得；中标的，中标无效，处中标项目金额千分之五以上千分之十以下的罚款，对法定代表人、主要负责人、直接负责的主管人员和其他责任人员处对单位罚款数额百分之五以上百分之十以下的罚款；情节严重的，取消其二年至五年内参加药品采购投标的资格并予以公告。</w:t>
            </w:r>
            <w:r>
              <w:rPr>
                <w:rFonts w:cs="Arial"/>
                <w:b/>
                <w:bCs/>
                <w:color w:val="000000"/>
                <w:kern w:val="0"/>
                <w:sz w:val="20"/>
                <w:szCs w:val="20"/>
              </w:rPr>
              <w:br w:type="textWrapping"/>
            </w:r>
            <w:r>
              <w:rPr>
                <w:rFonts w:cs="Arial"/>
                <w:b/>
                <w:bCs/>
                <w:color w:val="000000"/>
                <w:kern w:val="0"/>
                <w:sz w:val="20"/>
                <w:szCs w:val="20"/>
              </w:rPr>
              <w:t>2.</w:t>
            </w:r>
            <w:r>
              <w:rPr>
                <w:rFonts w:hAnsi="Verdana" w:cs="Arial"/>
                <w:b/>
                <w:bCs/>
                <w:color w:val="000000"/>
                <w:kern w:val="0"/>
                <w:sz w:val="20"/>
                <w:szCs w:val="20"/>
              </w:rPr>
              <w:t>【法律】《药品管理法》（</w:t>
            </w:r>
            <w:r>
              <w:rPr>
                <w:rFonts w:cs="Arial"/>
                <w:b/>
                <w:bCs/>
                <w:color w:val="000000"/>
                <w:kern w:val="0"/>
                <w:sz w:val="20"/>
                <w:szCs w:val="20"/>
              </w:rPr>
              <w:t>2019</w:t>
            </w:r>
            <w:r>
              <w:rPr>
                <w:rFonts w:hAnsi="Verdana" w:cs="Arial"/>
                <w:b/>
                <w:bCs/>
                <w:color w:val="000000"/>
                <w:kern w:val="0"/>
                <w:sz w:val="20"/>
                <w:szCs w:val="20"/>
              </w:rPr>
              <w:t>年</w:t>
            </w:r>
            <w:r>
              <w:rPr>
                <w:rFonts w:cs="Arial"/>
                <w:b/>
                <w:bCs/>
                <w:color w:val="000000"/>
                <w:kern w:val="0"/>
                <w:sz w:val="20"/>
                <w:szCs w:val="20"/>
              </w:rPr>
              <w:t>8</w:t>
            </w:r>
            <w:r>
              <w:rPr>
                <w:rFonts w:hAnsi="Verdana" w:cs="Arial"/>
                <w:b/>
                <w:bCs/>
                <w:color w:val="000000"/>
                <w:kern w:val="0"/>
                <w:sz w:val="20"/>
                <w:szCs w:val="20"/>
              </w:rPr>
              <w:t>月修订）第八十六条：药品上市许可持有人、药品生产企业、药品经营企业和医疗机构应当依法向药品价格主管部门提供其药品的实际购销价格和购销数量等资料。</w:t>
            </w:r>
          </w:p>
        </w:tc>
        <w:tc>
          <w:tcPr>
            <w:tcW w:w="796"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spacing w:line="280" w:lineRule="exact"/>
              <w:jc w:val="center"/>
              <w:rPr>
                <w:rFonts w:cs="Arial"/>
                <w:b/>
                <w:bCs/>
                <w:color w:val="000000"/>
                <w:kern w:val="0"/>
                <w:sz w:val="20"/>
                <w:szCs w:val="20"/>
              </w:rPr>
            </w:pPr>
            <w:r>
              <w:rPr>
                <w:rFonts w:hAnsi="Verdana" w:cs="Arial"/>
                <w:b/>
                <w:bCs/>
                <w:color w:val="000000"/>
                <w:kern w:val="0"/>
                <w:sz w:val="20"/>
                <w:szCs w:val="20"/>
              </w:rPr>
              <w:t>市</w:t>
            </w:r>
          </w:p>
        </w:tc>
        <w:tc>
          <w:tcPr>
            <w:tcW w:w="811"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spacing w:line="280" w:lineRule="exact"/>
              <w:rPr>
                <w:rFonts w:cs="Arial"/>
                <w:b/>
                <w:bCs/>
                <w:color w:val="000000"/>
                <w:kern w:val="0"/>
                <w:sz w:val="20"/>
                <w:szCs w:val="20"/>
              </w:rPr>
            </w:pPr>
            <w:r>
              <w:rPr>
                <w:rFonts w:hAnsi="Verdana" w:cs="Arial"/>
                <w:b/>
                <w:bCs/>
                <w:color w:val="000000"/>
                <w:kern w:val="0"/>
                <w:sz w:val="20"/>
                <w:szCs w:val="20"/>
              </w:rPr>
              <w:t>按照属地管理原则，负责对市级药品、医用耗材价格监测和成本调查及购销价格数量等资料的监督检查。</w:t>
            </w:r>
          </w:p>
        </w:tc>
        <w:tc>
          <w:tcPr>
            <w:tcW w:w="1549"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spacing w:line="280" w:lineRule="exact"/>
              <w:jc w:val="left"/>
              <w:rPr>
                <w:rFonts w:cs="Arial"/>
                <w:b/>
                <w:bCs/>
                <w:color w:val="000000"/>
                <w:kern w:val="0"/>
                <w:sz w:val="20"/>
                <w:szCs w:val="20"/>
              </w:rPr>
            </w:pPr>
            <w:r>
              <w:rPr>
                <w:rFonts w:hAnsi="Verdana" w:cs="Arial"/>
                <w:b/>
                <w:bCs/>
                <w:color w:val="000000"/>
                <w:kern w:val="0"/>
                <w:sz w:val="20"/>
                <w:szCs w:val="20"/>
              </w:rPr>
              <w:t>直接实施责任</w:t>
            </w:r>
            <w:r>
              <w:rPr>
                <w:rFonts w:cs="Arial"/>
                <w:b/>
                <w:bCs/>
                <w:color w:val="000000"/>
                <w:kern w:val="0"/>
                <w:sz w:val="20"/>
                <w:szCs w:val="20"/>
              </w:rPr>
              <w:t xml:space="preserve">: </w:t>
            </w:r>
            <w:r>
              <w:rPr>
                <w:rFonts w:cs="Arial"/>
                <w:b/>
                <w:bCs/>
                <w:color w:val="000000"/>
                <w:kern w:val="0"/>
                <w:sz w:val="20"/>
                <w:szCs w:val="20"/>
              </w:rPr>
              <w:br w:type="textWrapping"/>
            </w:r>
            <w:r>
              <w:rPr>
                <w:rFonts w:cs="Arial"/>
                <w:b/>
                <w:bCs/>
                <w:color w:val="000000"/>
                <w:kern w:val="0"/>
                <w:sz w:val="20"/>
                <w:szCs w:val="20"/>
              </w:rPr>
              <w:t>1.</w:t>
            </w:r>
            <w:r>
              <w:rPr>
                <w:rFonts w:hAnsi="Verdana" w:cs="Arial"/>
                <w:b/>
                <w:bCs/>
                <w:color w:val="000000"/>
                <w:kern w:val="0"/>
                <w:sz w:val="20"/>
                <w:szCs w:val="20"/>
              </w:rPr>
              <w:t>根据工作需求，对市级药品、医用耗材价格监测和成本调查及购销价格数量等资料进行监督检查。</w:t>
            </w:r>
            <w:r>
              <w:rPr>
                <w:rFonts w:cs="Arial"/>
                <w:b/>
                <w:bCs/>
                <w:color w:val="000000"/>
                <w:kern w:val="0"/>
                <w:sz w:val="20"/>
                <w:szCs w:val="20"/>
              </w:rPr>
              <w:t xml:space="preserve"> </w:t>
            </w:r>
            <w:r>
              <w:rPr>
                <w:rFonts w:cs="Arial"/>
                <w:b/>
                <w:bCs/>
                <w:color w:val="000000"/>
                <w:kern w:val="0"/>
                <w:sz w:val="20"/>
                <w:szCs w:val="20"/>
              </w:rPr>
              <w:br w:type="textWrapping"/>
            </w:r>
            <w:r>
              <w:rPr>
                <w:rFonts w:hAnsi="Verdana" w:cs="Arial"/>
                <w:b/>
                <w:bCs/>
                <w:color w:val="000000"/>
                <w:kern w:val="0"/>
                <w:sz w:val="20"/>
                <w:szCs w:val="20"/>
              </w:rPr>
              <w:t>指导监督责任</w:t>
            </w:r>
            <w:r>
              <w:rPr>
                <w:rFonts w:cs="Arial"/>
                <w:b/>
                <w:bCs/>
                <w:color w:val="000000"/>
                <w:kern w:val="0"/>
                <w:sz w:val="20"/>
                <w:szCs w:val="20"/>
              </w:rPr>
              <w:t xml:space="preserve">: </w:t>
            </w:r>
            <w:r>
              <w:rPr>
                <w:rFonts w:cs="Arial"/>
                <w:b/>
                <w:bCs/>
                <w:color w:val="000000"/>
                <w:kern w:val="0"/>
                <w:sz w:val="20"/>
                <w:szCs w:val="20"/>
              </w:rPr>
              <w:br w:type="textWrapping"/>
            </w:r>
            <w:r>
              <w:rPr>
                <w:rFonts w:cs="Arial"/>
                <w:b/>
                <w:bCs/>
                <w:color w:val="000000"/>
                <w:kern w:val="0"/>
                <w:sz w:val="20"/>
                <w:szCs w:val="20"/>
              </w:rPr>
              <w:t>2.</w:t>
            </w:r>
            <w:r>
              <w:rPr>
                <w:rFonts w:hAnsi="Verdana" w:cs="Arial"/>
                <w:b/>
                <w:bCs/>
                <w:color w:val="000000"/>
                <w:kern w:val="0"/>
                <w:sz w:val="20"/>
                <w:szCs w:val="20"/>
              </w:rPr>
              <w:t>加强对县级相关工作的指导、监督。</w:t>
            </w:r>
          </w:p>
        </w:tc>
        <w:tc>
          <w:tcPr>
            <w:tcW w:w="1980"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spacing w:line="280" w:lineRule="exact"/>
              <w:rPr>
                <w:rFonts w:cs="Arial"/>
                <w:b/>
                <w:bCs/>
                <w:color w:val="000000"/>
                <w:kern w:val="0"/>
                <w:sz w:val="20"/>
                <w:szCs w:val="20"/>
              </w:rPr>
            </w:pPr>
            <w:r>
              <w:rPr>
                <w:rFonts w:cs="Arial"/>
                <w:b/>
                <w:bCs/>
                <w:color w:val="000000"/>
                <w:kern w:val="0"/>
                <w:sz w:val="20"/>
                <w:szCs w:val="20"/>
              </w:rPr>
              <w:t>1.</w:t>
            </w:r>
            <w:r>
              <w:rPr>
                <w:rFonts w:hAnsi="Verdana" w:cs="Arial"/>
                <w:b/>
                <w:bCs/>
                <w:color w:val="000000"/>
                <w:kern w:val="0"/>
                <w:sz w:val="20"/>
                <w:szCs w:val="20"/>
              </w:rPr>
              <w:t>【法律】《基本医疗卫生与健康促进法》（</w:t>
            </w:r>
            <w:r>
              <w:rPr>
                <w:rFonts w:cs="Arial"/>
                <w:b/>
                <w:bCs/>
                <w:color w:val="000000"/>
                <w:kern w:val="0"/>
                <w:sz w:val="20"/>
                <w:szCs w:val="20"/>
              </w:rPr>
              <w:t>2019</w:t>
            </w:r>
            <w:r>
              <w:rPr>
                <w:rFonts w:hAnsi="Verdana" w:cs="Arial"/>
                <w:b/>
                <w:bCs/>
                <w:color w:val="000000"/>
                <w:kern w:val="0"/>
                <w:sz w:val="20"/>
                <w:szCs w:val="20"/>
              </w:rPr>
              <w:t>年</w:t>
            </w:r>
            <w:r>
              <w:rPr>
                <w:rFonts w:cs="Arial"/>
                <w:b/>
                <w:bCs/>
                <w:color w:val="000000"/>
                <w:kern w:val="0"/>
                <w:sz w:val="20"/>
                <w:szCs w:val="20"/>
              </w:rPr>
              <w:t>12</w:t>
            </w:r>
            <w:r>
              <w:rPr>
                <w:rFonts w:hAnsi="Verdana" w:cs="Arial"/>
                <w:b/>
                <w:bCs/>
                <w:color w:val="000000"/>
                <w:kern w:val="0"/>
                <w:sz w:val="20"/>
                <w:szCs w:val="20"/>
              </w:rPr>
              <w:t>月通过）第九十八条：违反本法规定，地方各级人民政府、县级以上人民政府卫生健康主管部门和其他有关部门，滥用职权、玩忽职守、徇私舞弊的，对直接负责的主管人员和其他直接责任人员依法给予处分。</w:t>
            </w:r>
            <w:r>
              <w:rPr>
                <w:rFonts w:cs="Arial"/>
                <w:b/>
                <w:bCs/>
                <w:color w:val="000000"/>
                <w:kern w:val="0"/>
                <w:sz w:val="20"/>
                <w:szCs w:val="20"/>
              </w:rPr>
              <w:br w:type="textWrapping"/>
            </w:r>
            <w:r>
              <w:rPr>
                <w:rFonts w:cs="Arial"/>
                <w:b/>
                <w:bCs/>
                <w:color w:val="000000"/>
                <w:kern w:val="0"/>
                <w:sz w:val="20"/>
                <w:szCs w:val="20"/>
              </w:rPr>
              <w:t>2.</w:t>
            </w:r>
            <w:r>
              <w:rPr>
                <w:rFonts w:hAnsi="Verdana" w:cs="Arial"/>
                <w:b/>
                <w:bCs/>
                <w:color w:val="000000"/>
                <w:kern w:val="0"/>
                <w:sz w:val="20"/>
                <w:szCs w:val="20"/>
              </w:rPr>
              <w:t>【法律】《监察法》（</w:t>
            </w:r>
            <w:r>
              <w:rPr>
                <w:rFonts w:cs="Arial"/>
                <w:b/>
                <w:bCs/>
                <w:color w:val="000000"/>
                <w:kern w:val="0"/>
                <w:sz w:val="20"/>
                <w:szCs w:val="20"/>
              </w:rPr>
              <w:t>2018</w:t>
            </w:r>
            <w:r>
              <w:rPr>
                <w:rFonts w:hAnsi="Verdana" w:cs="Arial"/>
                <w:b/>
                <w:bCs/>
                <w:color w:val="000000"/>
                <w:kern w:val="0"/>
                <w:sz w:val="20"/>
                <w:szCs w:val="20"/>
              </w:rPr>
              <w:t>年</w:t>
            </w:r>
            <w:r>
              <w:rPr>
                <w:rFonts w:cs="Arial"/>
                <w:b/>
                <w:bCs/>
                <w:color w:val="000000"/>
                <w:kern w:val="0"/>
                <w:sz w:val="20"/>
                <w:szCs w:val="20"/>
              </w:rPr>
              <w:t>3</w:t>
            </w:r>
            <w:r>
              <w:rPr>
                <w:rFonts w:hAnsi="Verdana" w:cs="Arial"/>
                <w:b/>
                <w:bCs/>
                <w:color w:val="000000"/>
                <w:kern w:val="0"/>
                <w:sz w:val="20"/>
                <w:szCs w:val="20"/>
              </w:rPr>
              <w:t>月通过）规定的追责情形。</w:t>
            </w:r>
          </w:p>
        </w:tc>
        <w:tc>
          <w:tcPr>
            <w:tcW w:w="418" w:type="dxa"/>
            <w:tcBorders>
              <w:top w:val="single" w:color="000000" w:sz="4" w:space="0"/>
              <w:left w:val="single" w:color="000000" w:sz="4" w:space="0"/>
              <w:bottom w:val="single" w:color="000000" w:sz="4" w:space="0"/>
              <w:right w:val="single" w:color="000000" w:sz="4" w:space="0"/>
            </w:tcBorders>
            <w:shd w:val="clear" w:color="auto" w:fill="FFFFFF" w:themeFill="background1"/>
            <w:noWrap w:val="0"/>
            <w:vAlign w:val="center"/>
          </w:tcPr>
          <w:p>
            <w:pPr>
              <w:spacing w:line="280" w:lineRule="exact"/>
              <w:jc w:val="center"/>
              <w:rPr>
                <w:rFonts w:cs="Arial"/>
                <w:b/>
                <w:bCs/>
                <w:color w:val="000000"/>
                <w:kern w:val="0"/>
                <w:sz w:val="20"/>
                <w:szCs w:val="20"/>
              </w:rPr>
            </w:pPr>
          </w:p>
        </w:tc>
      </w:tr>
      <w:tr>
        <w:tblPrEx>
          <w:tblLayout w:type="fixed"/>
          <w:tblCellMar>
            <w:top w:w="0" w:type="dxa"/>
            <w:left w:w="28" w:type="dxa"/>
            <w:bottom w:w="0" w:type="dxa"/>
            <w:right w:w="28" w:type="dxa"/>
          </w:tblCellMar>
        </w:tblPrEx>
        <w:trPr>
          <w:trHeight w:val="8130" w:hRule="atLeast"/>
        </w:trPr>
        <w:tc>
          <w:tcPr>
            <w:tcW w:w="40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80" w:lineRule="exact"/>
              <w:jc w:val="center"/>
              <w:rPr>
                <w:rFonts w:cs="Arial"/>
                <w:b/>
                <w:bCs/>
                <w:color w:val="000000"/>
                <w:kern w:val="0"/>
                <w:sz w:val="20"/>
                <w:szCs w:val="20"/>
              </w:rPr>
            </w:pPr>
            <w:r>
              <w:rPr>
                <w:rFonts w:cs="Arial"/>
                <w:b/>
                <w:bCs/>
                <w:color w:val="000000"/>
                <w:kern w:val="0"/>
                <w:sz w:val="20"/>
                <w:szCs w:val="20"/>
              </w:rPr>
              <w:t>4</w:t>
            </w:r>
          </w:p>
        </w:tc>
        <w:tc>
          <w:tcPr>
            <w:tcW w:w="7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80" w:lineRule="exact"/>
              <w:jc w:val="center"/>
              <w:rPr>
                <w:rFonts w:cs="Arial"/>
                <w:b/>
                <w:bCs/>
                <w:color w:val="000000"/>
                <w:kern w:val="0"/>
                <w:sz w:val="20"/>
                <w:szCs w:val="20"/>
              </w:rPr>
            </w:pPr>
            <w:r>
              <w:rPr>
                <w:rFonts w:hAnsi="Verdana" w:cs="Arial"/>
                <w:b/>
                <w:bCs/>
                <w:color w:val="000000"/>
                <w:kern w:val="0"/>
                <w:sz w:val="20"/>
                <w:szCs w:val="20"/>
              </w:rPr>
              <w:t>济宁市医疗保障局</w:t>
            </w:r>
          </w:p>
        </w:tc>
        <w:tc>
          <w:tcPr>
            <w:tcW w:w="12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80" w:lineRule="exact"/>
              <w:rPr>
                <w:rFonts w:cs="Arial"/>
                <w:b/>
                <w:bCs/>
                <w:color w:val="000000"/>
                <w:kern w:val="0"/>
                <w:sz w:val="20"/>
                <w:szCs w:val="20"/>
              </w:rPr>
            </w:pPr>
            <w:r>
              <w:rPr>
                <w:rFonts w:hAnsi="Verdana" w:cs="Arial"/>
                <w:b/>
                <w:bCs/>
                <w:color w:val="000000"/>
                <w:kern w:val="0"/>
                <w:sz w:val="20"/>
                <w:szCs w:val="20"/>
              </w:rPr>
              <w:t>承办中央和省、市财政相关补助资金的分配和监管工作</w:t>
            </w:r>
          </w:p>
        </w:tc>
        <w:tc>
          <w:tcPr>
            <w:tcW w:w="8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80" w:lineRule="exact"/>
              <w:jc w:val="center"/>
              <w:rPr>
                <w:rFonts w:cs="Arial"/>
                <w:b/>
                <w:bCs/>
                <w:color w:val="000000"/>
                <w:kern w:val="0"/>
                <w:sz w:val="20"/>
                <w:szCs w:val="20"/>
              </w:rPr>
            </w:pPr>
            <w:r>
              <w:rPr>
                <w:rFonts w:hAnsi="Verdana" w:cs="Arial"/>
                <w:b/>
                <w:bCs/>
                <w:color w:val="000000"/>
                <w:kern w:val="0"/>
                <w:sz w:val="20"/>
                <w:szCs w:val="20"/>
              </w:rPr>
              <w:t>对医疗救助基金的监督检查</w:t>
            </w:r>
          </w:p>
        </w:tc>
        <w:tc>
          <w:tcPr>
            <w:tcW w:w="15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80" w:lineRule="exact"/>
              <w:jc w:val="center"/>
              <w:rPr>
                <w:rFonts w:cs="Arial"/>
                <w:b/>
                <w:bCs/>
                <w:color w:val="000000"/>
                <w:kern w:val="0"/>
                <w:sz w:val="20"/>
                <w:szCs w:val="20"/>
              </w:rPr>
            </w:pPr>
            <w:r>
              <w:rPr>
                <w:rFonts w:cs="Arial"/>
                <w:b/>
                <w:bCs/>
                <w:color w:val="000000"/>
                <w:kern w:val="0"/>
                <w:sz w:val="20"/>
                <w:szCs w:val="20"/>
              </w:rPr>
              <w:t>3700000636006</w:t>
            </w:r>
          </w:p>
        </w:tc>
        <w:tc>
          <w:tcPr>
            <w:tcW w:w="7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80" w:lineRule="exact"/>
              <w:jc w:val="center"/>
              <w:rPr>
                <w:rFonts w:cs="Arial"/>
                <w:b/>
                <w:bCs/>
                <w:color w:val="000000"/>
                <w:kern w:val="0"/>
                <w:sz w:val="20"/>
                <w:szCs w:val="20"/>
              </w:rPr>
            </w:pPr>
            <w:r>
              <w:rPr>
                <w:rFonts w:hAnsi="Verdana" w:cs="Arial"/>
                <w:b/>
                <w:bCs/>
                <w:color w:val="000000"/>
                <w:kern w:val="0"/>
                <w:sz w:val="20"/>
                <w:szCs w:val="20"/>
              </w:rPr>
              <w:t>行政检查</w:t>
            </w:r>
          </w:p>
        </w:tc>
        <w:tc>
          <w:tcPr>
            <w:tcW w:w="254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80" w:lineRule="exact"/>
              <w:jc w:val="left"/>
              <w:rPr>
                <w:rFonts w:cs="Arial"/>
                <w:b/>
                <w:bCs/>
                <w:color w:val="000000"/>
                <w:kern w:val="0"/>
                <w:sz w:val="20"/>
                <w:szCs w:val="20"/>
              </w:rPr>
            </w:pPr>
            <w:r>
              <w:rPr>
                <w:rFonts w:cs="Arial"/>
                <w:b/>
                <w:bCs/>
                <w:color w:val="000000"/>
                <w:kern w:val="0"/>
                <w:sz w:val="20"/>
                <w:szCs w:val="20"/>
              </w:rPr>
              <w:t>1.</w:t>
            </w:r>
            <w:r>
              <w:rPr>
                <w:rFonts w:hAnsi="Verdana" w:cs="Arial"/>
                <w:b/>
                <w:bCs/>
                <w:color w:val="000000"/>
                <w:kern w:val="0"/>
                <w:sz w:val="20"/>
                <w:szCs w:val="20"/>
              </w:rPr>
              <w:t>【行政法规】《社会救助暂行办法》（</w:t>
            </w:r>
            <w:r>
              <w:rPr>
                <w:rFonts w:cs="Arial"/>
                <w:b/>
                <w:bCs/>
                <w:color w:val="000000"/>
                <w:kern w:val="0"/>
                <w:sz w:val="20"/>
                <w:szCs w:val="20"/>
              </w:rPr>
              <w:t>2014</w:t>
            </w:r>
            <w:r>
              <w:rPr>
                <w:rFonts w:hAnsi="Verdana" w:cs="Arial"/>
                <w:b/>
                <w:bCs/>
                <w:color w:val="000000"/>
                <w:kern w:val="0"/>
                <w:sz w:val="20"/>
                <w:szCs w:val="20"/>
              </w:rPr>
              <w:t>年</w:t>
            </w:r>
            <w:r>
              <w:rPr>
                <w:rFonts w:cs="Arial"/>
                <w:b/>
                <w:bCs/>
                <w:color w:val="000000"/>
                <w:kern w:val="0"/>
                <w:sz w:val="20"/>
                <w:szCs w:val="20"/>
              </w:rPr>
              <w:t>5</w:t>
            </w:r>
            <w:r>
              <w:rPr>
                <w:rFonts w:hAnsi="Verdana" w:cs="Arial"/>
                <w:b/>
                <w:bCs/>
                <w:color w:val="000000"/>
                <w:kern w:val="0"/>
                <w:sz w:val="20"/>
                <w:szCs w:val="20"/>
              </w:rPr>
              <w:t>月国务院令第</w:t>
            </w:r>
            <w:r>
              <w:rPr>
                <w:rFonts w:cs="Arial"/>
                <w:b/>
                <w:bCs/>
                <w:color w:val="000000"/>
                <w:kern w:val="0"/>
                <w:sz w:val="20"/>
                <w:szCs w:val="20"/>
              </w:rPr>
              <w:t>649</w:t>
            </w:r>
            <w:r>
              <w:rPr>
                <w:rFonts w:hAnsi="Verdana" w:cs="Arial"/>
                <w:b/>
                <w:bCs/>
                <w:color w:val="000000"/>
                <w:kern w:val="0"/>
                <w:sz w:val="20"/>
                <w:szCs w:val="20"/>
              </w:rPr>
              <w:t>号）第五十七条：县级以上人民政府及其社会救助管理部门应当加强对社会救助工作的监督检查，完善相关监督管理制度。</w:t>
            </w:r>
          </w:p>
        </w:tc>
        <w:tc>
          <w:tcPr>
            <w:tcW w:w="7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80" w:lineRule="exact"/>
              <w:jc w:val="center"/>
              <w:rPr>
                <w:rFonts w:cs="Arial"/>
                <w:b/>
                <w:bCs/>
                <w:color w:val="000000"/>
                <w:kern w:val="0"/>
                <w:sz w:val="20"/>
                <w:szCs w:val="20"/>
              </w:rPr>
            </w:pPr>
            <w:r>
              <w:rPr>
                <w:rFonts w:hAnsi="Verdana" w:cs="Arial"/>
                <w:b/>
                <w:bCs/>
                <w:color w:val="000000"/>
                <w:kern w:val="0"/>
                <w:sz w:val="20"/>
                <w:szCs w:val="20"/>
              </w:rPr>
              <w:t>市</w:t>
            </w:r>
          </w:p>
        </w:tc>
        <w:tc>
          <w:tcPr>
            <w:tcW w:w="81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80" w:lineRule="exact"/>
              <w:jc w:val="center"/>
              <w:rPr>
                <w:rFonts w:cs="Arial"/>
                <w:b/>
                <w:bCs/>
                <w:color w:val="000000"/>
                <w:kern w:val="0"/>
                <w:sz w:val="20"/>
                <w:szCs w:val="20"/>
              </w:rPr>
            </w:pPr>
            <w:r>
              <w:rPr>
                <w:rFonts w:hAnsi="Verdana" w:cs="Arial"/>
                <w:b/>
                <w:bCs/>
                <w:color w:val="000000"/>
                <w:kern w:val="0"/>
                <w:sz w:val="20"/>
                <w:szCs w:val="20"/>
              </w:rPr>
              <w:t>无</w:t>
            </w:r>
          </w:p>
        </w:tc>
        <w:tc>
          <w:tcPr>
            <w:tcW w:w="154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80" w:lineRule="exact"/>
              <w:jc w:val="left"/>
              <w:rPr>
                <w:rFonts w:cs="Arial"/>
                <w:b/>
                <w:bCs/>
                <w:color w:val="000000"/>
                <w:kern w:val="0"/>
                <w:sz w:val="20"/>
                <w:szCs w:val="20"/>
              </w:rPr>
            </w:pPr>
            <w:r>
              <w:rPr>
                <w:rFonts w:hint="eastAsia" w:hAnsi="宋体" w:cs="Arial"/>
                <w:b/>
                <w:bCs/>
                <w:color w:val="000000"/>
                <w:kern w:val="0"/>
                <w:sz w:val="20"/>
                <w:szCs w:val="20"/>
              </w:rPr>
              <w:t>直接实施责任</w:t>
            </w:r>
            <w:r>
              <w:rPr>
                <w:rFonts w:cs="Arial"/>
                <w:b/>
                <w:bCs/>
                <w:color w:val="000000"/>
                <w:kern w:val="0"/>
                <w:sz w:val="20"/>
              </w:rPr>
              <w:t>:</w:t>
            </w:r>
            <w:r>
              <w:rPr>
                <w:rFonts w:cs="Arial"/>
                <w:b/>
                <w:bCs/>
                <w:color w:val="000000"/>
                <w:kern w:val="0"/>
                <w:sz w:val="20"/>
                <w:szCs w:val="20"/>
              </w:rPr>
              <w:br w:type="textWrapping"/>
            </w:r>
            <w:r>
              <w:rPr>
                <w:rFonts w:cs="Arial"/>
                <w:b/>
                <w:bCs/>
                <w:color w:val="000000"/>
                <w:kern w:val="0"/>
                <w:sz w:val="20"/>
              </w:rPr>
              <w:t>1.</w:t>
            </w:r>
            <w:r>
              <w:rPr>
                <w:rFonts w:hAnsi="宋体" w:cs="Arial"/>
                <w:b/>
                <w:bCs/>
                <w:color w:val="000000"/>
                <w:kern w:val="0"/>
                <w:sz w:val="20"/>
              </w:rPr>
              <w:t>无</w:t>
            </w:r>
            <w:r>
              <w:rPr>
                <w:rFonts w:cs="Arial"/>
                <w:b/>
                <w:bCs/>
                <w:color w:val="000000"/>
                <w:kern w:val="0"/>
                <w:sz w:val="20"/>
                <w:szCs w:val="20"/>
              </w:rPr>
              <w:br w:type="textWrapping"/>
            </w:r>
            <w:r>
              <w:rPr>
                <w:rFonts w:hAnsi="宋体" w:cs="Arial"/>
                <w:b/>
                <w:bCs/>
                <w:color w:val="000000"/>
                <w:kern w:val="0"/>
                <w:sz w:val="20"/>
              </w:rPr>
              <w:t>指导监督责任</w:t>
            </w:r>
            <w:r>
              <w:rPr>
                <w:rFonts w:cs="Arial"/>
                <w:b/>
                <w:bCs/>
                <w:color w:val="000000"/>
                <w:kern w:val="0"/>
                <w:sz w:val="20"/>
              </w:rPr>
              <w:t>:</w:t>
            </w:r>
            <w:r>
              <w:rPr>
                <w:rFonts w:cs="Arial"/>
                <w:b/>
                <w:bCs/>
                <w:color w:val="000000"/>
                <w:kern w:val="0"/>
                <w:sz w:val="20"/>
                <w:szCs w:val="20"/>
              </w:rPr>
              <w:br w:type="textWrapping"/>
            </w:r>
            <w:r>
              <w:rPr>
                <w:rFonts w:cs="Arial"/>
                <w:b/>
                <w:bCs/>
                <w:color w:val="000000"/>
                <w:kern w:val="0"/>
                <w:sz w:val="20"/>
              </w:rPr>
              <w:t>1.</w:t>
            </w:r>
            <w:r>
              <w:rPr>
                <w:rFonts w:hAnsi="宋体" w:cs="Arial"/>
                <w:b/>
                <w:bCs/>
                <w:color w:val="000000"/>
                <w:kern w:val="0"/>
                <w:sz w:val="20"/>
              </w:rPr>
              <w:t>对本行政区域内医疗救助基金监督检查实施的情况进行指导监督检查。</w:t>
            </w:r>
          </w:p>
        </w:tc>
        <w:tc>
          <w:tcPr>
            <w:tcW w:w="19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30" w:lineRule="exact"/>
              <w:textAlignment w:val="auto"/>
              <w:rPr>
                <w:rFonts w:cs="Arial"/>
                <w:b/>
                <w:bCs/>
                <w:color w:val="000000"/>
                <w:kern w:val="0"/>
                <w:sz w:val="20"/>
                <w:szCs w:val="20"/>
              </w:rPr>
            </w:pPr>
            <w:r>
              <w:rPr>
                <w:rFonts w:cs="Arial"/>
                <w:b/>
                <w:bCs/>
                <w:color w:val="000000"/>
                <w:kern w:val="0"/>
                <w:sz w:val="20"/>
                <w:szCs w:val="20"/>
              </w:rPr>
              <w:t>1.</w:t>
            </w:r>
            <w:r>
              <w:rPr>
                <w:rFonts w:hAnsi="Verdana" w:cs="Arial"/>
                <w:b/>
                <w:bCs/>
                <w:color w:val="000000"/>
                <w:kern w:val="0"/>
                <w:sz w:val="20"/>
                <w:szCs w:val="20"/>
              </w:rPr>
              <w:t>【法律】《监察法》（</w:t>
            </w:r>
            <w:r>
              <w:rPr>
                <w:rFonts w:cs="Arial"/>
                <w:b/>
                <w:bCs/>
                <w:color w:val="000000"/>
                <w:kern w:val="0"/>
                <w:sz w:val="20"/>
                <w:szCs w:val="20"/>
              </w:rPr>
              <w:t>2018</w:t>
            </w:r>
            <w:r>
              <w:rPr>
                <w:rFonts w:hAnsi="Verdana" w:cs="Arial"/>
                <w:b/>
                <w:bCs/>
                <w:color w:val="000000"/>
                <w:kern w:val="0"/>
                <w:sz w:val="20"/>
                <w:szCs w:val="20"/>
              </w:rPr>
              <w:t>年</w:t>
            </w:r>
            <w:r>
              <w:rPr>
                <w:rFonts w:cs="Arial"/>
                <w:b/>
                <w:bCs/>
                <w:color w:val="000000"/>
                <w:kern w:val="0"/>
                <w:sz w:val="20"/>
                <w:szCs w:val="20"/>
              </w:rPr>
              <w:t>3</w:t>
            </w:r>
            <w:r>
              <w:rPr>
                <w:rFonts w:hAnsi="Verdana" w:cs="Arial"/>
                <w:b/>
                <w:bCs/>
                <w:color w:val="000000"/>
                <w:kern w:val="0"/>
                <w:sz w:val="20"/>
                <w:szCs w:val="20"/>
              </w:rPr>
              <w:t>月通过）规定的追责情形。</w:t>
            </w:r>
            <w:r>
              <w:rPr>
                <w:rFonts w:cs="Arial"/>
                <w:b/>
                <w:bCs/>
                <w:color w:val="000000"/>
                <w:kern w:val="0"/>
                <w:sz w:val="20"/>
                <w:szCs w:val="20"/>
              </w:rPr>
              <w:br w:type="textWrapping"/>
            </w:r>
            <w:r>
              <w:rPr>
                <w:rFonts w:cs="Arial"/>
                <w:b/>
                <w:bCs/>
                <w:color w:val="000000"/>
                <w:kern w:val="0"/>
                <w:sz w:val="20"/>
                <w:szCs w:val="20"/>
              </w:rPr>
              <w:t>2.</w:t>
            </w:r>
            <w:r>
              <w:rPr>
                <w:rFonts w:hAnsi="Verdana" w:cs="Arial"/>
                <w:b/>
                <w:bCs/>
                <w:color w:val="000000"/>
                <w:kern w:val="0"/>
                <w:sz w:val="20"/>
                <w:szCs w:val="20"/>
              </w:rPr>
              <w:t>【行政法规】《社会救助暂行办法》（</w:t>
            </w:r>
            <w:r>
              <w:rPr>
                <w:rFonts w:cs="Arial"/>
                <w:b/>
                <w:bCs/>
                <w:color w:val="000000"/>
                <w:kern w:val="0"/>
                <w:sz w:val="20"/>
                <w:szCs w:val="20"/>
              </w:rPr>
              <w:t>2014</w:t>
            </w:r>
            <w:r>
              <w:rPr>
                <w:rFonts w:hAnsi="Verdana" w:cs="Arial"/>
                <w:b/>
                <w:bCs/>
                <w:color w:val="000000"/>
                <w:kern w:val="0"/>
                <w:sz w:val="20"/>
                <w:szCs w:val="20"/>
              </w:rPr>
              <w:t>年</w:t>
            </w:r>
            <w:r>
              <w:rPr>
                <w:rFonts w:cs="Arial"/>
                <w:b/>
                <w:bCs/>
                <w:color w:val="000000"/>
                <w:kern w:val="0"/>
                <w:sz w:val="20"/>
                <w:szCs w:val="20"/>
              </w:rPr>
              <w:t>5</w:t>
            </w:r>
            <w:r>
              <w:rPr>
                <w:rFonts w:hAnsi="Verdana" w:cs="Arial"/>
                <w:b/>
                <w:bCs/>
                <w:color w:val="000000"/>
                <w:kern w:val="0"/>
                <w:sz w:val="20"/>
                <w:szCs w:val="20"/>
              </w:rPr>
              <w:t>月国务院令第</w:t>
            </w:r>
            <w:r>
              <w:rPr>
                <w:rFonts w:cs="Arial"/>
                <w:b/>
                <w:bCs/>
                <w:color w:val="000000"/>
                <w:kern w:val="0"/>
                <w:sz w:val="20"/>
                <w:szCs w:val="20"/>
              </w:rPr>
              <w:t>649</w:t>
            </w:r>
            <w:r>
              <w:rPr>
                <w:rFonts w:hAnsi="Verdana" w:cs="Arial"/>
                <w:b/>
                <w:bCs/>
                <w:color w:val="000000"/>
                <w:kern w:val="0"/>
                <w:sz w:val="20"/>
                <w:szCs w:val="20"/>
              </w:rPr>
              <w:t>号）第六十六条：违反本办法规定，有下列情形之一的，由上级行政机关或者监察机关责令改正；对直接负责的主管人员和其他直接责任人员依法给予处分：（一）对符合申请条件的救助申请不予受理的；（二）对符合救助条件的救助申请不予批准的；（三）对不符合救助条件的救助申请予以批准的；（四）泄露在工作中知悉的公民个人信息，造成后果的；（五）丢失、篡改接受社会救助款物、服务记录等数据的；（六）不按照规定发放社会救助资金、物资或者提供相关服务的；（七）在履行社会救助职责过程中有其他滥用职权、玩忽职守、徇私舞弊行为的。</w:t>
            </w:r>
          </w:p>
        </w:tc>
        <w:tc>
          <w:tcPr>
            <w:tcW w:w="41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280" w:lineRule="exact"/>
              <w:jc w:val="center"/>
              <w:rPr>
                <w:rFonts w:cs="Arial"/>
                <w:b/>
                <w:bCs/>
                <w:color w:val="000000"/>
                <w:kern w:val="0"/>
                <w:sz w:val="20"/>
                <w:szCs w:val="20"/>
              </w:rPr>
            </w:pPr>
          </w:p>
        </w:tc>
      </w:tr>
    </w:tbl>
    <w:p>
      <w:pPr>
        <w:widowControl/>
        <w:tabs>
          <w:tab w:val="left" w:pos="18154"/>
          <w:tab w:val="left" w:pos="23194"/>
        </w:tabs>
        <w:spacing w:line="600" w:lineRule="exact"/>
        <w:ind w:left="91"/>
        <w:jc w:val="center"/>
        <w:rPr>
          <w:rFonts w:hint="eastAsia" w:ascii="方正小标宋简体" w:hAnsi="方正小标宋简体" w:eastAsia="方正小标宋简体" w:cs="方正小标宋简体"/>
          <w:b/>
          <w:bCs/>
          <w:color w:val="000000"/>
          <w:kern w:val="0"/>
          <w:sz w:val="44"/>
          <w:szCs w:val="44"/>
        </w:rPr>
      </w:pPr>
      <w:r>
        <w:rPr>
          <w:rFonts w:hint="eastAsia" w:ascii="方正小标宋简体" w:hAnsi="方正小标宋简体" w:eastAsia="方正小标宋简体" w:cs="方正小标宋简体"/>
          <w:b/>
          <w:bCs/>
          <w:color w:val="000000"/>
          <w:kern w:val="0"/>
          <w:sz w:val="44"/>
          <w:szCs w:val="44"/>
        </w:rPr>
        <w:t>权责清单目录分表</w:t>
      </w:r>
      <w:r>
        <w:rPr>
          <w:rFonts w:hint="eastAsia" w:ascii="方正小标宋简体" w:hAnsi="方正小标宋简体" w:eastAsia="方正小标宋简体" w:cs="方正小标宋简体"/>
          <w:b/>
          <w:bCs/>
          <w:color w:val="000000"/>
          <w:kern w:val="0"/>
          <w:sz w:val="44"/>
          <w:szCs w:val="44"/>
          <w:lang w:eastAsia="zh-CN"/>
        </w:rPr>
        <w:t>（</w:t>
      </w:r>
      <w:r>
        <w:rPr>
          <w:rFonts w:hint="eastAsia" w:ascii="方正小标宋简体" w:hAnsi="方正小标宋简体" w:eastAsia="方正小标宋简体" w:cs="方正小标宋简体"/>
          <w:b/>
          <w:bCs/>
          <w:color w:val="000000"/>
          <w:kern w:val="0"/>
          <w:sz w:val="44"/>
          <w:szCs w:val="44"/>
        </w:rPr>
        <w:t>公共服务类</w:t>
      </w:r>
      <w:r>
        <w:rPr>
          <w:rFonts w:hint="eastAsia" w:ascii="方正小标宋简体" w:hAnsi="方正小标宋简体" w:eastAsia="方正小标宋简体" w:cs="方正小标宋简体"/>
          <w:b/>
          <w:bCs/>
          <w:color w:val="000000"/>
          <w:kern w:val="0"/>
          <w:sz w:val="44"/>
          <w:szCs w:val="44"/>
          <w:lang w:eastAsia="zh-CN"/>
        </w:rPr>
        <w:t>）</w:t>
      </w:r>
    </w:p>
    <w:tbl>
      <w:tblPr>
        <w:tblStyle w:val="4"/>
        <w:tblW w:w="13700" w:type="dxa"/>
        <w:tblInd w:w="0" w:type="dxa"/>
        <w:tblLayout w:type="fixed"/>
        <w:tblCellMar>
          <w:top w:w="0" w:type="dxa"/>
          <w:left w:w="28" w:type="dxa"/>
          <w:bottom w:w="0" w:type="dxa"/>
          <w:right w:w="28" w:type="dxa"/>
        </w:tblCellMar>
      </w:tblPr>
      <w:tblGrid>
        <w:gridCol w:w="495"/>
        <w:gridCol w:w="715"/>
        <w:gridCol w:w="883"/>
        <w:gridCol w:w="814"/>
        <w:gridCol w:w="1374"/>
        <w:gridCol w:w="528"/>
        <w:gridCol w:w="3056"/>
        <w:gridCol w:w="539"/>
        <w:gridCol w:w="814"/>
        <w:gridCol w:w="1974"/>
        <w:gridCol w:w="2088"/>
        <w:gridCol w:w="420"/>
      </w:tblGrid>
      <w:tr>
        <w:tblPrEx>
          <w:tblLayout w:type="fixed"/>
          <w:tblCellMar>
            <w:top w:w="0" w:type="dxa"/>
            <w:left w:w="28" w:type="dxa"/>
            <w:bottom w:w="0" w:type="dxa"/>
            <w:right w:w="28" w:type="dxa"/>
          </w:tblCellMar>
        </w:tblPrEx>
        <w:trPr>
          <w:trHeight w:val="77" w:hRule="atLeast"/>
          <w:tblHeader/>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rPr>
                <w:rFonts w:hint="default" w:ascii="Times New Roman" w:hAnsi="Times New Roman" w:eastAsia="方正黑体简体" w:cs="Times New Roman"/>
                <w:b/>
                <w:bCs/>
                <w:color w:val="000000"/>
                <w:kern w:val="0"/>
                <w:sz w:val="20"/>
                <w:szCs w:val="20"/>
              </w:rPr>
            </w:pPr>
            <w:r>
              <w:rPr>
                <w:rFonts w:hint="default" w:ascii="Times New Roman" w:hAnsi="Times New Roman" w:eastAsia="方正黑体简体" w:cs="Times New Roman"/>
                <w:b/>
                <w:bCs/>
                <w:color w:val="000000"/>
                <w:kern w:val="0"/>
                <w:sz w:val="20"/>
                <w:szCs w:val="20"/>
              </w:rPr>
              <w:t>序号</w:t>
            </w:r>
          </w:p>
        </w:tc>
        <w:tc>
          <w:tcPr>
            <w:tcW w:w="7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rPr>
                <w:rFonts w:hint="default" w:ascii="Times New Roman" w:hAnsi="Times New Roman" w:eastAsia="方正黑体简体" w:cs="Times New Roman"/>
                <w:b/>
                <w:bCs/>
                <w:color w:val="000000"/>
                <w:kern w:val="0"/>
                <w:sz w:val="20"/>
                <w:szCs w:val="20"/>
              </w:rPr>
            </w:pPr>
            <w:r>
              <w:rPr>
                <w:rFonts w:hint="default" w:ascii="Times New Roman" w:hAnsi="Times New Roman" w:eastAsia="方正黑体简体" w:cs="Times New Roman"/>
                <w:b/>
                <w:bCs/>
                <w:color w:val="000000"/>
                <w:kern w:val="0"/>
                <w:sz w:val="20"/>
                <w:szCs w:val="20"/>
              </w:rPr>
              <w:t>实施</w:t>
            </w:r>
          </w:p>
          <w:p>
            <w:pPr>
              <w:widowControl/>
              <w:spacing w:line="240" w:lineRule="exact"/>
              <w:jc w:val="center"/>
              <w:rPr>
                <w:rFonts w:hint="default" w:ascii="Times New Roman" w:hAnsi="Times New Roman" w:eastAsia="方正黑体简体" w:cs="Times New Roman"/>
                <w:b/>
                <w:bCs/>
                <w:color w:val="000000"/>
                <w:kern w:val="0"/>
                <w:sz w:val="20"/>
                <w:szCs w:val="20"/>
              </w:rPr>
            </w:pPr>
            <w:r>
              <w:rPr>
                <w:rFonts w:hint="default" w:ascii="Times New Roman" w:hAnsi="Times New Roman" w:eastAsia="方正黑体简体" w:cs="Times New Roman"/>
                <w:b/>
                <w:bCs/>
                <w:color w:val="000000"/>
                <w:kern w:val="0"/>
                <w:sz w:val="20"/>
                <w:szCs w:val="20"/>
              </w:rPr>
              <w:t>机构</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rPr>
                <w:rFonts w:hint="default" w:ascii="Times New Roman" w:hAnsi="Times New Roman" w:eastAsia="方正黑体简体" w:cs="Times New Roman"/>
                <w:b/>
                <w:bCs/>
                <w:color w:val="000000"/>
                <w:kern w:val="0"/>
                <w:sz w:val="20"/>
                <w:szCs w:val="20"/>
              </w:rPr>
            </w:pPr>
            <w:r>
              <w:rPr>
                <w:rFonts w:hint="default" w:ascii="Times New Roman" w:hAnsi="Times New Roman" w:eastAsia="方正黑体简体" w:cs="Times New Roman"/>
                <w:b/>
                <w:bCs/>
                <w:color w:val="000000"/>
                <w:kern w:val="0"/>
                <w:sz w:val="20"/>
                <w:szCs w:val="20"/>
              </w:rPr>
              <w:t>部门职责</w:t>
            </w:r>
          </w:p>
        </w:tc>
        <w:tc>
          <w:tcPr>
            <w:tcW w:w="8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rPr>
                <w:rFonts w:hint="default" w:ascii="Times New Roman" w:hAnsi="Times New Roman" w:eastAsia="方正黑体简体" w:cs="Times New Roman"/>
                <w:b/>
                <w:bCs/>
                <w:color w:val="000000"/>
                <w:kern w:val="0"/>
                <w:sz w:val="20"/>
                <w:szCs w:val="20"/>
              </w:rPr>
            </w:pPr>
            <w:r>
              <w:rPr>
                <w:rFonts w:hint="default" w:ascii="Times New Roman" w:hAnsi="Times New Roman" w:eastAsia="方正黑体简体" w:cs="Times New Roman"/>
                <w:b/>
                <w:bCs/>
                <w:color w:val="000000"/>
                <w:kern w:val="0"/>
                <w:sz w:val="20"/>
                <w:szCs w:val="20"/>
              </w:rPr>
              <w:t>事项</w:t>
            </w:r>
          </w:p>
          <w:p>
            <w:pPr>
              <w:widowControl/>
              <w:spacing w:line="240" w:lineRule="exact"/>
              <w:jc w:val="center"/>
              <w:rPr>
                <w:rFonts w:hint="default" w:ascii="Times New Roman" w:hAnsi="Times New Roman" w:eastAsia="方正黑体简体" w:cs="Times New Roman"/>
                <w:b/>
                <w:bCs/>
                <w:color w:val="000000"/>
                <w:kern w:val="0"/>
                <w:sz w:val="20"/>
                <w:szCs w:val="20"/>
              </w:rPr>
            </w:pPr>
            <w:r>
              <w:rPr>
                <w:rFonts w:hint="default" w:ascii="Times New Roman" w:hAnsi="Times New Roman" w:eastAsia="方正黑体简体" w:cs="Times New Roman"/>
                <w:b/>
                <w:bCs/>
                <w:color w:val="000000"/>
                <w:kern w:val="0"/>
                <w:sz w:val="20"/>
                <w:szCs w:val="20"/>
              </w:rPr>
              <w:t>名称</w:t>
            </w:r>
          </w:p>
        </w:tc>
        <w:tc>
          <w:tcPr>
            <w:tcW w:w="1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rPr>
                <w:rFonts w:hint="default" w:ascii="Times New Roman" w:hAnsi="Times New Roman" w:eastAsia="方正黑体简体" w:cs="Times New Roman"/>
                <w:b/>
                <w:bCs/>
                <w:color w:val="000000"/>
                <w:kern w:val="0"/>
                <w:sz w:val="20"/>
                <w:szCs w:val="20"/>
              </w:rPr>
            </w:pPr>
            <w:r>
              <w:rPr>
                <w:rFonts w:hint="default" w:ascii="Times New Roman" w:hAnsi="Times New Roman" w:eastAsia="方正黑体简体" w:cs="Times New Roman"/>
                <w:b/>
                <w:bCs/>
                <w:color w:val="000000"/>
                <w:kern w:val="0"/>
                <w:sz w:val="20"/>
                <w:szCs w:val="20"/>
              </w:rPr>
              <w:t>事项编码</w:t>
            </w:r>
          </w:p>
        </w:tc>
        <w:tc>
          <w:tcPr>
            <w:tcW w:w="5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rPr>
                <w:rFonts w:hint="default" w:ascii="Times New Roman" w:hAnsi="Times New Roman" w:eastAsia="方正黑体简体" w:cs="Times New Roman"/>
                <w:b/>
                <w:bCs/>
                <w:color w:val="000000"/>
                <w:kern w:val="0"/>
                <w:sz w:val="20"/>
                <w:szCs w:val="20"/>
              </w:rPr>
            </w:pPr>
            <w:r>
              <w:rPr>
                <w:rFonts w:hint="default" w:ascii="Times New Roman" w:hAnsi="Times New Roman" w:eastAsia="方正黑体简体" w:cs="Times New Roman"/>
                <w:b/>
                <w:bCs/>
                <w:color w:val="000000"/>
                <w:kern w:val="0"/>
                <w:sz w:val="20"/>
                <w:szCs w:val="20"/>
              </w:rPr>
              <w:t>事项</w:t>
            </w:r>
          </w:p>
          <w:p>
            <w:pPr>
              <w:widowControl/>
              <w:spacing w:line="240" w:lineRule="exact"/>
              <w:jc w:val="center"/>
              <w:rPr>
                <w:rFonts w:hint="default" w:ascii="Times New Roman" w:hAnsi="Times New Roman" w:eastAsia="方正黑体简体" w:cs="Times New Roman"/>
                <w:b/>
                <w:bCs/>
                <w:color w:val="000000"/>
                <w:kern w:val="0"/>
                <w:sz w:val="20"/>
                <w:szCs w:val="20"/>
              </w:rPr>
            </w:pPr>
            <w:r>
              <w:rPr>
                <w:rFonts w:hint="default" w:ascii="Times New Roman" w:hAnsi="Times New Roman" w:eastAsia="方正黑体简体" w:cs="Times New Roman"/>
                <w:b/>
                <w:bCs/>
                <w:color w:val="000000"/>
                <w:kern w:val="0"/>
                <w:sz w:val="20"/>
                <w:szCs w:val="20"/>
              </w:rPr>
              <w:t>类型</w:t>
            </w:r>
          </w:p>
        </w:tc>
        <w:tc>
          <w:tcPr>
            <w:tcW w:w="30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rPr>
                <w:rFonts w:hint="default" w:ascii="Times New Roman" w:hAnsi="Times New Roman" w:eastAsia="方正黑体简体" w:cs="Times New Roman"/>
                <w:b/>
                <w:bCs/>
                <w:color w:val="000000"/>
                <w:kern w:val="0"/>
                <w:sz w:val="20"/>
                <w:szCs w:val="20"/>
              </w:rPr>
            </w:pPr>
            <w:r>
              <w:rPr>
                <w:rFonts w:hint="default" w:ascii="Times New Roman" w:hAnsi="Times New Roman" w:eastAsia="方正黑体简体" w:cs="Times New Roman"/>
                <w:b/>
                <w:bCs/>
                <w:color w:val="000000"/>
                <w:kern w:val="0"/>
                <w:sz w:val="20"/>
                <w:szCs w:val="20"/>
              </w:rPr>
              <w:t>设定、行使依据及有关条款</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rPr>
                <w:rFonts w:hint="default" w:ascii="Times New Roman" w:hAnsi="Times New Roman" w:eastAsia="方正黑体简体" w:cs="Times New Roman"/>
                <w:b/>
                <w:bCs/>
                <w:color w:val="000000"/>
                <w:kern w:val="0"/>
                <w:sz w:val="20"/>
                <w:szCs w:val="20"/>
              </w:rPr>
            </w:pPr>
            <w:r>
              <w:rPr>
                <w:rFonts w:hint="default" w:ascii="Times New Roman" w:hAnsi="Times New Roman" w:eastAsia="方正黑体简体" w:cs="Times New Roman"/>
                <w:b/>
                <w:bCs/>
                <w:color w:val="000000"/>
                <w:kern w:val="0"/>
                <w:sz w:val="20"/>
                <w:szCs w:val="20"/>
              </w:rPr>
              <w:t>实施</w:t>
            </w:r>
          </w:p>
          <w:p>
            <w:pPr>
              <w:widowControl/>
              <w:spacing w:line="240" w:lineRule="exact"/>
              <w:jc w:val="center"/>
              <w:rPr>
                <w:rFonts w:hint="default" w:ascii="Times New Roman" w:hAnsi="Times New Roman" w:eastAsia="方正黑体简体" w:cs="Times New Roman"/>
                <w:b/>
                <w:bCs/>
                <w:color w:val="000000"/>
                <w:kern w:val="0"/>
                <w:sz w:val="20"/>
                <w:szCs w:val="20"/>
              </w:rPr>
            </w:pPr>
            <w:r>
              <w:rPr>
                <w:rFonts w:hint="default" w:ascii="Times New Roman" w:hAnsi="Times New Roman" w:eastAsia="方正黑体简体" w:cs="Times New Roman"/>
                <w:b/>
                <w:bCs/>
                <w:color w:val="000000"/>
                <w:kern w:val="0"/>
                <w:sz w:val="20"/>
                <w:szCs w:val="20"/>
              </w:rPr>
              <w:t>层级</w:t>
            </w:r>
          </w:p>
        </w:tc>
        <w:tc>
          <w:tcPr>
            <w:tcW w:w="8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rPr>
                <w:rFonts w:hint="default" w:ascii="Times New Roman" w:hAnsi="Times New Roman" w:eastAsia="方正黑体简体" w:cs="Times New Roman"/>
                <w:b/>
                <w:bCs/>
                <w:color w:val="000000"/>
                <w:kern w:val="0"/>
                <w:sz w:val="20"/>
                <w:szCs w:val="20"/>
              </w:rPr>
            </w:pPr>
            <w:r>
              <w:rPr>
                <w:rFonts w:hint="default" w:ascii="Times New Roman" w:hAnsi="Times New Roman" w:eastAsia="方正黑体简体" w:cs="Times New Roman"/>
                <w:b/>
                <w:bCs/>
                <w:color w:val="000000"/>
                <w:kern w:val="0"/>
                <w:sz w:val="20"/>
                <w:szCs w:val="20"/>
              </w:rPr>
              <w:t>实施</w:t>
            </w:r>
          </w:p>
          <w:p>
            <w:pPr>
              <w:widowControl/>
              <w:spacing w:line="240" w:lineRule="exact"/>
              <w:jc w:val="center"/>
              <w:rPr>
                <w:rFonts w:hint="default" w:ascii="Times New Roman" w:hAnsi="Times New Roman" w:eastAsia="方正黑体简体" w:cs="Times New Roman"/>
                <w:b/>
                <w:bCs/>
                <w:color w:val="000000"/>
                <w:kern w:val="0"/>
                <w:sz w:val="20"/>
                <w:szCs w:val="20"/>
              </w:rPr>
            </w:pPr>
            <w:r>
              <w:rPr>
                <w:rFonts w:hint="default" w:ascii="Times New Roman" w:hAnsi="Times New Roman" w:eastAsia="方正黑体简体" w:cs="Times New Roman"/>
                <w:b/>
                <w:bCs/>
                <w:color w:val="000000"/>
                <w:kern w:val="0"/>
                <w:sz w:val="20"/>
                <w:szCs w:val="20"/>
              </w:rPr>
              <w:t>权限</w:t>
            </w:r>
          </w:p>
        </w:tc>
        <w:tc>
          <w:tcPr>
            <w:tcW w:w="19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rPr>
                <w:rFonts w:hint="default" w:ascii="Times New Roman" w:hAnsi="Times New Roman" w:eastAsia="方正黑体简体" w:cs="Times New Roman"/>
                <w:b/>
                <w:bCs/>
                <w:color w:val="000000"/>
                <w:kern w:val="0"/>
                <w:sz w:val="20"/>
                <w:szCs w:val="20"/>
              </w:rPr>
            </w:pPr>
            <w:r>
              <w:rPr>
                <w:rFonts w:hint="default" w:ascii="Times New Roman" w:hAnsi="Times New Roman" w:eastAsia="方正黑体简体" w:cs="Times New Roman"/>
                <w:b/>
                <w:bCs/>
                <w:color w:val="000000"/>
                <w:kern w:val="0"/>
                <w:sz w:val="20"/>
                <w:szCs w:val="20"/>
              </w:rPr>
              <w:t>对应责任事项</w:t>
            </w:r>
          </w:p>
        </w:tc>
        <w:tc>
          <w:tcPr>
            <w:tcW w:w="20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rPr>
                <w:rFonts w:hint="default" w:ascii="Times New Roman" w:hAnsi="Times New Roman" w:eastAsia="方正黑体简体" w:cs="Times New Roman"/>
                <w:b/>
                <w:bCs/>
                <w:color w:val="000000"/>
                <w:kern w:val="0"/>
                <w:sz w:val="20"/>
                <w:szCs w:val="20"/>
              </w:rPr>
            </w:pPr>
            <w:r>
              <w:rPr>
                <w:rFonts w:hint="default" w:ascii="Times New Roman" w:hAnsi="Times New Roman" w:eastAsia="方正黑体简体" w:cs="Times New Roman"/>
                <w:b/>
                <w:bCs/>
                <w:color w:val="000000"/>
                <w:kern w:val="0"/>
                <w:sz w:val="20"/>
                <w:szCs w:val="20"/>
              </w:rPr>
              <w:t>追责情形及依据</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rPr>
                <w:rFonts w:hint="default" w:ascii="Times New Roman" w:hAnsi="Times New Roman" w:eastAsia="方正黑体简体" w:cs="Times New Roman"/>
                <w:b/>
                <w:bCs/>
                <w:color w:val="000000"/>
                <w:kern w:val="0"/>
                <w:sz w:val="20"/>
                <w:szCs w:val="20"/>
              </w:rPr>
            </w:pPr>
            <w:r>
              <w:rPr>
                <w:rFonts w:hint="default" w:ascii="Times New Roman" w:hAnsi="Times New Roman" w:eastAsia="方正黑体简体" w:cs="Times New Roman"/>
                <w:b/>
                <w:bCs/>
                <w:color w:val="000000"/>
                <w:kern w:val="0"/>
                <w:sz w:val="20"/>
                <w:szCs w:val="20"/>
              </w:rPr>
              <w:t>备注</w:t>
            </w:r>
          </w:p>
        </w:tc>
      </w:tr>
      <w:tr>
        <w:tblPrEx>
          <w:tblLayout w:type="fixed"/>
          <w:tblCellMar>
            <w:top w:w="0" w:type="dxa"/>
            <w:left w:w="28" w:type="dxa"/>
            <w:bottom w:w="0" w:type="dxa"/>
            <w:right w:w="28" w:type="dxa"/>
          </w:tblCellMar>
        </w:tblPrEx>
        <w:trPr>
          <w:trHeight w:val="7197"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1</w:t>
            </w:r>
          </w:p>
        </w:tc>
        <w:tc>
          <w:tcPr>
            <w:tcW w:w="7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济宁市医疗保障局</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负责医疗保险、生育保险等社会保险基金的支付、管理以及参保人员经办服务</w:t>
            </w:r>
          </w:p>
        </w:tc>
        <w:tc>
          <w:tcPr>
            <w:tcW w:w="8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医疗保险参保和变更登记</w:t>
            </w:r>
          </w:p>
        </w:tc>
        <w:tc>
          <w:tcPr>
            <w:tcW w:w="1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3700002036017</w:t>
            </w:r>
          </w:p>
        </w:tc>
        <w:tc>
          <w:tcPr>
            <w:tcW w:w="5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公共</w:t>
            </w:r>
          </w:p>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服务</w:t>
            </w:r>
          </w:p>
        </w:tc>
        <w:tc>
          <w:tcPr>
            <w:tcW w:w="30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cs="Times New Roman"/>
                <w:b/>
                <w:bCs/>
                <w:color w:val="000000"/>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1.【法律】《社会保险法》（2018年12月修改）第五十七条：用人单位应当自成立之日起三十日内凭营业执照、登记证书或者单位印章，向当地社会保险经办机构申请办理社会保险登记。社会保险经办机构应当自收到申请之日起十五日内予以审核，发给社会保险登记证件。用人单位的社会保险登记事项发生变更或者用人单位依法终止的，应当自变更或者终止之日起三十日内，到社会保险经办机构办理变更或者注销社会保险登记。</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2.【行政法规】《国务院关于修改部分行政法规的决定》（2019年3月国务院令第710号）第二条：将《社会保险费征缴暂行条例》第八条修改为：企业在办理登记注册时，同步办理社会保险登记。前款规定以外的缴费单位应当自成立之日起30日内，向当地社会保险经办机构申请办理社会保险登记。</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3.【行政法规】《社会保险费征缴暂行条例》（1999年1月国务院令第259号）第七条第一款：缴费单位必须向当地社会保险经办机构办理社会保险登记，参加社会保险。</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cs="Times New Roman"/>
                <w:b/>
                <w:bCs/>
                <w:color w:val="000000"/>
                <w:kern w:val="0"/>
                <w:sz w:val="20"/>
                <w:szCs w:val="20"/>
              </w:rPr>
            </w:pPr>
          </w:p>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cs="Times New Roman"/>
                <w:b/>
                <w:bCs/>
                <w:color w:val="000000"/>
                <w:kern w:val="0"/>
                <w:sz w:val="20"/>
                <w:szCs w:val="20"/>
              </w:rPr>
            </w:pP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市</w:t>
            </w:r>
          </w:p>
        </w:tc>
        <w:tc>
          <w:tcPr>
            <w:tcW w:w="8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按照属地管理原则，负责本统筹地区的医疗保险参保和变更登记服务</w:t>
            </w:r>
          </w:p>
        </w:tc>
        <w:tc>
          <w:tcPr>
            <w:tcW w:w="19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 xml:space="preserve">直接实施责任: </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 xml:space="preserve">1.主动公示办理依据、办理条件、办理程序、办理期限等内容。 </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 xml:space="preserve">2.依法依规提供公共服务，及时准确公开服务信息、服务结果。 </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 xml:space="preserve">3.建立健全监督制度，对服务对象提供信息的真实性、准确性进行监督检查，对服务对象的不当行为进行纠正。 </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 xml:space="preserve">指导监督责任: </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4.指导下级经办机构依法依规提供公共服务，不断改进服务质量。</w:t>
            </w:r>
          </w:p>
        </w:tc>
        <w:tc>
          <w:tcPr>
            <w:tcW w:w="20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1.【法律】《社会保险法》（2018年12月修改）第九十二条：社会保险行政部门和其他有关行政部门、社会保险经办机构、社会保险费征收机构及其工作人员泄露用人单位和个人信息的，对直接负责的主管人员和其他直接责任人员依法给予处分；给用人单位或者个人造成损失的，应当承担赔偿责任。第九十三条：国家工作人员在社会保险管理、监督工作中滥用职权、玩忽职守、徇私舞弊的，依法给予处分。</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2.【法律】《监察法》（2018年3月通过）规定的追责情形。</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p>
        </w:tc>
      </w:tr>
      <w:tr>
        <w:tblPrEx>
          <w:tblLayout w:type="fixed"/>
          <w:tblCellMar>
            <w:top w:w="0" w:type="dxa"/>
            <w:left w:w="28" w:type="dxa"/>
            <w:bottom w:w="0" w:type="dxa"/>
            <w:right w:w="28" w:type="dxa"/>
          </w:tblCellMar>
        </w:tblPrEx>
        <w:trPr>
          <w:trHeight w:val="8482"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2</w:t>
            </w:r>
          </w:p>
        </w:tc>
        <w:tc>
          <w:tcPr>
            <w:tcW w:w="7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济宁市医疗保障局</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负责医疗保险、生育保险等社会保险基金的支付、管理以及参保人员经办服务</w:t>
            </w:r>
          </w:p>
        </w:tc>
        <w:tc>
          <w:tcPr>
            <w:tcW w:w="8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职工医疗保险费、生育保险费的申报核定</w:t>
            </w:r>
          </w:p>
        </w:tc>
        <w:tc>
          <w:tcPr>
            <w:tcW w:w="1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3700002036020</w:t>
            </w:r>
          </w:p>
        </w:tc>
        <w:tc>
          <w:tcPr>
            <w:tcW w:w="5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公共服务</w:t>
            </w:r>
          </w:p>
        </w:tc>
        <w:tc>
          <w:tcPr>
            <w:tcW w:w="30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1.【法律】《社会保险法》（2018年12月修改）第六十条：用人单位应当自行申报、按时足额缴纳社会保险费，非因不可抗力等法定事由不得缓缴、减免。职工应当缴纳的社会保险费由用人单位代扣代缴，用人单位应当按月将缴纳社会保险费的明细情况告知本人。第六十二条：用人单位未按规定申报应当缴纳的社会保险费数额的，按照该单位上月缴费额的百分之一百一十确定应当缴纳数额；缴费单位补办申报手续后，由社会保险费征收机构按照规定结算。</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2.【部委规章】《社会保险费申报缴纳管理规定》（2013年9月人力资源和社会保障部令第20号）第三条：社会保险经办机构负责社会保险缴费申报、核定等工作。省、自治区、直辖市人民政府决定由社会保险经办机构征收社会保险费的，社会保险经办机构应当依法征收社会保险费。社会保险经办机构负责征收的社会保险费，实行统一征收。</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市</w:t>
            </w:r>
          </w:p>
        </w:tc>
        <w:tc>
          <w:tcPr>
            <w:tcW w:w="8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按照属地管理原则，负责本统筹地区单位的医疗保险费、生育保险费申报核定服务</w:t>
            </w:r>
          </w:p>
        </w:tc>
        <w:tc>
          <w:tcPr>
            <w:tcW w:w="19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 xml:space="preserve">直接实施责任: </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 xml:space="preserve">1.主动公示办理依据、办理条件、办理程序、办理期限等内容。 </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 xml:space="preserve">2.依法依规提供公共服务，及时准确公开服务信息、服务结果。 </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 xml:space="preserve">3.建立健全监督制度，对服务对象提供信息的真实性、准确性进行监督检查，对服务对象的不当行为进行纠正。 </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 xml:space="preserve">指导监督责任: </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4.指导下级经办机构依法依规提供公共服务，不断改进服务质量。</w:t>
            </w:r>
          </w:p>
        </w:tc>
        <w:tc>
          <w:tcPr>
            <w:tcW w:w="20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1.【法律】《社会保险法》（2018年12月修改）第九十二条：社会保险行政部门和其他有关行政部门、社会保险经办机构、社会保险费征收机构及其工作人员泄露用人单位和个人信息的，对直接负责的主管人员和其他直接责任人员依法给予处分；给用人单位或者个人造成损失的，应当承担赔偿责任。第九十三条：国家工作人员在社会保险管理、监督工作中滥用职权、玩忽职守、徇私舞弊的，依法给予处分。</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2.【法律】《监察法》（2018年3月通过）规定的追责情形。</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p>
        </w:tc>
      </w:tr>
      <w:tr>
        <w:tblPrEx>
          <w:tblLayout w:type="fixed"/>
          <w:tblCellMar>
            <w:top w:w="0" w:type="dxa"/>
            <w:left w:w="28" w:type="dxa"/>
            <w:bottom w:w="0" w:type="dxa"/>
            <w:right w:w="28" w:type="dxa"/>
          </w:tblCellMar>
        </w:tblPrEx>
        <w:trPr>
          <w:trHeight w:val="8482"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3</w:t>
            </w:r>
          </w:p>
        </w:tc>
        <w:tc>
          <w:tcPr>
            <w:tcW w:w="7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济宁市医疗保障局</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负责医疗保险、生育保险等社会保险基金的支付、管理以及参保人员经办服务</w:t>
            </w:r>
          </w:p>
        </w:tc>
        <w:tc>
          <w:tcPr>
            <w:tcW w:w="8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基本医疗保险关系转移接续</w:t>
            </w:r>
          </w:p>
        </w:tc>
        <w:tc>
          <w:tcPr>
            <w:tcW w:w="1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3700002036022</w:t>
            </w:r>
          </w:p>
        </w:tc>
        <w:tc>
          <w:tcPr>
            <w:tcW w:w="5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公共服务</w:t>
            </w:r>
          </w:p>
        </w:tc>
        <w:tc>
          <w:tcPr>
            <w:tcW w:w="30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1.</w:t>
            </w:r>
            <w:r>
              <w:rPr>
                <w:rFonts w:hint="default" w:ascii="Times New Roman" w:hAnsi="Times New Roman" w:cs="Times New Roman"/>
                <w:b/>
                <w:bCs/>
                <w:color w:val="000000"/>
                <w:kern w:val="0"/>
                <w:sz w:val="20"/>
              </w:rPr>
              <w:t>【部委文件】《关于印发流动就业人员基本医疗保险关系转移接续业务经办规程的通知》（人社厅发〔2016〕94号）第四条第一款：参保人员跨统筹地区流动前,参保人员或其所在用人单位到基本医疗保险关系所在地（以下简称“转出地”）经办机构办理中止参保手续，并按规定提供居民身份证等相关证明材料，申请开具参保（合）凭证。第五条第一款：参保人员跨统筹地区流动就业后，按规定参加转入地基本医疗保险。参保人员或其新就业的用人单位向转入地经办机构提出转移申请并提供参保(合)凭证，填写《基本医疗保险关系转移接续申请表》（附件2，以下简称《申请表》），并按规定提供居民身份证等相关证明材料。</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市</w:t>
            </w:r>
          </w:p>
        </w:tc>
        <w:tc>
          <w:tcPr>
            <w:tcW w:w="8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按照属地管理原则，负责本统筹地区的基本医疗保险关系转移接续服务</w:t>
            </w:r>
          </w:p>
        </w:tc>
        <w:tc>
          <w:tcPr>
            <w:tcW w:w="19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 xml:space="preserve">直接实施责任: </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 xml:space="preserve">1.主动公示办理依据、办理条件、办理程序、办理期限等内容。 </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 xml:space="preserve">2.依法依规提供公共服务，及时准确公开服务信息、服务结果。 </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 xml:space="preserve">3.建立健全监督制度，对服务对象提供信息的真实性、准确性进行监督检查，对服务对象的不当行为进行纠正。 </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 xml:space="preserve">指导监督责任: </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4.指导下级经办机构依法依规提供公共服务，不断改进服务质量。</w:t>
            </w:r>
          </w:p>
        </w:tc>
        <w:tc>
          <w:tcPr>
            <w:tcW w:w="20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1.【法律】《社会保险法》（2018年12月修改）第九十二条：社会保险行政部门和其他有关行政部门、社会保险经办机构、社会保险费征收机构及其工作人员泄露用人单位和个人信息的，对直接负责的主管人员和其他直接责任人员依法给予处分；给用人单位或者个人造成损失的，应当承担赔偿责任。第九十三条：国家工作人员在社会保险管理、监督工作中滥用职权、玩忽职守、徇私舞弊的，依法给予处分。</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2.【法律】《监察法》（2018年3月通过）规定的追责情形。</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p>
        </w:tc>
      </w:tr>
      <w:tr>
        <w:tblPrEx>
          <w:tblLayout w:type="fixed"/>
          <w:tblCellMar>
            <w:top w:w="0" w:type="dxa"/>
            <w:left w:w="28" w:type="dxa"/>
            <w:bottom w:w="0" w:type="dxa"/>
            <w:right w:w="28" w:type="dxa"/>
          </w:tblCellMar>
        </w:tblPrEx>
        <w:trPr>
          <w:trHeight w:val="8482"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4</w:t>
            </w:r>
          </w:p>
        </w:tc>
        <w:tc>
          <w:tcPr>
            <w:tcW w:w="7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济宁市医疗保障局</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负责医疗保险、生育保险等社会保险基金的支付、管理以及参保人员经办服务</w:t>
            </w:r>
          </w:p>
        </w:tc>
        <w:tc>
          <w:tcPr>
            <w:tcW w:w="8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参保人员个人账户一次性支取</w:t>
            </w:r>
          </w:p>
        </w:tc>
        <w:tc>
          <w:tcPr>
            <w:tcW w:w="1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3700002036024</w:t>
            </w:r>
          </w:p>
        </w:tc>
        <w:tc>
          <w:tcPr>
            <w:tcW w:w="5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公共服务</w:t>
            </w:r>
          </w:p>
        </w:tc>
        <w:tc>
          <w:tcPr>
            <w:tcW w:w="30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1.</w:t>
            </w:r>
            <w:r>
              <w:rPr>
                <w:rFonts w:hint="default" w:ascii="Times New Roman" w:hAnsi="Times New Roman" w:cs="Times New Roman"/>
                <w:b/>
                <w:bCs/>
                <w:color w:val="000000"/>
                <w:kern w:val="0"/>
                <w:sz w:val="20"/>
              </w:rPr>
              <w:t>【法律】《社会保险法》（2018年12月修改）第十四条:个人账户不得提前支取，记账利率不得低于银行定期存款利率，免征利息税。个人死亡的，个人账户余额可以继承。</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rPr>
              <w:t>2.【省直部门文件】《转发&lt;关于印发流动就业人员基本医疗保障关系转移暂行办法的通知&gt;的通知》（鲁人社发[2010]36号）：本省城镇职工基本医疗保险参保人员跨统筹地区转移医疗保险关系时，原设立的个人账户可以随同其医疗保险关系转移，个人账户余额通过社会（医疗）保险经办机构划转；也可以注销个人账户，由社会（医疗）保险经办机构将个人账户余额提现发给本人。具体办法由各市确定。</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市</w:t>
            </w:r>
          </w:p>
        </w:tc>
        <w:tc>
          <w:tcPr>
            <w:tcW w:w="8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按照属地管理原则，负责本统筹地区参保人员个人账户资金支取服务</w:t>
            </w:r>
          </w:p>
        </w:tc>
        <w:tc>
          <w:tcPr>
            <w:tcW w:w="19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 xml:space="preserve">直接实施责任: </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 xml:space="preserve">1.主动公示办理依据、办理条件、办理程序、办理期限等内容。 </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 xml:space="preserve">2.依法依规提供公共服务，及时准确公开服务信息、服务结果。 </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 xml:space="preserve">3.建立健全监督制度，对服务对象提供信息的真实性、准确性进行监督检查，对服务对象的不当行为进行纠正。 </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 xml:space="preserve">指导监督责任: </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4.指导下级经办机构依法依规提供公共服务，不断改进服务质量。</w:t>
            </w:r>
          </w:p>
        </w:tc>
        <w:tc>
          <w:tcPr>
            <w:tcW w:w="20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1.【法律】《社会保险法》（2018年12月修改）第九十二条：社会保险行政部门和其他有关行政部门、社会保险经办机构、社会保险费征收机构及其工作人员泄露用人单位和个人信息的，对直接负责的主管人员和其他直接责任人员依法给予处分；给用人单位或者个人造成损失的，应当承担赔偿责任。第九十三条：国家工作人员在社会保险管理、监督工作中滥用职权、玩忽职守、徇私舞弊的，依法给予处分。</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2.【法律】《监察法》（2018年3月通过）规定的追责情形。</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p>
        </w:tc>
      </w:tr>
      <w:tr>
        <w:tblPrEx>
          <w:tblLayout w:type="fixed"/>
          <w:tblCellMar>
            <w:top w:w="0" w:type="dxa"/>
            <w:left w:w="28" w:type="dxa"/>
            <w:bottom w:w="0" w:type="dxa"/>
            <w:right w:w="28" w:type="dxa"/>
          </w:tblCellMar>
        </w:tblPrEx>
        <w:trPr>
          <w:trHeight w:val="8482"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5</w:t>
            </w:r>
          </w:p>
        </w:tc>
        <w:tc>
          <w:tcPr>
            <w:tcW w:w="7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济宁市医疗保障局</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负责医疗保险、生育保险等社会保险基金的支付、管理以及参保人员经办服务</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基本医疗保险参保人员享受门诊慢特病病种待遇认定</w:t>
            </w:r>
          </w:p>
        </w:tc>
        <w:tc>
          <w:tcPr>
            <w:tcW w:w="13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3700002036025</w:t>
            </w:r>
          </w:p>
        </w:tc>
        <w:tc>
          <w:tcPr>
            <w:tcW w:w="52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公共服务</w:t>
            </w:r>
          </w:p>
        </w:tc>
        <w:tc>
          <w:tcPr>
            <w:tcW w:w="305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1.【部委文件】《关于做好2019年城乡居民基本医疗保障工作的通知》（医保发﹝2019﹞30号）二、稳步提升待遇保障水平    各地要用好城乡居民医保年度筹资新增资金，确保基本医保待遇保障到位。巩固提高政策范围内住院费用报销比例，建立健全城乡居民医保门诊费用统筹及支付机制，重点保障群众负担较重的多发病、慢性病。把高血压、糖尿病等门诊用药纳入医保报销，具体方案另行制定。实行个人（家庭）账户的，应于2020年底前取消，向门诊统筹平稳过渡；已取消个人（家庭）账户的，不得恢复或变相设置。</w:t>
            </w:r>
          </w:p>
        </w:tc>
        <w:tc>
          <w:tcPr>
            <w:tcW w:w="53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市</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按照属地管理原则，负责本统筹地区参保人员门诊慢特病病种待遇认定服务</w:t>
            </w:r>
          </w:p>
        </w:tc>
        <w:tc>
          <w:tcPr>
            <w:tcW w:w="197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 xml:space="preserve">直接实施责任: </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 xml:space="preserve">1.主动公示办理依据、办理条件、办理程序、办理期限等内容。 </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 xml:space="preserve">2.依法依规提供公共服务，及时准确公开服务信息、服务结果。 </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 xml:space="preserve">3.建立健全监督制度，对服务对象提供信息的真实性、准确性进行监督检查，对服务对象的不当行为进行纠正。 </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 xml:space="preserve">指导监督责任: </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4.指导下级经办机构依法依规提供公共服务，不断改进服务质量。</w:t>
            </w:r>
          </w:p>
        </w:tc>
        <w:tc>
          <w:tcPr>
            <w:tcW w:w="20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1.【法律】《社会保险法》（2018年12月修改）第九十二条：社会保险行政部门和其他有关行政部门、社会保险经办机构、社会保险费征收机构及其工作人员泄露用人单位和个人信息的，对直接负责的主管人员和其他直接责任人员依法给予处分；给用人单位或者个人造成损失的，应当承担赔偿责任。第九十三条：国家工作人员在社会保险管理、监督工作中滥用职权、玩忽职守、徇私舞弊的，依法给予处分。</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2.【法律】《监察法》（2018年3月通过）规定的追责情形。</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rPr>
                <w:rFonts w:hint="default" w:ascii="Times New Roman" w:hAnsi="Times New Roman" w:cs="Times New Roman"/>
                <w:b/>
                <w:bCs/>
                <w:color w:val="000000"/>
                <w:kern w:val="0"/>
                <w:sz w:val="20"/>
                <w:szCs w:val="20"/>
              </w:rPr>
            </w:pPr>
          </w:p>
        </w:tc>
      </w:tr>
      <w:tr>
        <w:tblPrEx>
          <w:tblLayout w:type="fixed"/>
          <w:tblCellMar>
            <w:top w:w="0" w:type="dxa"/>
            <w:left w:w="28" w:type="dxa"/>
            <w:bottom w:w="0" w:type="dxa"/>
            <w:right w:w="28" w:type="dxa"/>
          </w:tblCellMar>
        </w:tblPrEx>
        <w:trPr>
          <w:trHeight w:val="8496"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6</w:t>
            </w:r>
          </w:p>
        </w:tc>
        <w:tc>
          <w:tcPr>
            <w:tcW w:w="7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济宁市医疗保障局</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负责医疗保险、生育保险等社会保险基金的支付、管理以及参保人员经办服务</w:t>
            </w:r>
          </w:p>
        </w:tc>
        <w:tc>
          <w:tcPr>
            <w:tcW w:w="8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基本医疗保险参保人员异地就医备案</w:t>
            </w:r>
          </w:p>
        </w:tc>
        <w:tc>
          <w:tcPr>
            <w:tcW w:w="1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3700002036027</w:t>
            </w:r>
          </w:p>
        </w:tc>
        <w:tc>
          <w:tcPr>
            <w:tcW w:w="5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公共服务</w:t>
            </w:r>
          </w:p>
        </w:tc>
        <w:tc>
          <w:tcPr>
            <w:tcW w:w="30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1.【法律】《社会保险法》（2018年12月修改）第八条：社会保险经办机构提供社会保险服务，负责社会保险登记、个人权益记录、社会保险待遇支付等工作。第七十四条：社会保险经办机构通过业务经办、统计、调查获取社会保险工作所需的数据，有关单位和个人应当及时、如实提供。</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市</w:t>
            </w:r>
          </w:p>
        </w:tc>
        <w:tc>
          <w:tcPr>
            <w:tcW w:w="8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按照属地管理原则，负责本统筹地区基本医疗参保人员异地就医备案服务</w:t>
            </w:r>
          </w:p>
        </w:tc>
        <w:tc>
          <w:tcPr>
            <w:tcW w:w="19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 xml:space="preserve">直接实施责任: </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 xml:space="preserve">1.主动公示办理依据、办理条件、办理程序、办理期限等内容。 </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 xml:space="preserve">2.依法依规提供公共服务，及时准确公开服务信息、服务结果。 </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 xml:space="preserve">3.建立健全监督制度，对服务对象提供信息的真实性、准确性进行监督检查，对服务对象的不当行为进行纠正。 </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 xml:space="preserve">指导监督责任: </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4.指导下级经办机构依法依规提供公共服务，不断改进服务质量。</w:t>
            </w:r>
          </w:p>
        </w:tc>
        <w:tc>
          <w:tcPr>
            <w:tcW w:w="20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1.【法律】《社会保险法》（2018年12月修改）第九十二条：社会保险行政部门和其他有关行政部门、社会保险经办机构、社会保险费征收机构及其工作人员泄露用人单位和个人信息的，对直接负责的主管人员和其他直接责任人员依法给予处分；给用人单位或者个人造成损失的，应当承担赔偿责任。第九十三条：国家工作人员在社会保险管理、监督工作中滥用职权、玩忽职守、徇私舞弊的，依法给予处分。</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2.【法律】《监察法》（2018年3月通过）规定的追责情形。</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p>
        </w:tc>
      </w:tr>
      <w:tr>
        <w:tblPrEx>
          <w:tblLayout w:type="fixed"/>
          <w:tblCellMar>
            <w:top w:w="0" w:type="dxa"/>
            <w:left w:w="28" w:type="dxa"/>
            <w:bottom w:w="0" w:type="dxa"/>
            <w:right w:w="28" w:type="dxa"/>
          </w:tblCellMar>
        </w:tblPrEx>
        <w:trPr>
          <w:trHeight w:val="8454"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7</w:t>
            </w:r>
          </w:p>
        </w:tc>
        <w:tc>
          <w:tcPr>
            <w:tcW w:w="7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济宁市医疗保障局</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负责医疗保险、生育保险等社会保险基金的支付、管理以及参保人员经办服务</w:t>
            </w:r>
          </w:p>
        </w:tc>
        <w:tc>
          <w:tcPr>
            <w:tcW w:w="8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医药机构申请定点协议管理</w:t>
            </w:r>
          </w:p>
        </w:tc>
        <w:tc>
          <w:tcPr>
            <w:tcW w:w="1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3700002036028</w:t>
            </w:r>
          </w:p>
        </w:tc>
        <w:tc>
          <w:tcPr>
            <w:tcW w:w="5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公共服务</w:t>
            </w:r>
          </w:p>
        </w:tc>
        <w:tc>
          <w:tcPr>
            <w:tcW w:w="30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1.【法律】《社会保险法》（2018年12月修改）第三十一条：社会保险经办机构根据管理服务的需要，可以与医疗机构、药品经营单位签订服务协议，规范医疗服务行为。医疗机构应当为参保人员提供合理、必要的医疗服务。</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市</w:t>
            </w:r>
          </w:p>
        </w:tc>
        <w:tc>
          <w:tcPr>
            <w:tcW w:w="8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按照属地管理原则，负责本统筹地区医药机构申请定点协议管理服务</w:t>
            </w:r>
          </w:p>
        </w:tc>
        <w:tc>
          <w:tcPr>
            <w:tcW w:w="19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 xml:space="preserve">直接实施责任: </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 xml:space="preserve">1.主动公示办理依据、办理条件、办理程序、办理期限等内容。 </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 xml:space="preserve">2.依法依规提供公共服务，及时准确公开服务信息、服务结果。 </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 xml:space="preserve">3.建立健全监督制度，对服务对象提供信息的真实性、准确性进行监督检查，对服务对象的不当行为进行纠正。 </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 xml:space="preserve">指导监督责任: </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4.指导下级经办机构依法依规提供公共服务，不断改进服务质量。</w:t>
            </w:r>
          </w:p>
        </w:tc>
        <w:tc>
          <w:tcPr>
            <w:tcW w:w="20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1.【法律】《社会保险法》（2018年12月修改）第九十二条：社会保险行政部门和其他有关行政部门、社会保险经办机构、社会保险费征收机构及其工作人员泄露用人单位和个人信息的，对直接负责的主管人员和其他直接责任人员依法给予处分；给用人单位或者个人造成损失的，应当承担赔偿责任。第九十三条：国家工作人员在社会保险管理、监督工作中滥用职权、玩忽职守、徇私舞弊的，依法给予处分。</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2.【法律】《监察法》（2018年3月通过）规定的追责情形。</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p>
        </w:tc>
      </w:tr>
      <w:tr>
        <w:tblPrEx>
          <w:tblLayout w:type="fixed"/>
          <w:tblCellMar>
            <w:top w:w="0" w:type="dxa"/>
            <w:left w:w="28" w:type="dxa"/>
            <w:bottom w:w="0" w:type="dxa"/>
            <w:right w:w="28" w:type="dxa"/>
          </w:tblCellMar>
        </w:tblPrEx>
        <w:trPr>
          <w:trHeight w:val="8426"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8</w:t>
            </w:r>
          </w:p>
        </w:tc>
        <w:tc>
          <w:tcPr>
            <w:tcW w:w="7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济宁市医疗保障局</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负责医疗保险、生育保险等社会保险基金的支付、管理以及参保人员经办服务</w:t>
            </w:r>
          </w:p>
        </w:tc>
        <w:tc>
          <w:tcPr>
            <w:tcW w:w="8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生育保险待遇核准支付</w:t>
            </w:r>
          </w:p>
        </w:tc>
        <w:tc>
          <w:tcPr>
            <w:tcW w:w="1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3700002036032</w:t>
            </w:r>
          </w:p>
        </w:tc>
        <w:tc>
          <w:tcPr>
            <w:tcW w:w="5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公共服务</w:t>
            </w:r>
          </w:p>
        </w:tc>
        <w:tc>
          <w:tcPr>
            <w:tcW w:w="30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20" w:lineRule="exact"/>
              <w:jc w:val="left"/>
              <w:rPr>
                <w:rFonts w:hint="default" w:ascii="Times New Roman" w:hAnsi="Times New Roman" w:cs="Times New Roman"/>
                <w:b/>
                <w:bCs/>
                <w:color w:val="000000"/>
                <w:kern w:val="0"/>
                <w:sz w:val="18"/>
                <w:szCs w:val="18"/>
              </w:rPr>
            </w:pPr>
            <w:r>
              <w:rPr>
                <w:rFonts w:hint="default" w:ascii="Times New Roman" w:hAnsi="Times New Roman" w:cs="Times New Roman"/>
                <w:b/>
                <w:bCs/>
                <w:color w:val="000000"/>
                <w:kern w:val="0"/>
                <w:sz w:val="18"/>
                <w:szCs w:val="18"/>
              </w:rPr>
              <w:t>1.【法律】《社会保险法》（2018年12月修改）第八条规定：社会保险经办机构提供社会保险服务，负责社会保险登记、个人权益记录、社会保险待遇支付等工作。第七十四条：社会保险经办机构通过业务经办、统计、调查获取社会保险工作所需的数据，有关单位和个人应当及时、如实提供。</w:t>
            </w:r>
            <w:r>
              <w:rPr>
                <w:rFonts w:hint="default" w:ascii="Times New Roman" w:hAnsi="Times New Roman" w:cs="Times New Roman"/>
                <w:b/>
                <w:bCs/>
                <w:color w:val="000000"/>
                <w:kern w:val="0"/>
                <w:sz w:val="18"/>
                <w:szCs w:val="18"/>
              </w:rPr>
              <w:br w:type="textWrapping"/>
            </w:r>
            <w:r>
              <w:rPr>
                <w:rFonts w:hint="default" w:ascii="Times New Roman" w:hAnsi="Times New Roman" w:cs="Times New Roman"/>
                <w:b/>
                <w:bCs/>
                <w:color w:val="000000"/>
                <w:kern w:val="0"/>
                <w:sz w:val="18"/>
                <w:szCs w:val="18"/>
              </w:rPr>
              <w:t>2.【行政法规】《女职工劳动保护特别规定》（2012年4月国务院令第619号）第七条：女职工生育享受98天产假，其中产前可以休假15天；难产的，增加产假15天；生育多胞胎的，每多生育1个婴儿，增加产假15天。女职工怀孕未满4个月流产的，享受15天产假；怀孕满4个月流产的，享受42天产假。第八条：女职工产假期间的生育津贴，对已经参加生育保险的，按照用人单位上年度职工月平均工资的标准由生育保险基金支付；对未参加生育保险的，按照女职工产假前工资的标准由用人单位支付。女职工生育或者流产的医疗费用，按照生育保险规定的项目和标准，对已经参加生育保险的，由生育保险基金支付；对未参加生育保险的，由用人单位支付。</w:t>
            </w:r>
            <w:r>
              <w:rPr>
                <w:rFonts w:hint="default" w:ascii="Times New Roman" w:hAnsi="Times New Roman" w:cs="Times New Roman"/>
                <w:b/>
                <w:bCs/>
                <w:color w:val="000000"/>
                <w:kern w:val="0"/>
                <w:sz w:val="18"/>
                <w:szCs w:val="18"/>
              </w:rPr>
              <w:br w:type="textWrapping"/>
            </w:r>
            <w:r>
              <w:rPr>
                <w:rFonts w:hint="default" w:ascii="Times New Roman" w:hAnsi="Times New Roman" w:cs="Times New Roman"/>
                <w:b/>
                <w:bCs/>
                <w:color w:val="000000"/>
                <w:kern w:val="0"/>
                <w:sz w:val="18"/>
                <w:szCs w:val="18"/>
              </w:rPr>
              <w:t>3.【省政府规章】《山东省女职工劳动保护办法》（2019年1月山东省人民政府令第322号）第十二条：女职工生育享受98天产假，其中产前可以休假15天；难产的，增加产假15天；生育多胞胎的，每多生育1个婴儿，增加产假15天。符合法律、法规规定生育子女的夫妻，依法增加女职工产假60天，给予男方护理假7天。女职工怀孕未满4个月流产的，享受15天产假；怀孕满4个月流产的，享受42天产假。</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市</w:t>
            </w:r>
          </w:p>
        </w:tc>
        <w:tc>
          <w:tcPr>
            <w:tcW w:w="8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按照属地管理原则，负责本统筹地区符合生育保险条件的参保职工生育保险待遇核准支付服务</w:t>
            </w:r>
          </w:p>
        </w:tc>
        <w:tc>
          <w:tcPr>
            <w:tcW w:w="19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 xml:space="preserve">直接实施责任: </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 xml:space="preserve">1.主动公示办理依据、办理条件、办理程序、办理期限等内容。 </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 xml:space="preserve">2.依法依规提供公共服务，及时准确公开服务信息、服务结果。 </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 xml:space="preserve">3.建立健全监督制度，对服务对象提供信息的真实性、准确性进行监督检查，对服务对象的不当行为进行纠正。 </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 xml:space="preserve">指导监督责任: </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4.指导下级经办机构依法依规提供公共服务，不断改进服务质量。</w:t>
            </w:r>
          </w:p>
        </w:tc>
        <w:tc>
          <w:tcPr>
            <w:tcW w:w="20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1.【法律】《社会保险法》（2018年12月修改）第九十二条：社会保险行政部门和其他有关行政部门、社会保险经办机构、社会保险费征收机构及其工作人员泄露用人单位和个人信息的，对直接负责的主管人员和其他直接责任人员依法给予处分；给用人单位或者个人造成损失的，应当承担赔偿责任。第九十三条：国家工作人员在社会保险管理、监督工作中滥用职权、玩忽职守、徇私舞弊的，依法给予处分。</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2.【法律】《监察法》（2018年3月通过）规定的追责情形。</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p>
        </w:tc>
      </w:tr>
      <w:tr>
        <w:tblPrEx>
          <w:tblLayout w:type="fixed"/>
          <w:tblCellMar>
            <w:top w:w="0" w:type="dxa"/>
            <w:left w:w="28" w:type="dxa"/>
            <w:bottom w:w="0" w:type="dxa"/>
            <w:right w:w="28" w:type="dxa"/>
          </w:tblCellMar>
        </w:tblPrEx>
        <w:trPr>
          <w:trHeight w:val="8454" w:hRule="atLeast"/>
        </w:trPr>
        <w:tc>
          <w:tcPr>
            <w:tcW w:w="49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9</w:t>
            </w:r>
          </w:p>
        </w:tc>
        <w:tc>
          <w:tcPr>
            <w:tcW w:w="7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济宁市医疗保障局</w:t>
            </w:r>
          </w:p>
        </w:tc>
        <w:tc>
          <w:tcPr>
            <w:tcW w:w="88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负责医疗保险、生育保险等社会保险基金的支付、管理以及参保人员经办服务</w:t>
            </w:r>
          </w:p>
        </w:tc>
        <w:tc>
          <w:tcPr>
            <w:tcW w:w="8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生育津贴支付</w:t>
            </w:r>
          </w:p>
        </w:tc>
        <w:tc>
          <w:tcPr>
            <w:tcW w:w="13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3708002036001</w:t>
            </w:r>
          </w:p>
        </w:tc>
        <w:tc>
          <w:tcPr>
            <w:tcW w:w="5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公共服务</w:t>
            </w:r>
          </w:p>
        </w:tc>
        <w:tc>
          <w:tcPr>
            <w:tcW w:w="30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1.【省直部门文件】《关于进一步加强生育保险工作的指导意见》（鲁劳社厅发〔2004〕14号）第三条：切实保障生育职工的医疗需求和基本生活待遇，第四条：加强生育保险的医疗服务管理。</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szCs w:val="20"/>
              </w:rPr>
              <w:t>2.【法律】《社会保险法》（中华人民共和国第三十五号令）第五十六条 职工有下列情形之一的，可以按照国家规定享受生育津贴：（一）女职工生育享受产假；（二）享受计划生育手术休假；（三）法律、法规规定的其他情形。生育津贴按照职工所在用人单位上年度职工月平均工资计发。</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市</w:t>
            </w:r>
          </w:p>
        </w:tc>
        <w:tc>
          <w:tcPr>
            <w:tcW w:w="8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按照属地管理原则，负责本统筹地区符合生育保险条件的企业参保女职工生育津贴支付服务</w:t>
            </w:r>
          </w:p>
        </w:tc>
        <w:tc>
          <w:tcPr>
            <w:tcW w:w="197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直接实施责任</w:t>
            </w:r>
            <w:r>
              <w:rPr>
                <w:rFonts w:hint="default" w:ascii="Times New Roman" w:hAnsi="Times New Roman" w:cs="Times New Roman"/>
                <w:b/>
                <w:bCs/>
                <w:color w:val="000000"/>
                <w:kern w:val="0"/>
                <w:sz w:val="20"/>
              </w:rPr>
              <w:t>:</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rPr>
              <w:t>1.主动公示办理依据、办理条件、办理程序、办理期限等内容。</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rPr>
              <w:t>2.依法依规提供公共服务，及时准确公开服务信息、服务结果。</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rPr>
              <w:t>3.建立健全监督制度，对服务对象提供信息的真实性、准确性进行监督检查，对服务对象的不当行为进行纠正。</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rPr>
              <w:t>指导监督责任:</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rPr>
              <w:t>4.指导下级经办机构依法依规提供公共服务，不断改进服务质量。</w:t>
            </w:r>
          </w:p>
        </w:tc>
        <w:tc>
          <w:tcPr>
            <w:tcW w:w="20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1.</w:t>
            </w:r>
            <w:r>
              <w:rPr>
                <w:rFonts w:hint="default" w:ascii="Times New Roman" w:hAnsi="Times New Roman" w:cs="Times New Roman"/>
                <w:b/>
                <w:bCs/>
                <w:color w:val="000000"/>
                <w:kern w:val="0"/>
                <w:sz w:val="20"/>
              </w:rPr>
              <w:t>【法律】《社会保险法》（2018年12月修改）第九十二条：社会保险行政部门和其他有关行政部门、社会保险经办机构、社会保险费征收机构及其工作人员泄露用人单位和个人信息的，对直接负责的主管人员和其他直接责任人员依法给予处分；给用人单位或者个人造成损失的，应当承担赔偿责任。第九十三条：国家工作人员在社会保险管理、监督工作中滥用职权、玩忽职守、徇私舞弊的，依法给予处分。</w:t>
            </w:r>
            <w:r>
              <w:rPr>
                <w:rFonts w:hint="default" w:ascii="Times New Roman" w:hAnsi="Times New Roman" w:cs="Times New Roman"/>
                <w:b/>
                <w:bCs/>
                <w:color w:val="000000"/>
                <w:kern w:val="0"/>
                <w:sz w:val="20"/>
                <w:szCs w:val="20"/>
              </w:rPr>
              <w:br w:type="textWrapping"/>
            </w:r>
            <w:r>
              <w:rPr>
                <w:rFonts w:hint="default" w:ascii="Times New Roman" w:hAnsi="Times New Roman" w:cs="Times New Roman"/>
                <w:b/>
                <w:bCs/>
                <w:color w:val="000000"/>
                <w:kern w:val="0"/>
                <w:sz w:val="20"/>
              </w:rPr>
              <w:t>2.【法律】《监察法》（2018年3月通过）规定的追责情形。</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hint="default" w:ascii="Times New Roman" w:hAnsi="Times New Roman" w:cs="Times New Roman"/>
                <w:b/>
                <w:bCs/>
                <w:color w:val="000000"/>
                <w:kern w:val="0"/>
                <w:sz w:val="20"/>
                <w:szCs w:val="20"/>
              </w:rPr>
            </w:pPr>
          </w:p>
        </w:tc>
      </w:tr>
    </w:tbl>
    <w:p>
      <w:pPr>
        <w:spacing w:line="20" w:lineRule="exact"/>
        <w:rPr>
          <w:b/>
          <w:bCs/>
        </w:rPr>
        <w:sectPr>
          <w:pgSz w:w="16838" w:h="11906" w:orient="landscape"/>
          <w:pgMar w:top="1587" w:right="1587" w:bottom="1587" w:left="1587" w:header="851" w:footer="992" w:gutter="0"/>
          <w:pgBorders>
            <w:top w:val="none" w:sz="0" w:space="0"/>
            <w:left w:val="none" w:sz="0" w:space="0"/>
            <w:bottom w:val="none" w:sz="0" w:space="0"/>
            <w:right w:val="none" w:sz="0" w:space="0"/>
          </w:pgBorders>
          <w:cols w:space="0" w:num="1"/>
          <w:rtlGutter w:val="0"/>
          <w:docGrid w:type="lines" w:linePitch="323" w:charSpace="0"/>
        </w:sectPr>
      </w:pPr>
    </w:p>
    <w:p>
      <w:pPr>
        <w:spacing w:line="20" w:lineRule="exact"/>
        <w:rPr>
          <w:b/>
          <w:bCs/>
        </w:rPr>
      </w:pPr>
    </w:p>
    <w:p>
      <w:pPr>
        <w:pStyle w:val="2"/>
        <w:spacing w:before="10"/>
        <w:rPr>
          <w:rFonts w:hint="default" w:ascii="Times New Roman" w:hAnsi="Times New Roman" w:eastAsia="仿宋_GB2312" w:cs="Times New Roman"/>
          <w:b/>
          <w:bCs/>
          <w:sz w:val="32"/>
          <w:szCs w:val="32"/>
          <w:vertAlign w:val="baseline"/>
        </w:rPr>
      </w:pPr>
    </w:p>
    <w:p>
      <w:pPr>
        <w:pStyle w:val="2"/>
        <w:spacing w:before="10"/>
        <w:rPr>
          <w:rFonts w:hint="default" w:ascii="Times New Roman" w:hAnsi="Times New Roman" w:eastAsia="仿宋_GB2312" w:cs="Times New Roman"/>
          <w:b/>
          <w:bCs/>
          <w:sz w:val="32"/>
          <w:szCs w:val="32"/>
          <w:vertAlign w:val="baseline"/>
        </w:rPr>
      </w:pPr>
    </w:p>
    <w:p>
      <w:pPr>
        <w:pStyle w:val="2"/>
        <w:spacing w:before="10"/>
        <w:rPr>
          <w:rFonts w:hint="default" w:ascii="Times New Roman" w:hAnsi="Times New Roman" w:eastAsia="仿宋_GB2312" w:cs="Times New Roman"/>
          <w:b/>
          <w:bCs/>
          <w:sz w:val="32"/>
          <w:szCs w:val="32"/>
          <w:vertAlign w:val="baseline"/>
        </w:rPr>
      </w:pPr>
    </w:p>
    <w:p>
      <w:pPr>
        <w:pStyle w:val="2"/>
        <w:spacing w:before="10"/>
        <w:rPr>
          <w:rFonts w:hint="default" w:ascii="Times New Roman" w:hAnsi="Times New Roman" w:eastAsia="仿宋_GB2312" w:cs="Times New Roman"/>
          <w:b/>
          <w:bCs/>
          <w:sz w:val="32"/>
          <w:szCs w:val="32"/>
          <w:vertAlign w:val="baseline"/>
        </w:rPr>
      </w:pPr>
    </w:p>
    <w:p>
      <w:pPr>
        <w:pStyle w:val="2"/>
        <w:spacing w:before="10"/>
        <w:rPr>
          <w:rFonts w:hint="default" w:ascii="Times New Roman" w:hAnsi="Times New Roman" w:eastAsia="仿宋_GB2312" w:cs="Times New Roman"/>
          <w:b/>
          <w:bCs/>
          <w:sz w:val="32"/>
          <w:szCs w:val="32"/>
          <w:vertAlign w:val="baseline"/>
        </w:rPr>
      </w:pPr>
    </w:p>
    <w:p>
      <w:pPr>
        <w:pStyle w:val="2"/>
        <w:spacing w:before="10"/>
        <w:rPr>
          <w:rFonts w:hint="default" w:ascii="Times New Roman" w:hAnsi="Times New Roman" w:eastAsia="仿宋_GB2312" w:cs="Times New Roman"/>
          <w:b/>
          <w:bCs/>
          <w:sz w:val="32"/>
          <w:szCs w:val="32"/>
          <w:vertAlign w:val="baseline"/>
        </w:rPr>
      </w:pPr>
    </w:p>
    <w:p>
      <w:pPr>
        <w:pStyle w:val="2"/>
        <w:spacing w:before="10"/>
        <w:rPr>
          <w:rFonts w:hint="default" w:ascii="Times New Roman" w:hAnsi="Times New Roman" w:eastAsia="仿宋_GB2312" w:cs="Times New Roman"/>
          <w:b/>
          <w:bCs/>
          <w:sz w:val="32"/>
          <w:szCs w:val="32"/>
          <w:vertAlign w:val="baseline"/>
        </w:rPr>
      </w:pPr>
    </w:p>
    <w:p>
      <w:pPr>
        <w:pStyle w:val="2"/>
        <w:spacing w:before="10"/>
        <w:rPr>
          <w:rFonts w:hint="default" w:ascii="Times New Roman" w:hAnsi="Times New Roman" w:eastAsia="仿宋_GB2312" w:cs="Times New Roman"/>
          <w:b/>
          <w:bCs/>
          <w:sz w:val="32"/>
          <w:szCs w:val="32"/>
          <w:vertAlign w:val="baseline"/>
        </w:rPr>
      </w:pPr>
    </w:p>
    <w:p>
      <w:pPr>
        <w:pStyle w:val="2"/>
        <w:spacing w:before="10"/>
        <w:rPr>
          <w:rFonts w:hint="default" w:ascii="Times New Roman" w:hAnsi="Times New Roman" w:eastAsia="仿宋_GB2312" w:cs="Times New Roman"/>
          <w:b/>
          <w:bCs/>
          <w:sz w:val="32"/>
          <w:szCs w:val="32"/>
          <w:vertAlign w:val="baseline"/>
        </w:rPr>
      </w:pPr>
    </w:p>
    <w:p>
      <w:pPr>
        <w:pStyle w:val="2"/>
        <w:spacing w:before="10"/>
        <w:rPr>
          <w:rFonts w:hint="default" w:ascii="Times New Roman" w:hAnsi="Times New Roman" w:eastAsia="仿宋_GB2312" w:cs="Times New Roman"/>
          <w:b/>
          <w:bCs/>
          <w:sz w:val="32"/>
          <w:szCs w:val="32"/>
          <w:vertAlign w:val="baseline"/>
        </w:rPr>
      </w:pPr>
    </w:p>
    <w:p>
      <w:pPr>
        <w:pStyle w:val="2"/>
        <w:spacing w:before="10"/>
        <w:rPr>
          <w:rFonts w:hint="default" w:ascii="Times New Roman" w:hAnsi="Times New Roman" w:eastAsia="仿宋_GB2312" w:cs="Times New Roman"/>
          <w:b/>
          <w:bCs/>
          <w:sz w:val="32"/>
          <w:szCs w:val="32"/>
          <w:vertAlign w:val="baseline"/>
        </w:rPr>
      </w:pPr>
    </w:p>
    <w:p>
      <w:pPr>
        <w:pStyle w:val="2"/>
        <w:spacing w:before="10"/>
        <w:rPr>
          <w:rFonts w:hint="default" w:ascii="Times New Roman" w:hAnsi="Times New Roman" w:eastAsia="仿宋_GB2312" w:cs="Times New Roman"/>
          <w:b/>
          <w:bCs/>
          <w:sz w:val="32"/>
          <w:szCs w:val="32"/>
          <w:vertAlign w:val="baseline"/>
        </w:rPr>
      </w:pPr>
    </w:p>
    <w:p>
      <w:pPr>
        <w:pStyle w:val="2"/>
        <w:spacing w:before="10"/>
        <w:rPr>
          <w:rFonts w:hint="default" w:ascii="Times New Roman" w:hAnsi="Times New Roman" w:eastAsia="仿宋_GB2312" w:cs="Times New Roman"/>
          <w:b/>
          <w:bCs/>
          <w:sz w:val="32"/>
          <w:szCs w:val="32"/>
          <w:vertAlign w:val="baseline"/>
        </w:rPr>
      </w:pPr>
    </w:p>
    <w:p>
      <w:pPr>
        <w:pStyle w:val="2"/>
        <w:spacing w:before="10"/>
        <w:rPr>
          <w:rFonts w:hint="default" w:ascii="Times New Roman" w:hAnsi="Times New Roman" w:eastAsia="仿宋_GB2312" w:cs="Times New Roman"/>
          <w:b/>
          <w:bCs/>
          <w:sz w:val="32"/>
          <w:szCs w:val="32"/>
          <w:vertAlign w:val="baseline"/>
        </w:rPr>
      </w:pPr>
    </w:p>
    <w:p>
      <w:pPr>
        <w:pStyle w:val="2"/>
        <w:spacing w:before="10"/>
        <w:rPr>
          <w:rFonts w:hint="default" w:ascii="Times New Roman" w:hAnsi="Times New Roman" w:eastAsia="仿宋_GB2312" w:cs="Times New Roman"/>
          <w:b/>
          <w:bCs/>
          <w:sz w:val="32"/>
          <w:szCs w:val="32"/>
          <w:vertAlign w:val="baseline"/>
        </w:rPr>
      </w:pPr>
    </w:p>
    <w:p>
      <w:pPr>
        <w:pStyle w:val="2"/>
        <w:spacing w:before="10"/>
        <w:rPr>
          <w:rFonts w:hint="default" w:ascii="Times New Roman" w:hAnsi="Times New Roman" w:eastAsia="仿宋_GB2312" w:cs="Times New Roman"/>
          <w:b/>
          <w:bCs/>
          <w:sz w:val="32"/>
          <w:szCs w:val="32"/>
          <w:vertAlign w:val="baseline"/>
        </w:rPr>
      </w:pPr>
    </w:p>
    <w:p>
      <w:pPr>
        <w:pStyle w:val="2"/>
        <w:spacing w:before="10"/>
        <w:rPr>
          <w:rFonts w:hint="default" w:ascii="Times New Roman" w:hAnsi="Times New Roman" w:eastAsia="仿宋_GB2312" w:cs="Times New Roman"/>
          <w:b/>
          <w:bCs/>
          <w:sz w:val="32"/>
          <w:szCs w:val="32"/>
          <w:vertAlign w:val="baseline"/>
        </w:rPr>
      </w:pPr>
    </w:p>
    <w:p>
      <w:pPr>
        <w:pStyle w:val="2"/>
        <w:spacing w:before="10"/>
        <w:rPr>
          <w:rFonts w:hint="default" w:ascii="Times New Roman" w:hAnsi="Times New Roman" w:eastAsia="仿宋_GB2312" w:cs="Times New Roman"/>
          <w:b/>
          <w:bCs/>
          <w:sz w:val="32"/>
          <w:szCs w:val="32"/>
          <w:vertAlign w:val="baseline"/>
        </w:rPr>
      </w:pPr>
    </w:p>
    <w:p>
      <w:pPr>
        <w:pStyle w:val="2"/>
        <w:spacing w:before="10"/>
        <w:rPr>
          <w:rFonts w:hint="default" w:ascii="Times New Roman" w:hAnsi="Times New Roman" w:eastAsia="仿宋_GB2312" w:cs="Times New Roman"/>
          <w:b/>
          <w:bCs/>
          <w:sz w:val="32"/>
          <w:szCs w:val="32"/>
          <w:vertAlign w:val="baseline"/>
        </w:rPr>
      </w:pPr>
    </w:p>
    <w:tbl>
      <w:tblPr>
        <w:tblStyle w:val="5"/>
        <w:tblpPr w:leftFromText="180" w:rightFromText="180" w:vertAnchor="text" w:horzAnchor="page" w:tblpX="1707" w:tblpY="344"/>
        <w:tblOverlap w:val="never"/>
        <w:tblW w:w="867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67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8672" w:type="dxa"/>
            <w:noWrap w:val="0"/>
            <w:vAlign w:val="center"/>
          </w:tcPr>
          <w:p>
            <w:pPr>
              <w:pStyle w:val="2"/>
              <w:keepNext w:val="0"/>
              <w:keepLines w:val="0"/>
              <w:pageBreakBefore w:val="0"/>
              <w:widowControl w:val="0"/>
              <w:kinsoku/>
              <w:wordWrap/>
              <w:overflowPunct/>
              <w:topLinePunct w:val="0"/>
              <w:autoSpaceDE w:val="0"/>
              <w:autoSpaceDN w:val="0"/>
              <w:bidi w:val="0"/>
              <w:adjustRightInd/>
              <w:snapToGrid/>
              <w:spacing w:before="0"/>
              <w:ind w:firstLine="0" w:firstLineChars="0"/>
              <w:jc w:val="center"/>
              <w:textAlignment w:val="auto"/>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eastAsia="zh-CN"/>
              </w:rPr>
              <w:t>济宁市医疗保障局办公室</w:t>
            </w:r>
            <w:r>
              <w:rPr>
                <w:rFonts w:hint="default" w:ascii="Times New Roman" w:hAnsi="Times New Roman" w:eastAsia="仿宋_GB2312" w:cs="Times New Roman"/>
                <w:b/>
                <w:bCs/>
                <w:sz w:val="28"/>
                <w:szCs w:val="28"/>
                <w:vertAlign w:val="baseline"/>
                <w:lang w:val="en-US" w:eastAsia="zh-CN"/>
              </w:rPr>
              <w:t xml:space="preserve">        </w:t>
            </w:r>
            <w:r>
              <w:rPr>
                <w:rFonts w:hint="eastAsia" w:ascii="Times New Roman" w:hAnsi="Times New Roman" w:eastAsia="仿宋_GB2312" w:cs="Times New Roman"/>
                <w:b/>
                <w:bCs/>
                <w:sz w:val="28"/>
                <w:szCs w:val="28"/>
                <w:vertAlign w:val="baseline"/>
                <w:lang w:val="en-US" w:eastAsia="zh-CN"/>
              </w:rPr>
              <w:t xml:space="preserve">  </w:t>
            </w:r>
            <w:r>
              <w:rPr>
                <w:rFonts w:hint="default" w:ascii="Times New Roman" w:hAnsi="Times New Roman" w:eastAsia="仿宋_GB2312" w:cs="Times New Roman"/>
                <w:b/>
                <w:bCs/>
                <w:sz w:val="28"/>
                <w:szCs w:val="28"/>
                <w:vertAlign w:val="baseline"/>
                <w:lang w:val="en-US" w:eastAsia="zh-CN"/>
              </w:rPr>
              <w:t xml:space="preserve">        2021年7月</w:t>
            </w:r>
            <w:r>
              <w:rPr>
                <w:rFonts w:hint="eastAsia" w:ascii="Times New Roman" w:hAnsi="Times New Roman" w:eastAsia="仿宋_GB2312" w:cs="Times New Roman"/>
                <w:b/>
                <w:bCs/>
                <w:sz w:val="28"/>
                <w:szCs w:val="28"/>
                <w:vertAlign w:val="baseline"/>
                <w:lang w:val="en-US" w:eastAsia="zh-CN"/>
              </w:rPr>
              <w:t>23</w:t>
            </w:r>
            <w:r>
              <w:rPr>
                <w:rFonts w:hint="default" w:ascii="Times New Roman" w:hAnsi="Times New Roman" w:eastAsia="仿宋_GB2312" w:cs="Times New Roman"/>
                <w:b/>
                <w:bCs/>
                <w:sz w:val="28"/>
                <w:szCs w:val="28"/>
                <w:vertAlign w:val="baseline"/>
                <w:lang w:val="en-US" w:eastAsia="zh-CN"/>
              </w:rPr>
              <w:t>日印发</w:t>
            </w:r>
          </w:p>
        </w:tc>
      </w:tr>
    </w:tbl>
    <w:p>
      <w:pPr>
        <w:pStyle w:val="2"/>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hint="default" w:ascii="Times New Roman" w:hAnsi="Times New Roman" w:eastAsia="仿宋_GB2312" w:cs="Times New Roman"/>
          <w:b/>
          <w:bCs/>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hint="default" w:ascii="Times New Roman" w:hAnsi="Times New Roman" w:eastAsia="仿宋_GB2312" w:cs="Times New Roman"/>
          <w:b/>
          <w:bCs/>
          <w:color w:val="000000"/>
          <w:sz w:val="32"/>
          <w:szCs w:val="32"/>
          <w:shd w:val="clear" w:color="auto" w:fill="FFFFFF"/>
          <w:vertAlign w:val="baseline"/>
          <w:lang w:val="en-US" w:eastAsia="zh-CN"/>
        </w:rPr>
      </w:pPr>
    </w:p>
    <w:sectPr>
      <w:pgSz w:w="11906" w:h="16838"/>
      <w:pgMar w:top="1587" w:right="1587" w:bottom="1587" w:left="1587" w:header="851" w:footer="992" w:gutter="0"/>
      <w:pgBorders>
        <w:top w:val="none" w:sz="0" w:space="0"/>
        <w:left w:val="none" w:sz="0" w:space="0"/>
        <w:bottom w:val="none" w:sz="0" w:space="0"/>
        <w:right w:val="none" w:sz="0" w:space="0"/>
      </w:pgBorders>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925AE9"/>
    <w:rsid w:val="00B45AF5"/>
    <w:rsid w:val="01595904"/>
    <w:rsid w:val="0B01680F"/>
    <w:rsid w:val="115A3E04"/>
    <w:rsid w:val="127829AB"/>
    <w:rsid w:val="13437766"/>
    <w:rsid w:val="15C84C85"/>
    <w:rsid w:val="174C54C5"/>
    <w:rsid w:val="17C2719C"/>
    <w:rsid w:val="191019B7"/>
    <w:rsid w:val="1D802149"/>
    <w:rsid w:val="1E4018E4"/>
    <w:rsid w:val="1F18585F"/>
    <w:rsid w:val="1F287D5E"/>
    <w:rsid w:val="1F597715"/>
    <w:rsid w:val="1FF57D27"/>
    <w:rsid w:val="20CC3F01"/>
    <w:rsid w:val="24356EE7"/>
    <w:rsid w:val="25AD67E7"/>
    <w:rsid w:val="28F83367"/>
    <w:rsid w:val="2AF27B5E"/>
    <w:rsid w:val="2D7F279B"/>
    <w:rsid w:val="2FAF448B"/>
    <w:rsid w:val="33A01369"/>
    <w:rsid w:val="34A42CB8"/>
    <w:rsid w:val="355D3A02"/>
    <w:rsid w:val="37610361"/>
    <w:rsid w:val="37A3079A"/>
    <w:rsid w:val="3E3C1574"/>
    <w:rsid w:val="4418782D"/>
    <w:rsid w:val="44420D43"/>
    <w:rsid w:val="44A00D3B"/>
    <w:rsid w:val="47925AE9"/>
    <w:rsid w:val="47B468AB"/>
    <w:rsid w:val="48DE2978"/>
    <w:rsid w:val="49171A91"/>
    <w:rsid w:val="4C1D6474"/>
    <w:rsid w:val="4C8B6ADC"/>
    <w:rsid w:val="4E584919"/>
    <w:rsid w:val="4EC56045"/>
    <w:rsid w:val="4F7F7D19"/>
    <w:rsid w:val="5281262C"/>
    <w:rsid w:val="53486C1F"/>
    <w:rsid w:val="60D337EF"/>
    <w:rsid w:val="61703BA3"/>
    <w:rsid w:val="645B7894"/>
    <w:rsid w:val="649D7969"/>
    <w:rsid w:val="653D6D24"/>
    <w:rsid w:val="658F7809"/>
    <w:rsid w:val="67D1284C"/>
    <w:rsid w:val="68A42E0E"/>
    <w:rsid w:val="6B0A31A2"/>
    <w:rsid w:val="6D7D13E8"/>
    <w:rsid w:val="704906F2"/>
    <w:rsid w:val="70B70F84"/>
    <w:rsid w:val="75BF5AEF"/>
    <w:rsid w:val="776C653C"/>
    <w:rsid w:val="778A3475"/>
    <w:rsid w:val="77D30F9D"/>
    <w:rsid w:val="787D3CB8"/>
    <w:rsid w:val="7A5D21F2"/>
    <w:rsid w:val="7EE44413"/>
    <w:rsid w:val="7F206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32"/>
      <w:szCs w:val="32"/>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15504</Words>
  <Characters>16243</Characters>
  <Lines>0</Lines>
  <Paragraphs>0</Paragraphs>
  <TotalTime>1</TotalTime>
  <ScaleCrop>false</ScaleCrop>
  <LinksUpToDate>false</LinksUpToDate>
  <CharactersWithSpaces>16329</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2021-07-23T01:16:00Z</dcterms:created>
  <dc:creator>高瞻远瞩</dc:creator>
  <cp:lastModifiedBy>高瞻远瞩</cp:lastModifiedBy>
  <cp:lastPrinted>2021-07-26T01:43:00Z</cp:lastPrinted>
  <dcterms:modified xsi:type="dcterms:W3CDTF">2022-07-06T09:02:36Z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1D218A36EA0F4818B669767D8CD6276D</vt:lpwstr>
  </property>
  <property fmtid="{D5CDD505-2E9C-101B-9397-08002B2CF9AE}" pid="4" name="KSOSaveFontToCloudKey">
    <vt:lpwstr>944248172_btnclosed</vt:lpwstr>
  </property>
</Properties>
</file>