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00" w:type="dxa"/>
        <w:jc w:val="center"/>
        <w:tblBorders>
          <w:top w:val="none" w:color="auto" w:sz="0" w:space="0"/>
          <w:left w:val="none" w:color="auto" w:sz="0" w:space="0"/>
          <w:bottom w:val="thinThickSmallGap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none" w:color="auto" w:sz="0" w:space="0"/>
            <w:left w:val="none" w:color="auto" w:sz="0" w:space="0"/>
            <w:bottom w:val="thinThickSmallGap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700" w:type="dxa"/>
            <w:vAlign w:val="center"/>
          </w:tcPr>
          <w:p>
            <w:pPr>
              <w:spacing w:line="600" w:lineRule="exact"/>
              <w:jc w:val="center"/>
              <w:rPr>
                <w:rFonts w:ascii="方正大标宋简体" w:eastAsia="方正大标宋简体"/>
                <w:b/>
                <w:color w:val="FF0000"/>
                <w:sz w:val="52"/>
                <w:szCs w:val="52"/>
              </w:rPr>
            </w:pPr>
            <w:r>
              <w:rPr>
                <w:rFonts w:hint="eastAsia" w:ascii="方正大标宋简体" w:eastAsia="方正大标宋简体"/>
                <w:b/>
                <w:color w:val="FF0000"/>
                <w:spacing w:val="17"/>
                <w:sz w:val="60"/>
                <w:szCs w:val="52"/>
              </w:rPr>
              <w:t>济  宁  市  信  访  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济宁市信访局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255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本报告由济宁市信访局按照新修订的《中华人民共和国政府信息公开条例》（以下简称《条例》）要求，根据2020年政务信息发布情况编制。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5" w:lineRule="atLeast"/>
        <w:ind w:left="256" w:right="0" w:firstLine="48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本报告所列数据的统计期限自2020年1月1日起2020年12月31日止。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2020年，我局认真贯彻执行《中华人民共和国政府信息公开条例》（以下简称《条例》），按照信息公开工作要求，结合本局工作实际，从规范公开内容、突出公开重点、提升公开水平入手，切实加强领导，深入宣传发动，加强沟通交流，主动接受社会各界的监督，以积极的态度和有力的措施，全面执行政府信息公开工作，取得了较好的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（一）信息公开情况。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2020年度，市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信访局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在市政府网站政府信息公开平台发布各类公开信息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条，其中主要包括：公开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规范性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文件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件，政策解读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6篇，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党组扩大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会议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次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业务动态1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条；组织管理、政务公开保障等其他法定信息进行了持续常态化公开。“济宁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信访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”微信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公众号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共发稿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篇，阅读量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0.69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万人次；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今日头条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发稿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137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篇，阅读量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16.2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万人次。在政策宣传、互动交流、群众监督等方面发挥了巨大作用。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drawing>
          <wp:inline distT="0" distB="0" distL="114300" distR="114300">
            <wp:extent cx="4710430" cy="3500755"/>
            <wp:effectExtent l="4445" t="4445" r="9525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）组织机构建设情况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我局把政府信息公开作为转变政府职能、提高服务效率、提高人民群众满意度的一项重要举措来抓，明确分工，落实责任，局主要领导亲自部署推动，由分管局领导、局属各部门负责人层层抓落实，按照《条例》和省、市的相关要求，推进、指导和监督信息公开工作，并指定专人负责政府信息的整理、更新和报送工作，开展政务公开的宣传工作，确保职责明确、责任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　　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）工作机制、制度规范情况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我局认真履行《条例》规定的政府部门公开政府信息的法定义务，制定实施方案，完善《济宁市信访局政府信息公开指南》，重新调整《济宁市信访局政府信息公开目录》，优化政府信息依申请公开工作流程，规范政府信息公开的流程、职责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政府信息公开工作中，完善预先审查制度，准确把握政府信息公开的内容、范围、形式和时限等，避免出现信息公开“失控”现象。贯彻执行保密制度，明确审查程序和责任人，正确处理公开和保密的关系，既防止出现因公开不当导致失密、泄密的问题，又确保公民、法人和其他组织的知情权。完善档案管理制度，主要工作均有记录，有档案。落实年度报告制度，年度主要工作情况、工作计划均及时向社会公布，确保政府信息及时主动公开，信息公开申请及时办理反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　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）政府信息公开工作考核情况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我局严格按照《条例》的相关内容，对主动公开的政务信息、依申请公开的政务信息和免予公开的政府信息等进行整理，并做好回复工作。同时，我局将政府信息公开工作情况纳入本单位年度绩效考核中，对各科室信息公开的报送情况和完成情况不定期进行检查、督促和改进，不断提高工作质量和服务水平，确保政府信息公开工作有效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　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）学习、宣传、培训等方面情况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5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局积极参加省市等部门组织的政府信息公开工作宣传培训班，多次召开专门会议，对重点部门信息公开工作人员和技术操作员进行培训，加强对工作人员的再培训，提高工作人员对政务公开工作的认识，增强责任感和做好信息公开工作的主动性，有效地推进政府信息公开工作的落实，为我局网站的内容充实和更新提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5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二、主动公开政府信息情况</w:t>
      </w:r>
    </w:p>
    <w:tbl>
      <w:tblPr>
        <w:tblStyle w:val="5"/>
        <w:tblW w:w="863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04"/>
        <w:gridCol w:w="1990"/>
        <w:gridCol w:w="6"/>
        <w:gridCol w:w="1342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86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3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8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3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8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3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8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8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8次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473300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240" w:afterAutospacing="0"/>
        <w:ind w:firstLine="420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31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754"/>
        <w:gridCol w:w="2550"/>
        <w:gridCol w:w="704"/>
        <w:gridCol w:w="753"/>
        <w:gridCol w:w="753"/>
        <w:gridCol w:w="811"/>
        <w:gridCol w:w="971"/>
        <w:gridCol w:w="709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392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3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  <w:jc w:val="center"/>
        </w:trPr>
        <w:tc>
          <w:tcPr>
            <w:tcW w:w="39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9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  <w:jc w:val="center"/>
        </w:trPr>
        <w:tc>
          <w:tcPr>
            <w:tcW w:w="39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3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3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3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b/>
          <w:bCs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b/>
          <w:bCs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cs="Calibri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5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我局虽在政府信息公开工作中取得了一定成效，但仍存在不足之处。如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信息公开意识还有待进一步提升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，信息公开与业务工作联系不够紧密，信息公开内容更新频率不够高等。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在今后的政府信息公开工作中，我局将重点做好以下工作：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（一）提高思想认识，提升工作质量。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认真学习和贯彻落实《条例》精神，正确处理好公开与保密、主动公开与依申请公开的关系，及时全面主动公开政府信息，提高公开信息的质量，确保公众的知情权。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（二）加强监督管理，完善政府信息公开工作机制。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严格按照规章制度推进政府信息公开工作，制定责任分工表，明确分工职责，制定信息公开月度情况报送表，加强工作联系，提高监督管理水平。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（三）加强业务培训指导，规范公开流程。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深入解读《政府信息公开条例》，进一步加强工作人员的业务能力，完善工作环节，规范工作流程，确保公布信息的权威性、一致性、完整性和及时性。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（四）完善监督考核制度，发现问题及时改进。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指定负责人完成政府信息公开监督工作，严格按照考核标准，督促各科室按要求及时完成政府信息公开更新工作，加强政府信息内容管理。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color w:val="333333"/>
          <w:sz w:val="24"/>
          <w:szCs w:val="24"/>
        </w:rPr>
      </w:pPr>
      <w:r>
        <w:rPr>
          <w:rStyle w:val="7"/>
          <w:rFonts w:ascii="方正仿宋简体" w:hAnsi="方正仿宋简体" w:eastAsia="方正仿宋简体" w:cs="方正仿宋简体"/>
          <w:color w:val="333333"/>
          <w:sz w:val="31"/>
          <w:szCs w:val="31"/>
          <w:shd w:val="clear" w:fill="FFFFFF"/>
        </w:rPr>
        <w:t>2020</w:t>
      </w:r>
      <w:r>
        <w:rPr>
          <w:rStyle w:val="7"/>
          <w:rFonts w:hint="eastAsia" w:ascii="方正仿宋简体" w:hAnsi="方正仿宋简体" w:eastAsia="方正仿宋简体" w:cs="方正仿宋简体"/>
          <w:color w:val="333333"/>
          <w:sz w:val="31"/>
          <w:szCs w:val="31"/>
          <w:shd w:val="clear" w:fill="FFFFFF"/>
        </w:rPr>
        <w:t>年度，市</w:t>
      </w:r>
      <w:r>
        <w:rPr>
          <w:rStyle w:val="7"/>
          <w:rFonts w:hint="eastAsia" w:ascii="方正仿宋简体" w:hAnsi="方正仿宋简体" w:eastAsia="方正仿宋简体" w:cs="方正仿宋简体"/>
          <w:color w:val="333333"/>
          <w:sz w:val="31"/>
          <w:szCs w:val="31"/>
          <w:shd w:val="clear" w:fill="FFFFFF"/>
          <w:lang w:val="en-US" w:eastAsia="zh-CN"/>
        </w:rPr>
        <w:t>信访局</w:t>
      </w:r>
      <w:r>
        <w:rPr>
          <w:rStyle w:val="7"/>
          <w:rFonts w:hint="eastAsia" w:ascii="方正仿宋简体" w:hAnsi="方正仿宋简体" w:eastAsia="方正仿宋简体" w:cs="方正仿宋简体"/>
          <w:color w:val="333333"/>
          <w:sz w:val="31"/>
          <w:szCs w:val="31"/>
          <w:shd w:val="clear" w:fill="FFFFFF"/>
        </w:rPr>
        <w:t>未收到人大建议和政协提案。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济宁市信访局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2021年1月23日</w:t>
      </w:r>
    </w:p>
    <w:sectPr>
      <w:pgSz w:w="11906" w:h="16838"/>
      <w:pgMar w:top="1701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03A52"/>
    <w:rsid w:val="2018157A"/>
    <w:rsid w:val="206D7F44"/>
    <w:rsid w:val="20990E63"/>
    <w:rsid w:val="252B647B"/>
    <w:rsid w:val="318F7103"/>
    <w:rsid w:val="34FE670E"/>
    <w:rsid w:val="374507A3"/>
    <w:rsid w:val="42F85305"/>
    <w:rsid w:val="4953622C"/>
    <w:rsid w:val="4A486208"/>
    <w:rsid w:val="4B9B1FE4"/>
    <w:rsid w:val="4E5B367A"/>
    <w:rsid w:val="52EB36FD"/>
    <w:rsid w:val="53274DF7"/>
    <w:rsid w:val="619A51D5"/>
    <w:rsid w:val="685F3424"/>
    <w:rsid w:val="6CA957B5"/>
    <w:rsid w:val="6D1E5456"/>
    <w:rsid w:val="770B57A6"/>
    <w:rsid w:val="79020946"/>
    <w:rsid w:val="7A67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信息公开情况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gradFill>
                <a:gsLst>
                  <a:gs pos="0">
                    <a:srgbClr val="9EE256"/>
                  </a:gs>
                  <a:gs pos="100000">
                    <a:srgbClr val="52762D"/>
                  </a:gs>
                </a:gsLst>
                <a:path path="circle"/>
              </a:gra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规范性文件</c:v>
                </c:pt>
                <c:pt idx="1">
                  <c:v>政策解读</c:v>
                </c:pt>
                <c:pt idx="2">
                  <c:v>局党组扩大会议</c:v>
                </c:pt>
                <c:pt idx="3">
                  <c:v>业务动态</c:v>
                </c:pt>
                <c:pt idx="4">
                  <c:v>微信公众号</c:v>
                </c:pt>
                <c:pt idx="5">
                  <c:v>今日头条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6</c:v>
                </c:pt>
                <c:pt idx="2">
                  <c:v>7</c:v>
                </c:pt>
                <c:pt idx="3">
                  <c:v>15</c:v>
                </c:pt>
                <c:pt idx="4">
                  <c:v>37</c:v>
                </c:pt>
                <c:pt idx="5">
                  <c:v>137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6918306821246"/>
          <c:y val="0.444222746236169"/>
          <c:w val="0.218118091129685"/>
          <c:h val="0.3713041900961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accent1">
        <a:alpha val="39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2021-01-23T01:57:00Z</dcterms:created>
  <dc:creator>Administrator</dc:creator>
  <cp:lastModifiedBy>yao</cp:lastModifiedBy>
  <dcterms:modified xsi:type="dcterms:W3CDTF">2021-01-26T01:50:04Z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338689880_btnclosed</vt:lpwstr>
  </property>
</Properties>
</file>