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5" w:rightChars="-50"/>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spacing w:line="590" w:lineRule="exact"/>
        <w:ind w:right="-105" w:rightChars="-50"/>
        <w:jc w:val="center"/>
        <w:outlineLvl w:val="0"/>
        <w:rPr>
          <w:rFonts w:hint="default" w:ascii="Times New Roman" w:hAnsi="Times New Roman" w:eastAsia="方正小标宋简体" w:cs="Times New Roman"/>
          <w:b/>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bCs w:val="0"/>
          <w:color w:val="000000" w:themeColor="text1"/>
          <w:sz w:val="44"/>
          <w:szCs w:val="44"/>
          <w:lang w:val="en-US" w:eastAsia="zh-CN"/>
          <w14:textFill>
            <w14:solidFill>
              <w14:schemeClr w14:val="tx1"/>
            </w14:solidFill>
          </w14:textFill>
        </w:rPr>
        <w:t>济宁市农业农村局</w:t>
      </w:r>
      <w:r>
        <w:rPr>
          <w:rFonts w:hint="default" w:ascii="Times New Roman" w:hAnsi="Times New Roman" w:eastAsia="方正小标宋简体" w:cs="Times New Roman"/>
          <w:b/>
          <w:bCs w:val="0"/>
          <w:color w:val="000000" w:themeColor="text1"/>
          <w:sz w:val="44"/>
          <w:szCs w:val="44"/>
          <w14:textFill>
            <w14:solidFill>
              <w14:schemeClr w14:val="tx1"/>
            </w14:solidFill>
          </w14:textFill>
        </w:rPr>
        <w:t>202</w:t>
      </w:r>
      <w:r>
        <w:rPr>
          <w:rFonts w:hint="eastAsia" w:eastAsia="方正小标宋简体" w:cs="Times New Roman"/>
          <w:b/>
          <w:bCs w:val="0"/>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
          <w:bCs w:val="0"/>
          <w:color w:val="000000" w:themeColor="text1"/>
          <w:sz w:val="44"/>
          <w:szCs w:val="44"/>
          <w14:textFill>
            <w14:solidFill>
              <w14:schemeClr w14:val="tx1"/>
            </w14:solidFill>
          </w14:textFill>
        </w:rPr>
        <w:t>年政府信息公开</w:t>
      </w:r>
    </w:p>
    <w:p>
      <w:pPr>
        <w:spacing w:line="590" w:lineRule="exact"/>
        <w:ind w:right="-105" w:rightChars="-50"/>
        <w:jc w:val="center"/>
        <w:outlineLvl w:val="0"/>
        <w:rPr>
          <w:rFonts w:hint="default" w:ascii="Times New Roman" w:hAnsi="Times New Roman" w:eastAsia="方正小标宋简体" w:cs="Times New Roman"/>
          <w:b/>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bCs w:val="0"/>
          <w:color w:val="000000" w:themeColor="text1"/>
          <w:sz w:val="44"/>
          <w:szCs w:val="44"/>
          <w14:textFill>
            <w14:solidFill>
              <w14:schemeClr w14:val="tx1"/>
            </w14:solidFill>
          </w14:textFill>
        </w:rPr>
        <w:t>工作年度报告</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政府信息公开工作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pacing w:val="-1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济宁市农业农村局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按照《中华人民共和国政府信息公开条例》（以下简称《条例》）和《中华人民共和国政府信息</w:t>
      </w:r>
      <w:r>
        <w:rPr>
          <w:rFonts w:hint="default" w:ascii="Times New Roman" w:hAnsi="Times New Roman" w:eastAsia="方正仿宋简体" w:cs="Times New Roman"/>
          <w:b/>
          <w:bCs w:val="0"/>
          <w:color w:val="000000" w:themeColor="text1"/>
          <w:spacing w:val="-11"/>
          <w:sz w:val="32"/>
          <w:szCs w:val="32"/>
          <w14:textFill>
            <w14:solidFill>
              <w14:schemeClr w14:val="tx1"/>
            </w14:solidFill>
          </w14:textFill>
        </w:rPr>
        <w:t>公开工作年度报告格式》（国办公开办函〔2021〕30号）要求编制</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w:t>
      </w:r>
      <w:r>
        <w:rPr>
          <w:rFonts w:hint="default" w:ascii="Times New Roman" w:hAnsi="Times New Roman" w:eastAsia="方正仿宋简体" w:cs="Times New Roman"/>
          <w:b/>
          <w:bCs w:val="0"/>
          <w:color w:val="000000" w:themeColor="text1"/>
          <w:spacing w:val="-11"/>
          <w:sz w:val="32"/>
          <w:szCs w:val="32"/>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本报告所列数据的统计期限自202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年1月1日起至202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年12月31日止。本报告电子版可在“中国·济宁”政府门户网站（http://www.jining.gov.cn/col/col61604/index.html）查阅或下载。如对本报告有疑问，请与</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济宁市农业农村局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联系（地址：济宁市太白湖新区圣贤路7号省运会指挥中心A区5楼，联系电话：0537—</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2967058 、2967258</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600" w:lineRule="exact"/>
        <w:ind w:firstLine="642" w:firstLineChars="200"/>
        <w:rPr>
          <w:rFonts w:hint="default" w:ascii="黑体" w:hAnsi="黑体" w:eastAsia="黑体" w:cstheme="minorBidi"/>
          <w:b w:val="0"/>
          <w:bCs w:val="0"/>
          <w:kern w:val="2"/>
          <w:sz w:val="32"/>
          <w:szCs w:val="32"/>
          <w:lang w:eastAsia="zh-CN"/>
        </w:rPr>
      </w:pPr>
      <w:r>
        <w:rPr>
          <w:rFonts w:hint="default" w:ascii="楷体_GB2312" w:eastAsia="楷体_GB2312" w:hAnsiTheme="minorHAnsi" w:cstheme="minorBidi"/>
          <w:b/>
          <w:bCs/>
          <w:kern w:val="2"/>
          <w:sz w:val="32"/>
          <w:szCs w:val="32"/>
          <w:lang w:eastAsia="zh-CN"/>
        </w:rPr>
        <w:t>一、总体情况</w:t>
      </w:r>
      <w:r>
        <w:rPr>
          <w:rFonts w:hint="eastAsia" w:ascii="楷体_GB2312" w:eastAsia="楷体_GB2312" w:hAnsiTheme="minorHAnsi" w:cstheme="minorBidi"/>
          <w:b/>
          <w:bCs/>
          <w:kern w:val="2"/>
          <w:sz w:val="32"/>
          <w:szCs w:val="32"/>
          <w:lang w:eastAsia="zh-CN"/>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2023年，济宁市农业农村局认真贯彻、落实省、市两级政务公开工作部署，坚持“以公开为常态，不公开为例外”</w:t>
      </w:r>
      <w:r>
        <w:rPr>
          <w:rFonts w:hint="eastAsia" w:eastAsia="方正仿宋简体" w:cs="Times New Roman"/>
          <w:b/>
          <w:bCs w:val="0"/>
          <w:color w:val="000000" w:themeColor="text1"/>
          <w:sz w:val="32"/>
          <w:szCs w:val="32"/>
          <w:lang w:eastAsia="zh-CN"/>
          <w14:textFill>
            <w14:solidFill>
              <w14:schemeClr w14:val="tx1"/>
            </w14:solidFill>
          </w14:textFill>
        </w:rPr>
        <w:t>的原则</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，以政务公开工作为抓手，推进我市三农政务公开有序开展。2023年度，我局进一步加大政府信息公开力度，不断优化公开内容，进一步规范公开程序、拓宽公开渠道，政务公开工作取得新发展。</w:t>
      </w:r>
    </w:p>
    <w:p>
      <w:pPr>
        <w:numPr>
          <w:ilvl w:val="0"/>
          <w:numId w:val="1"/>
        </w:num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主动公开情况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市农业农村局主动公开政府信息</w:t>
      </w:r>
      <w:r>
        <w:rPr>
          <w:rFonts w:hint="eastAsia" w:eastAsia="方正仿宋简体" w:cs="Times New Roman"/>
          <w:b/>
          <w:bCs w:val="0"/>
          <w:color w:val="000000" w:themeColor="text1"/>
          <w:sz w:val="32"/>
          <w:szCs w:val="32"/>
          <w:lang w:val="en-US" w:eastAsia="zh-CN"/>
          <w14:textFill>
            <w14:solidFill>
              <w14:schemeClr w14:val="tx1"/>
            </w14:solidFill>
          </w14:textFill>
        </w:rPr>
        <w:t>近千</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条。其中，通过政府信息公开专栏主动公开政府信息</w:t>
      </w:r>
      <w:r>
        <w:rPr>
          <w:rFonts w:hint="eastAsia" w:eastAsia="方正仿宋简体" w:cs="Times New Roman"/>
          <w:b/>
          <w:bCs w:val="0"/>
          <w:color w:val="000000" w:themeColor="text1"/>
          <w:sz w:val="32"/>
          <w:szCs w:val="32"/>
          <w:lang w:val="en-US" w:eastAsia="zh-CN"/>
          <w14:textFill>
            <w14:solidFill>
              <w14:schemeClr w14:val="tx1"/>
            </w14:solidFill>
          </w14:textFill>
        </w:rPr>
        <w:t>189</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条，通过门户网站主动公开政府信息</w:t>
      </w:r>
      <w:r>
        <w:rPr>
          <w:rFonts w:hint="eastAsia" w:eastAsia="方正仿宋简体" w:cs="Times New Roman"/>
          <w:b/>
          <w:bCs w:val="0"/>
          <w:color w:val="000000" w:themeColor="text1"/>
          <w:sz w:val="32"/>
          <w:szCs w:val="32"/>
          <w:lang w:val="en-US" w:eastAsia="zh-CN"/>
          <w14:textFill>
            <w14:solidFill>
              <w14:schemeClr w14:val="tx1"/>
            </w14:solidFill>
          </w14:textFill>
        </w:rPr>
        <w:t>457</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条，通过政务微信公众号发布信息10</w:t>
      </w:r>
      <w:r>
        <w:rPr>
          <w:rFonts w:hint="eastAsia" w:eastAsia="方正仿宋简体" w:cs="Times New Roman"/>
          <w:b/>
          <w:bCs w:val="0"/>
          <w:color w:val="000000" w:themeColor="text1"/>
          <w:sz w:val="32"/>
          <w:szCs w:val="32"/>
          <w:lang w:val="en-US" w:eastAsia="zh-CN"/>
          <w14:textFill>
            <w14:solidFill>
              <w14:schemeClr w14:val="tx1"/>
            </w14:solidFill>
          </w14:textFill>
        </w:rPr>
        <w:t>6</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条。通过各级媒体等其他方式主动公开政府信息</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300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余条。配发解读材料</w:t>
      </w:r>
      <w:r>
        <w:rPr>
          <w:rFonts w:hint="eastAsia" w:eastAsia="方正仿宋简体" w:cs="Times New Roman"/>
          <w:b/>
          <w:bCs w:val="0"/>
          <w:color w:val="000000" w:themeColor="text1"/>
          <w:sz w:val="32"/>
          <w:szCs w:val="32"/>
          <w:lang w:val="en-US" w:eastAsia="zh-CN"/>
          <w14:textFill>
            <w14:solidFill>
              <w14:schemeClr w14:val="tx1"/>
            </w14:solidFill>
          </w14:textFill>
        </w:rPr>
        <w:t>67</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件，其中，主要负责人带头解读政策</w:t>
      </w:r>
      <w:r>
        <w:rPr>
          <w:rFonts w:hint="eastAsia" w:eastAsia="方正仿宋简体" w:cs="Times New Roman"/>
          <w:b/>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件，多角度解读政策</w:t>
      </w:r>
      <w:r>
        <w:rPr>
          <w:rFonts w:hint="eastAsia" w:eastAsia="方正仿宋简体" w:cs="Times New Roman"/>
          <w:b/>
          <w:bCs w:val="0"/>
          <w:color w:val="000000" w:themeColor="text1"/>
          <w:sz w:val="32"/>
          <w:szCs w:val="32"/>
          <w:lang w:val="en-US" w:eastAsia="zh-CN"/>
          <w14:textFill>
            <w14:solidFill>
              <w14:schemeClr w14:val="tx1"/>
            </w14:solidFill>
          </w14:textFill>
        </w:rPr>
        <w:t>63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通过新闻发布会形式向公众主动公开政策及重点工作情况共计</w:t>
      </w:r>
      <w:r>
        <w:rPr>
          <w:rFonts w:hint="eastAsia" w:eastAsia="方正仿宋简体" w:cs="Times New Roman"/>
          <w:b/>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次、组织参与</w:t>
      </w:r>
      <w:r>
        <w:rPr>
          <w:rFonts w:hint="eastAsia" w:eastAsia="方正仿宋简体" w:cs="Times New Roman"/>
          <w:b/>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次。</w:t>
      </w:r>
      <w:r>
        <w:rPr>
          <w:rFonts w:hint="eastAsia" w:eastAsia="方正仿宋简体" w:cs="Times New Roman"/>
          <w:b/>
          <w:bCs w:val="0"/>
          <w:color w:val="000000" w:themeColor="text1"/>
          <w:sz w:val="32"/>
          <w:szCs w:val="32"/>
          <w:lang w:val="en-US" w:eastAsia="zh-CN"/>
          <w14:textFill>
            <w14:solidFill>
              <w14:schemeClr w14:val="tx1"/>
            </w14:solidFill>
          </w14:textFill>
        </w:rPr>
        <w:t>主动公开部门办公会议8次，并全部进行图文解读。</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依申请公开情况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市农业农村局202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年共收到政府信息公开申请</w:t>
      </w:r>
      <w:r>
        <w:rPr>
          <w:rFonts w:hint="eastAsia" w:eastAsia="方正仿宋简体" w:cs="Times New Roman"/>
          <w:b/>
          <w:bCs w:val="0"/>
          <w:color w:val="000000" w:themeColor="text1"/>
          <w:sz w:val="32"/>
          <w:szCs w:val="32"/>
          <w:lang w:val="en-US" w:eastAsia="zh-CN"/>
          <w14:textFill>
            <w14:solidFill>
              <w14:schemeClr w14:val="tx1"/>
            </w14:solidFill>
          </w14:textFill>
        </w:rPr>
        <w:t>8</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件，其中网络申请</w:t>
      </w:r>
      <w:r>
        <w:rPr>
          <w:rFonts w:hint="eastAsia" w:eastAsia="方正仿宋简体" w:cs="Times New Roman"/>
          <w:b/>
          <w:bCs w:val="0"/>
          <w:color w:val="000000" w:themeColor="text1"/>
          <w:sz w:val="32"/>
          <w:szCs w:val="32"/>
          <w:lang w:val="en-US" w:eastAsia="zh-CN"/>
          <w14:textFill>
            <w14:solidFill>
              <w14:schemeClr w14:val="tx1"/>
            </w14:solidFill>
          </w14:textFill>
        </w:rPr>
        <w:t>8</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件，按时办结</w:t>
      </w:r>
      <w:r>
        <w:rPr>
          <w:rFonts w:hint="eastAsia" w:eastAsia="方正仿宋简体" w:cs="Times New Roman"/>
          <w:b/>
          <w:bCs w:val="0"/>
          <w:color w:val="000000" w:themeColor="text1"/>
          <w:sz w:val="32"/>
          <w:szCs w:val="32"/>
          <w:lang w:val="en-US" w:eastAsia="zh-CN"/>
          <w14:textFill>
            <w14:solidFill>
              <w14:schemeClr w14:val="tx1"/>
            </w14:solidFill>
          </w14:textFill>
        </w:rPr>
        <w:t>8</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件，按时办结率100%。全年未发生因政府信息公开被行政复议、提起行政诉讼情况。</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所有依申请公开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均为免费答复。</w:t>
      </w:r>
    </w:p>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rPr>
          <w:rFonts w:hint="default" w:ascii="Times New Roman" w:hAnsi="Times New Roman" w:eastAsia="方正仿宋简体" w:cs="Times New Roman"/>
          <w:b/>
          <w:bCs w:val="0"/>
          <w:color w:val="000000" w:themeColor="text1"/>
          <w:sz w:val="32"/>
          <w:szCs w:val="32"/>
          <w14:textFill>
            <w14:solidFill>
              <w14:schemeClr w14:val="tx1"/>
            </w14:solidFill>
          </w14:textFill>
        </w:rPr>
      </w:pPr>
      <w:r>
        <w:drawing>
          <wp:inline distT="0" distB="0" distL="114300" distR="114300">
            <wp:extent cx="4527550" cy="2975610"/>
            <wp:effectExtent l="4445" t="4445" r="2095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pPr>
      <w:r>
        <w:drawing>
          <wp:inline distT="0" distB="0" distL="114300" distR="114300">
            <wp:extent cx="4523105" cy="2743835"/>
            <wp:effectExtent l="4445" t="4445" r="6350" b="1397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rPr>
          <w:rFonts w:hint="default"/>
        </w:rPr>
      </w:pP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pacing w:val="-8"/>
          <w:sz w:val="32"/>
          <w:szCs w:val="32"/>
          <w:lang w:val="en-US" w:eastAsia="zh-CN"/>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政府信息管理情况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pacing w:val="-8"/>
          <w:sz w:val="32"/>
          <w:szCs w:val="32"/>
          <w:lang w:val="en-US" w:eastAsia="zh-CN"/>
          <w14:textFill>
            <w14:solidFill>
              <w14:schemeClr w14:val="tx1"/>
            </w14:solidFill>
          </w14:textFill>
        </w:rPr>
        <w:t>一是修订完善制度。及时修订完善《济宁市</w:t>
      </w:r>
      <w:r>
        <w:rPr>
          <w:rFonts w:hint="eastAsia" w:eastAsia="方正仿宋简体" w:cs="Times New Roman"/>
          <w:b/>
          <w:bCs w:val="0"/>
          <w:color w:val="000000" w:themeColor="text1"/>
          <w:spacing w:val="-8"/>
          <w:sz w:val="32"/>
          <w:szCs w:val="32"/>
          <w:lang w:val="en-US" w:eastAsia="zh-CN"/>
          <w14:textFill>
            <w14:solidFill>
              <w14:schemeClr w14:val="tx1"/>
            </w14:solidFill>
          </w14:textFill>
        </w:rPr>
        <w:t>农业农村局2023</w:t>
      </w:r>
      <w:r>
        <w:rPr>
          <w:rFonts w:hint="default" w:ascii="Times New Roman" w:hAnsi="Times New Roman" w:eastAsia="方正仿宋简体" w:cs="Times New Roman"/>
          <w:b/>
          <w:bCs w:val="0"/>
          <w:color w:val="000000" w:themeColor="text1"/>
          <w:spacing w:val="-8"/>
          <w:sz w:val="32"/>
          <w:szCs w:val="32"/>
          <w:lang w:val="en-US" w:eastAsia="zh-CN"/>
          <w14:textFill>
            <w14:solidFill>
              <w14:schemeClr w14:val="tx1"/>
            </w14:solidFill>
          </w14:textFill>
        </w:rPr>
        <w:t>年政务公开工作实施方案》，重点学习新修订的《中华人民共和国政府信息公开工作年度报告格式》，不断推动政务公开工作制度化、规范化。二是严格审查机制。在制发文件时，对文件公开属性进行明确标识，严格遵守“谁公开、谁审查，谁审查、谁负责”“先审查、后公开”和“一事一审”原则，严格履行保密审查程序，确保政府信息公开工作安全。</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政府信息公开平台建设情况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持续加强</w:t>
      </w:r>
      <w:r>
        <w:rPr>
          <w:rFonts w:hint="eastAsia" w:eastAsia="方正仿宋简体" w:cs="Times New Roman"/>
          <w:b/>
          <w:bCs w:val="0"/>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门户网站建设。不断优化调整栏目设置，根据政务公开工作最新要求及时调整栏目设置，采用</w:t>
      </w:r>
      <w:r>
        <w:rPr>
          <w:rFonts w:hint="eastAsia" w:eastAsia="方正仿宋简体" w:cs="Times New Roman"/>
          <w:b/>
          <w:bCs w:val="0"/>
          <w:color w:val="000000" w:themeColor="text1"/>
          <w:sz w:val="32"/>
          <w:szCs w:val="32"/>
          <w:lang w:eastAsia="zh-CN"/>
          <w14:textFill>
            <w14:solidFill>
              <w14:schemeClr w14:val="tx1"/>
            </w14:solidFill>
          </w14:textFill>
        </w:rPr>
        <w:t>首页两侧专栏或</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飘窗等方式进行“</w:t>
      </w:r>
      <w:r>
        <w:rPr>
          <w:rFonts w:hint="eastAsia" w:eastAsia="方正仿宋简体" w:cs="Times New Roman"/>
          <w:b/>
          <w:bCs w:val="0"/>
          <w:color w:val="000000" w:themeColor="text1"/>
          <w:sz w:val="32"/>
          <w:szCs w:val="32"/>
          <w:lang w:eastAsia="zh-CN"/>
          <w14:textFill>
            <w14:solidFill>
              <w14:schemeClr w14:val="tx1"/>
            </w14:solidFill>
          </w14:textFill>
        </w:rPr>
        <w:t>行政执法公示</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”等专题信息公开，提升搜索查询功能和无障碍浏览模式，为公众查阅提供更加便利的条件</w:t>
      </w:r>
      <w:r>
        <w:rPr>
          <w:rFonts w:hint="eastAsia"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充分发挥政务新媒体作用。统筹推进政务新媒体与政府网站的融合发展，在</w:t>
      </w:r>
      <w:r>
        <w:rPr>
          <w:rFonts w:hint="eastAsia" w:eastAsia="方正仿宋简体" w:cs="Times New Roman"/>
          <w:b/>
          <w:bCs w:val="0"/>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门户网站首页提供“济宁</w:t>
      </w:r>
      <w:r>
        <w:rPr>
          <w:rFonts w:hint="eastAsia" w:eastAsia="方正仿宋简体" w:cs="Times New Roman"/>
          <w:b/>
          <w:bCs w:val="0"/>
          <w:color w:val="000000" w:themeColor="text1"/>
          <w:sz w:val="32"/>
          <w:szCs w:val="32"/>
          <w:lang w:eastAsia="zh-CN"/>
          <w14:textFill>
            <w14:solidFill>
              <w14:schemeClr w14:val="tx1"/>
            </w14:solidFill>
          </w14:textFill>
        </w:rPr>
        <w:t>农业农村</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”微信公众号扫码关注服务。</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监督保障情况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一是配强人员力量。加强政务信息公开人才队伍建设，</w:t>
      </w:r>
      <w:r>
        <w:rPr>
          <w:rFonts w:hint="eastAsia" w:eastAsia="方正仿宋简体" w:cs="Times New Roman"/>
          <w:b/>
          <w:bCs w:val="0"/>
          <w:color w:val="000000" w:themeColor="text1"/>
          <w:sz w:val="32"/>
          <w:szCs w:val="32"/>
          <w:lang w:eastAsia="zh-CN"/>
          <w14:textFill>
            <w14:solidFill>
              <w14:schemeClr w14:val="tx1"/>
            </w14:solidFill>
          </w14:textFill>
        </w:rPr>
        <w:t>适时调整</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政务公开工作领导小组，明确责任领导和责任科室，安排专职人员负责政务公开工作，确保政务公开责任到人。二是强化信息管理。专题研究政务公开工作，</w:t>
      </w:r>
      <w:r>
        <w:rPr>
          <w:rFonts w:hint="eastAsia" w:eastAsia="方正仿宋简体" w:cs="Times New Roman"/>
          <w:b/>
          <w:bCs w:val="0"/>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主要领导、分管领导多次对政务公开工作进行部署安排。及时调整政务公开领导小组，明确责任领导和责任人，进一步完善政务公开协调运行机制。</w:t>
      </w:r>
      <w:r>
        <w:rPr>
          <w:rFonts w:hint="eastAsia" w:eastAsia="方正仿宋简体" w:cs="Times New Roman"/>
          <w:b/>
          <w:bCs w:val="0"/>
          <w:color w:val="000000" w:themeColor="text1"/>
          <w:sz w:val="32"/>
          <w:szCs w:val="32"/>
          <w:lang w:val="en-US" w:eastAsia="zh-CN"/>
          <w14:textFill>
            <w14:solidFill>
              <w14:schemeClr w14:val="tx1"/>
            </w14:solidFill>
          </w14:textFill>
        </w:rPr>
        <w:t>2023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初</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，制定了《济宁市农业农村局202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年政务公开培训计划》，并按计划进行了</w:t>
      </w:r>
      <w:r>
        <w:rPr>
          <w:rFonts w:hint="eastAsia" w:eastAsia="方正仿宋简体" w:cs="Times New Roman"/>
          <w:b/>
          <w:bCs w:val="0"/>
          <w:color w:val="000000" w:themeColor="text1"/>
          <w:sz w:val="32"/>
          <w:szCs w:val="32"/>
          <w:lang w:eastAsia="zh-CN"/>
          <w14:textFill>
            <w14:solidFill>
              <w14:schemeClr w14:val="tx1"/>
            </w14:solidFill>
          </w14:textFill>
        </w:rPr>
        <w:t>专题</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培训</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均在“中国·济宁”政府门户网站公开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600" w:lineRule="exact"/>
        <w:ind w:firstLine="642" w:firstLineChars="200"/>
        <w:rPr>
          <w:rFonts w:hint="eastAsia" w:ascii="楷体_GB2312" w:eastAsia="楷体_GB2312" w:hAnsiTheme="minorHAnsi" w:cstheme="minorBidi"/>
          <w:b/>
          <w:bCs/>
          <w:kern w:val="2"/>
          <w:sz w:val="32"/>
          <w:szCs w:val="32"/>
          <w:lang w:eastAsia="zh-CN"/>
        </w:rPr>
      </w:pPr>
      <w:r>
        <w:rPr>
          <w:rFonts w:hint="eastAsia" w:ascii="楷体_GB2312" w:eastAsia="楷体_GB2312" w:hAnsiTheme="minorHAnsi" w:cstheme="minorBidi"/>
          <w:b/>
          <w:bCs/>
          <w:kern w:val="2"/>
          <w:sz w:val="32"/>
          <w:szCs w:val="32"/>
          <w:lang w:eastAsia="zh-CN"/>
        </w:rPr>
        <w:t>二、行政机关主动公开政府信息情况。</w:t>
      </w:r>
    </w:p>
    <w:p>
      <w:pPr>
        <w:jc w:val="center"/>
        <w:rPr>
          <w:rFonts w:ascii="仿宋_GB2312" w:eastAsia="仿宋_GB2312"/>
          <w:sz w:val="28"/>
          <w:szCs w:val="28"/>
        </w:rPr>
      </w:pPr>
      <w:r>
        <w:rPr>
          <w:rFonts w:hint="eastAsia" w:ascii="仿宋_GB2312" w:eastAsia="仿宋_GB2312"/>
          <w:b/>
          <w:bCs/>
          <w:sz w:val="28"/>
          <w:szCs w:val="28"/>
        </w:rPr>
        <w:t>表1</w:t>
      </w:r>
      <w:r>
        <w:rPr>
          <w:rFonts w:hint="eastAsia" w:ascii="仿宋_GB2312" w:eastAsia="仿宋_GB2312"/>
          <w:sz w:val="28"/>
          <w:szCs w:val="28"/>
        </w:rPr>
        <w:t xml:space="preserve"> 主动公开政府信息情况</w:t>
      </w:r>
    </w:p>
    <w:tbl>
      <w:tblPr>
        <w:tblStyle w:val="2"/>
        <w:tblW w:w="5000" w:type="pct"/>
        <w:tblInd w:w="0" w:type="dxa"/>
        <w:tblLayout w:type="autofit"/>
        <w:tblCellMar>
          <w:top w:w="0" w:type="dxa"/>
          <w:left w:w="108" w:type="dxa"/>
          <w:bottom w:w="0" w:type="dxa"/>
          <w:right w:w="108" w:type="dxa"/>
        </w:tblCellMar>
      </w:tblPr>
      <w:tblGrid>
        <w:gridCol w:w="2152"/>
        <w:gridCol w:w="2152"/>
        <w:gridCol w:w="2152"/>
        <w:gridCol w:w="2152"/>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1</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numPr>
          <w:ilvl w:val="0"/>
          <w:numId w:val="0"/>
        </w:numPr>
        <w:spacing w:before="62" w:beforeLines="10" w:after="62" w:afterLines="10" w:line="600" w:lineRule="exact"/>
        <w:ind w:leftChars="200"/>
        <w:rPr>
          <w:rFonts w:hint="eastAsia" w:ascii="楷体_GB2312" w:eastAsia="楷体_GB2312" w:hAnsiTheme="minorHAnsi" w:cstheme="minorBidi"/>
          <w:b/>
          <w:bCs/>
          <w:kern w:val="2"/>
          <w:sz w:val="32"/>
          <w:szCs w:val="32"/>
          <w:lang w:eastAsia="zh-CN"/>
        </w:rPr>
      </w:pPr>
    </w:p>
    <w:p>
      <w:pPr>
        <w:numPr>
          <w:ilvl w:val="0"/>
          <w:numId w:val="0"/>
        </w:numPr>
        <w:spacing w:before="62" w:beforeLines="10" w:after="62" w:afterLines="10" w:line="600" w:lineRule="exact"/>
        <w:ind w:leftChars="200"/>
        <w:rPr>
          <w:rFonts w:hint="eastAsia" w:ascii="方正黑体简体" w:eastAsia="楷体_GB2312"/>
          <w:b/>
          <w:sz w:val="32"/>
          <w:szCs w:val="32"/>
          <w:lang w:eastAsia="zh-CN"/>
        </w:rPr>
      </w:pPr>
      <w:r>
        <w:rPr>
          <w:rFonts w:hint="eastAsia" w:ascii="楷体_GB2312" w:eastAsia="楷体_GB2312" w:hAnsiTheme="minorHAnsi" w:cstheme="minorBidi"/>
          <w:b/>
          <w:bCs/>
          <w:kern w:val="2"/>
          <w:sz w:val="32"/>
          <w:szCs w:val="32"/>
          <w:lang w:eastAsia="zh-CN"/>
        </w:rPr>
        <w:t>三、行政机关收到和处理政府信息公开申请情况。</w:t>
      </w:r>
    </w:p>
    <w:p>
      <w:pPr>
        <w:jc w:val="center"/>
        <w:rPr>
          <w:rFonts w:ascii="仿宋_GB2312" w:eastAsia="仿宋_GB2312"/>
          <w:sz w:val="28"/>
          <w:szCs w:val="28"/>
        </w:rPr>
      </w:pPr>
      <w:r>
        <w:rPr>
          <w:rFonts w:hint="eastAsia" w:ascii="仿宋_GB2312" w:eastAsia="仿宋_GB2312"/>
          <w:b/>
          <w:bCs/>
          <w:sz w:val="28"/>
          <w:szCs w:val="28"/>
        </w:rPr>
        <w:t>表2</w:t>
      </w:r>
      <w:r>
        <w:rPr>
          <w:rFonts w:ascii="仿宋_GB2312" w:eastAsia="仿宋_GB2312"/>
          <w:sz w:val="28"/>
          <w:szCs w:val="28"/>
        </w:rPr>
        <w:t xml:space="preserve"> </w:t>
      </w:r>
      <w:r>
        <w:rPr>
          <w:rFonts w:hint="eastAsia" w:ascii="仿宋_GB2312" w:eastAsia="仿宋_GB2312"/>
          <w:sz w:val="28"/>
          <w:szCs w:val="28"/>
        </w:rPr>
        <w:t>收到和处理政府信息公开申请情况</w:t>
      </w:r>
    </w:p>
    <w:tbl>
      <w:tblPr>
        <w:tblStyle w:val="2"/>
        <w:tblW w:w="94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93"/>
        <w:gridCol w:w="1668"/>
        <w:gridCol w:w="3007"/>
        <w:gridCol w:w="557"/>
        <w:gridCol w:w="538"/>
        <w:gridCol w:w="538"/>
        <w:gridCol w:w="692"/>
        <w:gridCol w:w="753"/>
        <w:gridCol w:w="593"/>
        <w:gridCol w:w="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5068" w:type="dxa"/>
            <w:gridSpan w:val="3"/>
            <w:vMerge w:val="restart"/>
            <w:shd w:val="clear" w:color="auto" w:fill="auto"/>
            <w:tcMar>
              <w:left w:w="108" w:type="dxa"/>
              <w:right w:w="108" w:type="dxa"/>
            </w:tcMar>
            <w:vAlign w:val="center"/>
          </w:tcPr>
          <w:p>
            <w:pPr>
              <w:widowControl/>
              <w:jc w:val="center"/>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351"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5068"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55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14"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680"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5068"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557" w:type="dxa"/>
            <w:vMerge w:val="continue"/>
            <w:shd w:val="clear" w:color="auto" w:fill="auto"/>
            <w:tcMar>
              <w:left w:w="108" w:type="dxa"/>
              <w:right w:w="108" w:type="dxa"/>
            </w:tcMar>
            <w:vAlign w:val="center"/>
          </w:tcPr>
          <w:p>
            <w:pPr>
              <w:jc w:val="center"/>
              <w:rPr>
                <w:rFonts w:ascii="黑体" w:hAnsi="黑体" w:eastAsia="黑体"/>
                <w:szCs w:val="21"/>
              </w:rPr>
            </w:pPr>
          </w:p>
        </w:tc>
        <w:tc>
          <w:tcPr>
            <w:tcW w:w="53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38"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692"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53"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93" w:type="dxa"/>
            <w:shd w:val="clear" w:color="auto" w:fill="auto"/>
            <w:tcMar>
              <w:left w:w="108" w:type="dxa"/>
              <w:right w:w="108" w:type="dxa"/>
            </w:tcMar>
            <w:vAlign w:val="center"/>
          </w:tcPr>
          <w:p>
            <w:pPr>
              <w:widowControl/>
              <w:spacing w:line="360" w:lineRule="exact"/>
              <w:ind w:left="-63" w:leftChars="-30" w:right="-134" w:rightChars="-64"/>
              <w:jc w:val="both"/>
              <w:rPr>
                <w:rFonts w:ascii="黑体" w:hAnsi="黑体" w:eastAsia="黑体"/>
                <w:szCs w:val="21"/>
              </w:rPr>
            </w:pPr>
            <w:r>
              <w:rPr>
                <w:rFonts w:hint="eastAsia" w:ascii="黑体" w:hAnsi="黑体" w:eastAsia="黑体"/>
                <w:kern w:val="0"/>
                <w:szCs w:val="21"/>
              </w:rPr>
              <w:t>其他</w:t>
            </w:r>
          </w:p>
        </w:tc>
        <w:tc>
          <w:tcPr>
            <w:tcW w:w="680"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5068"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5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8</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5068"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55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393" w:type="dxa"/>
            <w:vMerge w:val="restart"/>
            <w:shd w:val="clear" w:color="auto" w:fill="auto"/>
            <w:tcMar>
              <w:left w:w="108" w:type="dxa"/>
              <w:right w:w="108" w:type="dxa"/>
            </w:tcMar>
            <w:vAlign w:val="center"/>
          </w:tcPr>
          <w:p>
            <w:pPr>
              <w:widowControl/>
              <w:spacing w:after="180"/>
              <w:rPr>
                <w:rFonts w:hint="eastAsia" w:ascii="黑体" w:hAnsi="黑体" w:eastAsia="黑体"/>
                <w:kern w:val="0"/>
                <w:szCs w:val="21"/>
              </w:rPr>
            </w:pPr>
          </w:p>
          <w:p>
            <w:pPr>
              <w:widowControl/>
              <w:spacing w:after="180"/>
              <w:rPr>
                <w:rFonts w:hint="eastAsia" w:ascii="黑体" w:hAnsi="黑体" w:eastAsia="黑体"/>
                <w:kern w:val="0"/>
                <w:szCs w:val="21"/>
              </w:rPr>
            </w:pPr>
          </w:p>
          <w:p>
            <w:pPr>
              <w:widowControl/>
              <w:spacing w:after="180"/>
              <w:rPr>
                <w:rFonts w:hint="eastAsia" w:ascii="黑体" w:hAnsi="黑体" w:eastAsia="黑体"/>
                <w:kern w:val="0"/>
                <w:szCs w:val="21"/>
              </w:rPr>
            </w:pPr>
          </w:p>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5"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55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4675"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7" w:leftChars="-51"/>
              <w:textAlignment w:val="auto"/>
              <w:rPr>
                <w:rFonts w:ascii="黑体" w:hAnsi="黑体" w:eastAsia="黑体"/>
                <w:szCs w:val="21"/>
              </w:rPr>
            </w:pPr>
            <w:r>
              <w:rPr>
                <w:rFonts w:hint="eastAsia" w:ascii="黑体" w:hAnsi="黑体" w:eastAsia="黑体"/>
                <w:kern w:val="0"/>
                <w:szCs w:val="21"/>
              </w:rPr>
              <w:t>（三）不予公开</w:t>
            </w: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4"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7" w:leftChars="-51"/>
              <w:textAlignment w:val="auto"/>
              <w:rPr>
                <w:rFonts w:ascii="黑体" w:hAnsi="黑体" w:eastAsia="黑体"/>
                <w:szCs w:val="21"/>
              </w:rPr>
            </w:pPr>
            <w:r>
              <w:rPr>
                <w:rFonts w:hint="eastAsia" w:ascii="黑体" w:hAnsi="黑体" w:eastAsia="黑体"/>
                <w:kern w:val="0"/>
                <w:szCs w:val="21"/>
              </w:rPr>
              <w:t>（四）无法提供</w:t>
            </w: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楷体" w:eastAsia="仿宋_GB2312"/>
              </w:rPr>
              <w:t>1.本机关不掌握相关政府信息</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6</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2</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7"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7" w:leftChars="-51"/>
              <w:textAlignment w:val="auto"/>
              <w:rPr>
                <w:rFonts w:ascii="黑体" w:hAnsi="黑体" w:eastAsia="黑体"/>
                <w:szCs w:val="21"/>
              </w:rPr>
            </w:pPr>
            <w:r>
              <w:rPr>
                <w:rFonts w:hint="eastAsia" w:ascii="黑体" w:hAnsi="黑体" w:eastAsia="黑体"/>
                <w:kern w:val="0"/>
                <w:szCs w:val="21"/>
              </w:rPr>
              <w:t>（五）不予处理</w:t>
            </w: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0"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szCs w:val="21"/>
              </w:rPr>
            </w:pPr>
            <w:r>
              <w:rPr>
                <w:rFonts w:hint="eastAsia" w:ascii="仿宋_GB2312" w:hAnsi="黑体" w:eastAsia="仿宋_GB2312"/>
                <w:kern w:val="0"/>
                <w:szCs w:val="21"/>
              </w:rPr>
              <w:t>4</w:t>
            </w:r>
            <w:r>
              <w:rPr>
                <w:rFonts w:hint="eastAsia" w:ascii="仿宋_GB2312" w:hAnsi="楷体" w:eastAsia="仿宋_GB2312"/>
              </w:rPr>
              <w:t>.无正当理由大量反复申请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szCs w:val="21"/>
              </w:rPr>
            </w:pPr>
            <w:r>
              <w:rPr>
                <w:rFonts w:hint="eastAsia" w:ascii="仿宋_GB2312" w:hAnsi="黑体" w:eastAsia="仿宋_GB2312"/>
                <w:kern w:val="0"/>
                <w:szCs w:val="21"/>
              </w:rPr>
              <w:t>5.要求行政机关确认或重新出具已获取信息</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30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楷体" w:eastAsia="仿宋_GB2312"/>
              </w:rPr>
            </w:pPr>
            <w:bookmarkStart w:id="10" w:name="_GoBack"/>
            <w:bookmarkEnd w:id="10"/>
            <w:r>
              <w:rPr>
                <w:rFonts w:hint="eastAsia" w:ascii="仿宋_GB2312" w:hAnsi="楷体" w:eastAsia="仿宋_GB2312"/>
              </w:rPr>
              <w:t>1.申请人无正当理由逾期不补正、行政机关不再处理其政府信息公开申请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30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3007"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4675"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8</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5068"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bl>
    <w:p>
      <w:pPr>
        <w:spacing w:line="600" w:lineRule="exact"/>
        <w:ind w:firstLine="642" w:firstLineChars="200"/>
        <w:rPr>
          <w:rFonts w:hint="eastAsia" w:ascii="楷体_GB2312" w:eastAsia="楷体_GB2312" w:hAnsiTheme="minorHAnsi" w:cstheme="minorBidi"/>
          <w:b/>
          <w:bCs/>
          <w:kern w:val="2"/>
          <w:sz w:val="32"/>
          <w:szCs w:val="32"/>
          <w:lang w:eastAsia="zh-CN"/>
        </w:rPr>
      </w:pPr>
    </w:p>
    <w:p>
      <w:pPr>
        <w:spacing w:line="600" w:lineRule="exact"/>
        <w:ind w:firstLine="642" w:firstLineChars="200"/>
        <w:rPr>
          <w:rFonts w:hint="eastAsia" w:ascii="楷体_GB2312" w:eastAsia="楷体_GB2312" w:hAnsiTheme="minorHAnsi" w:cstheme="minorBidi"/>
          <w:b/>
          <w:bCs/>
          <w:kern w:val="2"/>
          <w:sz w:val="32"/>
          <w:szCs w:val="32"/>
        </w:rPr>
      </w:pPr>
      <w:r>
        <w:rPr>
          <w:rFonts w:hint="eastAsia" w:ascii="楷体_GB2312" w:eastAsia="楷体_GB2312" w:hAnsiTheme="minorHAnsi" w:cstheme="minorBidi"/>
          <w:b/>
          <w:bCs/>
          <w:kern w:val="2"/>
          <w:sz w:val="32"/>
          <w:szCs w:val="32"/>
          <w:lang w:eastAsia="zh-CN"/>
        </w:rPr>
        <w:t>四、因政府信息公开工作被申请行政复议、提起行政诉讼情况。</w:t>
      </w:r>
    </w:p>
    <w:p>
      <w:pPr>
        <w:jc w:val="center"/>
        <w:rPr>
          <w:rFonts w:hint="eastAsia" w:ascii="仿宋_GB2312" w:eastAsia="仿宋_GB2312"/>
          <w:sz w:val="28"/>
          <w:szCs w:val="28"/>
        </w:rPr>
      </w:pPr>
      <w:r>
        <w:rPr>
          <w:rFonts w:hint="eastAsia" w:ascii="仿宋_GB2312" w:eastAsia="仿宋_GB2312"/>
          <w:b/>
          <w:bCs/>
          <w:sz w:val="28"/>
          <w:szCs w:val="28"/>
        </w:rPr>
        <w:t>表3</w:t>
      </w:r>
      <w:r>
        <w:rPr>
          <w:rFonts w:ascii="仿宋_GB2312" w:eastAsia="仿宋_GB2312"/>
          <w:b/>
          <w:bCs/>
          <w:sz w:val="28"/>
          <w:szCs w:val="28"/>
        </w:rPr>
        <w:t xml:space="preserve"> </w:t>
      </w:r>
      <w:r>
        <w:rPr>
          <w:rFonts w:hint="eastAsia" w:ascii="仿宋_GB2312" w:eastAsia="仿宋_GB2312"/>
          <w:sz w:val="28"/>
          <w:szCs w:val="28"/>
        </w:rPr>
        <w:t>因政府信息公开工作被申请行政复议、提起行政诉讼情况</w:t>
      </w:r>
    </w:p>
    <w:tbl>
      <w:tblPr>
        <w:tblStyle w:val="2"/>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4" w:space="0"/>
            </w:tcBorders>
            <w:shd w:val="clear" w:color="auto" w:fill="auto"/>
            <w:tcMar>
              <w:left w:w="108" w:type="dxa"/>
              <w:right w:w="108" w:type="dxa"/>
            </w:tcMar>
            <w:vAlign w:val="center"/>
          </w:tcPr>
          <w:p>
            <w:pPr>
              <w:rPr>
                <w:rFonts w:ascii="黑体" w:hAnsi="黑体" w:eastAsia="黑体"/>
                <w:sz w:val="24"/>
              </w:rPr>
            </w:pPr>
          </w:p>
        </w:tc>
        <w:tc>
          <w:tcPr>
            <w:tcW w:w="550"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55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r>
    </w:tbl>
    <w:p>
      <w:pPr>
        <w:spacing w:line="600" w:lineRule="exact"/>
        <w:ind w:firstLine="642" w:firstLineChars="200"/>
        <w:rPr>
          <w:rFonts w:hint="default" w:ascii="楷体_GB2312" w:eastAsia="楷体_GB2312" w:hAnsiTheme="minorHAnsi" w:cstheme="minorBidi"/>
          <w:b/>
          <w:bCs/>
          <w:kern w:val="2"/>
          <w:sz w:val="32"/>
          <w:szCs w:val="32"/>
        </w:rPr>
      </w:pPr>
    </w:p>
    <w:p>
      <w:pPr>
        <w:spacing w:line="600" w:lineRule="exact"/>
        <w:ind w:firstLine="642" w:firstLineChars="200"/>
        <w:rPr>
          <w:rFonts w:hint="default" w:ascii="楷体_GB2312" w:eastAsia="楷体_GB2312" w:hAnsiTheme="minorHAnsi" w:cstheme="minorBidi"/>
          <w:b/>
          <w:bCs/>
          <w:kern w:val="2"/>
          <w:sz w:val="32"/>
          <w:szCs w:val="32"/>
        </w:rPr>
      </w:pPr>
      <w:r>
        <w:rPr>
          <w:rFonts w:hint="default" w:ascii="楷体_GB2312" w:eastAsia="楷体_GB2312" w:hAnsiTheme="minorHAnsi" w:cstheme="minorBidi"/>
          <w:b/>
          <w:bCs/>
          <w:kern w:val="2"/>
          <w:sz w:val="32"/>
          <w:szCs w:val="32"/>
        </w:rPr>
        <w:t>五、</w:t>
      </w:r>
      <w:r>
        <w:rPr>
          <w:rFonts w:hint="eastAsia" w:ascii="楷体_GB2312" w:eastAsia="楷体_GB2312"/>
          <w:b/>
          <w:bCs/>
          <w:sz w:val="32"/>
          <w:szCs w:val="32"/>
        </w:rPr>
        <w:t>政府信息公开工作存在的主要问题及改进情况。</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年，市农业农村局政务公开工作稳中有进</w:t>
      </w:r>
      <w:r>
        <w:rPr>
          <w:rFonts w:hint="eastAsia" w:eastAsia="方正仿宋简体" w:cs="Times New Roman"/>
          <w:b/>
          <w:bCs w:val="0"/>
          <w:color w:val="000000" w:themeColor="text1"/>
          <w:sz w:val="32"/>
          <w:szCs w:val="32"/>
          <w:lang w:eastAsia="zh-CN"/>
          <w14:textFill>
            <w14:solidFill>
              <w14:schemeClr w14:val="tx1"/>
            </w14:solidFill>
          </w14:textFill>
        </w:rPr>
        <w:t>，通过加强公开平台建设保障和采取多种形式解读类型等措施，有效改进了</w:t>
      </w:r>
      <w:r>
        <w:rPr>
          <w:rFonts w:hint="eastAsia" w:eastAsia="方正仿宋简体" w:cs="Times New Roman"/>
          <w:b/>
          <w:bCs w:val="0"/>
          <w:color w:val="000000" w:themeColor="text1"/>
          <w:sz w:val="32"/>
          <w:szCs w:val="32"/>
          <w:lang w:val="en-US" w:eastAsia="zh-CN"/>
          <w14:textFill>
            <w14:solidFill>
              <w14:schemeClr w14:val="tx1"/>
            </w14:solidFill>
          </w14:textFill>
        </w:rPr>
        <w:t>2022年工作存在</w:t>
      </w:r>
      <w:r>
        <w:rPr>
          <w:rFonts w:hint="eastAsia" w:eastAsia="方正仿宋简体" w:cs="Times New Roman"/>
          <w:b/>
          <w:bCs w:val="0"/>
          <w:color w:val="000000" w:themeColor="text1"/>
          <w:sz w:val="32"/>
          <w:szCs w:val="32"/>
          <w:lang w:eastAsia="zh-CN"/>
          <w14:textFill>
            <w14:solidFill>
              <w14:schemeClr w14:val="tx1"/>
            </w14:solidFill>
          </w14:textFill>
        </w:rPr>
        <w:t>问题</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eastAsia" w:eastAsia="方正仿宋简体" w:cs="Times New Roman"/>
          <w:b/>
          <w:bCs w:val="0"/>
          <w:color w:val="000000" w:themeColor="text1"/>
          <w:sz w:val="32"/>
          <w:szCs w:val="32"/>
          <w:lang w:eastAsia="zh-CN"/>
          <w14:textFill>
            <w14:solidFill>
              <w14:schemeClr w14:val="tx1"/>
            </w14:solidFill>
          </w14:textFill>
        </w:rPr>
        <w:t>通过梳理本年度政务公开工作开展情况，市农业农村局在政务公开工作中的主动公开意识有待进一步</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提高，工作</w:t>
      </w:r>
      <w:r>
        <w:rPr>
          <w:rFonts w:hint="eastAsia" w:eastAsia="方正仿宋简体" w:cs="Times New Roman"/>
          <w:b/>
          <w:bCs w:val="0"/>
          <w:color w:val="000000" w:themeColor="text1"/>
          <w:sz w:val="32"/>
          <w:szCs w:val="32"/>
          <w:lang w:eastAsia="zh-CN"/>
          <w14:textFill>
            <w14:solidFill>
              <w14:schemeClr w14:val="tx1"/>
            </w14:solidFill>
          </w14:textFill>
        </w:rPr>
        <w:t>缺乏</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前瞻性</w:t>
      </w:r>
      <w:r>
        <w:rPr>
          <w:rFonts w:hint="eastAsia"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下一步，市</w:t>
      </w:r>
      <w:r>
        <w:rPr>
          <w:rFonts w:hint="eastAsia" w:eastAsia="方正仿宋简体" w:cs="Times New Roman"/>
          <w:b/>
          <w:bCs w:val="0"/>
          <w:color w:val="000000" w:themeColor="text1"/>
          <w:sz w:val="32"/>
          <w:szCs w:val="32"/>
          <w:lang w:eastAsia="zh-CN"/>
          <w14:textFill>
            <w14:solidFill>
              <w14:schemeClr w14:val="tx1"/>
            </w14:solidFill>
          </w14:textFill>
        </w:rPr>
        <w:t>农业农村局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将紧紧围绕市委、市政府重点工作，对标对表先进地区典型经验做法，找差距、补短板，不断提升政务公开能力和水平</w:t>
      </w:r>
      <w:r>
        <w:rPr>
          <w:rFonts w:hint="eastAsia" w:eastAsia="方正仿宋简体" w:cs="Times New Roman"/>
          <w:b/>
          <w:bCs w:val="0"/>
          <w:color w:val="000000" w:themeColor="text1"/>
          <w:sz w:val="32"/>
          <w:szCs w:val="32"/>
          <w:lang w:eastAsia="zh-CN"/>
          <w14:textFill>
            <w14:solidFill>
              <w14:schemeClr w14:val="tx1"/>
            </w14:solidFill>
          </w14:textFill>
        </w:rPr>
        <w:t>，做到</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超前谋划部署，提前部署分解任务，确保高质量完成年度</w:t>
      </w:r>
      <w:r>
        <w:rPr>
          <w:rFonts w:hint="eastAsia" w:eastAsia="方正仿宋简体" w:cs="Times New Roman"/>
          <w:b/>
          <w:bCs w:val="0"/>
          <w:color w:val="000000" w:themeColor="text1"/>
          <w:sz w:val="32"/>
          <w:szCs w:val="32"/>
          <w:lang w:eastAsia="zh-CN"/>
          <w14:textFill>
            <w14:solidFill>
              <w14:schemeClr w14:val="tx1"/>
            </w14:solidFill>
          </w14:textFill>
        </w:rPr>
        <w:t>工作</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目标。</w:t>
      </w:r>
    </w:p>
    <w:p>
      <w:pPr>
        <w:spacing w:line="590" w:lineRule="exact"/>
        <w:ind w:right="-105" w:rightChars="-50" w:firstLine="642" w:firstLineChars="200"/>
        <w:rPr>
          <w:rFonts w:hint="default" w:ascii="Times New Roman" w:hAnsi="Times New Roman" w:eastAsia="方正黑体简体" w:cs="Times New Roman"/>
          <w:b/>
          <w:bCs w:val="0"/>
          <w:color w:val="000000" w:themeColor="text1"/>
          <w:sz w:val="32"/>
          <w:szCs w:val="32"/>
          <w14:textFill>
            <w14:solidFill>
              <w14:schemeClr w14:val="tx1"/>
            </w14:solidFill>
          </w14:textFill>
        </w:rPr>
      </w:pPr>
      <w:r>
        <w:rPr>
          <w:rFonts w:hint="default" w:ascii="楷体_GB2312" w:eastAsia="楷体_GB2312"/>
          <w:b/>
          <w:bCs/>
          <w:sz w:val="32"/>
          <w:szCs w:val="32"/>
        </w:rPr>
        <w:t>六、</w:t>
      </w:r>
      <w:r>
        <w:rPr>
          <w:rFonts w:hint="eastAsia" w:ascii="楷体_GB2312" w:eastAsia="楷体_GB2312"/>
          <w:b/>
          <w:bCs/>
          <w:sz w:val="32"/>
          <w:szCs w:val="32"/>
        </w:rPr>
        <w:t>其他需要报告的事项。</w:t>
      </w:r>
    </w:p>
    <w:p>
      <w:pPr>
        <w:spacing w:line="590" w:lineRule="exact"/>
        <w:ind w:right="-105" w:rightChars="-50" w:firstLine="642" w:firstLineChars="200"/>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eastAsia" w:eastAsia="方正仿宋简体" w:cs="Times New Roman"/>
          <w:b/>
          <w:bCs w:val="0"/>
          <w:color w:val="000000" w:themeColor="text1"/>
          <w:sz w:val="32"/>
          <w:szCs w:val="32"/>
          <w:lang w:val="en-US" w:eastAsia="zh-CN"/>
          <w14:textFill>
            <w14:solidFill>
              <w14:schemeClr w14:val="tx1"/>
            </w14:solidFill>
          </w14:textFill>
        </w:rPr>
        <w:t xml:space="preserve">1. </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依据《政府信息公开信息处理费管理办法》收取信息处理费的情况</w:t>
      </w:r>
      <w:r>
        <w:rPr>
          <w:rFonts w:hint="eastAsia" w:eastAsia="方正仿宋简体" w:cs="Times New Roman"/>
          <w:b/>
          <w:bCs w:val="0"/>
          <w:color w:val="000000" w:themeColor="text1"/>
          <w:sz w:val="32"/>
          <w:szCs w:val="32"/>
          <w:lang w:eastAsia="zh-CN"/>
          <w14:textFill>
            <w14:solidFill>
              <w14:schemeClr w14:val="tx1"/>
            </w14:solidFill>
          </w14:textFill>
        </w:rPr>
        <w:t>。</w:t>
      </w:r>
    </w:p>
    <w:p>
      <w:pPr>
        <w:numPr>
          <w:ilvl w:val="0"/>
          <w:numId w:val="0"/>
        </w:numPr>
        <w:spacing w:line="590" w:lineRule="exact"/>
        <w:ind w:left="630" w:leftChars="0" w:right="-105" w:rightChars="-5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年内，市农业农村局20</w:t>
      </w:r>
      <w:r>
        <w:rPr>
          <w:rFonts w:hint="eastAsia" w:eastAsia="方正仿宋简体" w:cs="Times New Roman"/>
          <w:b/>
          <w:bCs w:val="0"/>
          <w:color w:val="000000" w:themeColor="text1"/>
          <w:sz w:val="32"/>
          <w:szCs w:val="32"/>
          <w:lang w:val="en-US" w:eastAsia="zh-CN"/>
          <w14:textFill>
            <w14:solidFill>
              <w14:schemeClr w14:val="tx1"/>
            </w14:solidFill>
          </w14:textFill>
        </w:rPr>
        <w:t>23</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年度未</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收取信息处理费</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right="-105" w:rightChars="-50" w:firstLine="642"/>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落实上级年度政务公开工作要点情况</w:t>
      </w:r>
      <w:r>
        <w:rPr>
          <w:rFonts w:hint="eastAsia" w:eastAsia="方正仿宋简体" w:cs="Times New Roman"/>
          <w:b/>
          <w:bCs w:val="0"/>
          <w:color w:val="000000" w:themeColor="text1"/>
          <w:sz w:val="32"/>
          <w:szCs w:val="32"/>
          <w:lang w:eastAsia="zh-CN"/>
          <w14:textFill>
            <w14:solidFill>
              <w14:schemeClr w14:val="tx1"/>
            </w14:solidFill>
          </w14:textFill>
        </w:rPr>
        <w:t>。</w:t>
      </w:r>
    </w:p>
    <w:p>
      <w:pPr>
        <w:numPr>
          <w:ilvl w:val="0"/>
          <w:numId w:val="0"/>
        </w:numPr>
        <w:spacing w:line="590" w:lineRule="exact"/>
        <w:ind w:right="-105" w:rightChars="-50" w:firstLine="642"/>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市农业农村局严格</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按照</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市人民政府办公室关于印发202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市政务公开重点工作任务</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分解表</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的通知》要求，按照202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市政务公开重点工作任务清单，结合我单位实际制定《202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年市农业农村局政务公开工作要点</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台账</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》，并认真实施。</w:t>
      </w:r>
    </w:p>
    <w:p>
      <w:pPr>
        <w:numPr>
          <w:ilvl w:val="0"/>
          <w:numId w:val="2"/>
        </w:numPr>
        <w:spacing w:line="590" w:lineRule="exact"/>
        <w:ind w:left="0" w:leftChars="0" w:right="-105" w:rightChars="-50" w:firstLine="642" w:firstLineChars="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人大代表建议和政协提案办理结果公开情况。</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2023年，市农业农村局共承办人大代表建议38件、市政协提案25件，主要涉及土地流转土地托管、规上产品加工企业及农业重点龙头企业培育、特色农业产业培育、乡村振兴示范片区建设等方面，局承办的人大代表政协委员意见建议已全部按期办理完毕并答复，局业务科室及分管领导多次与人大代表、政协委员沟通，满意率达到100%</w:t>
      </w:r>
      <w:r>
        <w:rPr>
          <w:rFonts w:hint="default" w:ascii="Times New Roman" w:hAnsi="Times New Roman" w:eastAsia="方正仿宋简体" w:cs="Times New Roman"/>
          <w:b/>
          <w:bCs w:val="0"/>
          <w:color w:val="000000" w:themeColor="text1"/>
          <w:spacing w:val="-1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年度政务公开工作创新情况。</w:t>
      </w:r>
    </w:p>
    <w:p>
      <w:pPr>
        <w:numPr>
          <w:ilvl w:val="0"/>
          <w:numId w:val="0"/>
        </w:num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市农业农村局</w:t>
      </w:r>
      <w:r>
        <w:rPr>
          <w:rFonts w:hint="eastAsia" w:eastAsia="方正仿宋简体" w:cs="Times New Roman"/>
          <w:b/>
          <w:bCs w:val="0"/>
          <w:color w:val="000000" w:themeColor="text1"/>
          <w:sz w:val="32"/>
          <w:szCs w:val="32"/>
          <w:lang w:eastAsia="zh-CN"/>
          <w14:textFill>
            <w14:solidFill>
              <w14:schemeClr w14:val="tx1"/>
            </w14:solidFill>
          </w14:textFill>
        </w:rPr>
        <w:t>开通了“济宁农业农村”微信公众号，安排专人负责及时更新政府信息和各种形式解读政策，在官网首页发布微信公众号二维码，</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更</w:t>
      </w:r>
      <w:r>
        <w:rPr>
          <w:rFonts w:hint="eastAsia" w:eastAsia="方正仿宋简体" w:cs="Times New Roman"/>
          <w:b/>
          <w:bCs w:val="0"/>
          <w:color w:val="000000" w:themeColor="text1"/>
          <w:sz w:val="32"/>
          <w:szCs w:val="32"/>
          <w:lang w:val="en-US" w:eastAsia="zh-CN"/>
          <w14:textFill>
            <w14:solidFill>
              <w14:schemeClr w14:val="tx1"/>
            </w14:solidFill>
          </w14:textFill>
        </w:rPr>
        <w:t>加</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方便群众</w:t>
      </w:r>
      <w:r>
        <w:rPr>
          <w:rFonts w:hint="eastAsia" w:eastAsia="方正仿宋简体" w:cs="Times New Roman"/>
          <w:b/>
          <w:bCs w:val="0"/>
          <w:color w:val="000000" w:themeColor="text1"/>
          <w:sz w:val="32"/>
          <w:szCs w:val="32"/>
          <w:lang w:val="en-US" w:eastAsia="zh-CN"/>
          <w14:textFill>
            <w14:solidFill>
              <w14:schemeClr w14:val="tx1"/>
            </w14:solidFill>
          </w14:textFill>
        </w:rPr>
        <w:t>及时</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了解涉农新政策</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本行政机关政府信息公开工作年度报告数据统计需要说明的事项</w:t>
      </w:r>
      <w:r>
        <w:rPr>
          <w:rFonts w:hint="eastAsia" w:eastAsia="方正仿宋简体" w:cs="Times New Roman"/>
          <w:b/>
          <w:bCs w:val="0"/>
          <w:color w:val="000000" w:themeColor="text1"/>
          <w:sz w:val="32"/>
          <w:szCs w:val="32"/>
          <w:lang w:eastAsia="zh-CN"/>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本报告所列数据的统计期限自202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年1月1日起至202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年12月31日止。本报告电子版可在“中国·济宁”政府门户网站（http://www.jining.gov.cn/col/col61604/index.html）查阅或下载。如对本报告有疑问，请与济宁市农业农村局</w:t>
      </w:r>
      <w:r>
        <w:rPr>
          <w:rFonts w:hint="eastAsia" w:eastAsia="方正仿宋简体" w:cs="Times New Roman"/>
          <w:b/>
          <w:bCs w:val="0"/>
          <w:color w:val="000000" w:themeColor="text1"/>
          <w:sz w:val="32"/>
          <w:szCs w:val="32"/>
          <w:lang w:eastAsia="zh-CN"/>
          <w14:textFill>
            <w14:solidFill>
              <w14:schemeClr w14:val="tx1"/>
            </w14:solidFill>
          </w14:textFill>
        </w:rPr>
        <w:t>办公室</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联系（地址：济宁市太白湖新区圣贤路7号省运会指挥中心A区5楼，</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邮编：272000，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联系电话：0537—2967058 、2967258</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电子邮箱：nyjbgs@ji.shandong.cn</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本行政机关认为需要报告的其他事项</w:t>
      </w:r>
      <w:r>
        <w:rPr>
          <w:rFonts w:hint="eastAsia" w:eastAsia="方正仿宋简体" w:cs="Times New Roman"/>
          <w:b/>
          <w:bCs w:val="0"/>
          <w:color w:val="000000" w:themeColor="text1"/>
          <w:sz w:val="32"/>
          <w:szCs w:val="32"/>
          <w:lang w:eastAsia="zh-CN"/>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市农业农村局本年度</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无</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其他需要报告的事项</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其他有关文件专门要求通过政府信息公开工作年度报告予以报告的事项</w:t>
      </w:r>
      <w:r>
        <w:rPr>
          <w:rFonts w:hint="eastAsia" w:eastAsia="方正仿宋简体" w:cs="Times New Roman"/>
          <w:b/>
          <w:bCs w:val="0"/>
          <w:color w:val="000000" w:themeColor="text1"/>
          <w:sz w:val="32"/>
          <w:szCs w:val="32"/>
          <w:lang w:eastAsia="zh-CN"/>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市农业农村局</w:t>
      </w:r>
      <w:r>
        <w:rPr>
          <w:rFonts w:hint="eastAsia" w:eastAsia="方正仿宋简体" w:cs="Times New Roman"/>
          <w:b/>
          <w:bCs w:val="0"/>
          <w:color w:val="000000" w:themeColor="text1"/>
          <w:sz w:val="32"/>
          <w:szCs w:val="32"/>
          <w:lang w:val="en-US" w:eastAsia="zh-CN"/>
          <w14:textFill>
            <w14:solidFill>
              <w14:schemeClr w14:val="tx1"/>
            </w14:solidFill>
          </w14:textFill>
        </w:rPr>
        <w:t>2023年</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无其他有关文件专门要求通过政府信息公开工作年度报告予以报告的事项。</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rPr>
          <w:rFonts w:hint="default" w:ascii="Times New Roman" w:hAnsi="Times New Roman" w:cs="Times New Roman"/>
          <w:b/>
          <w:bCs w:val="0"/>
          <w:color w:val="000000" w:themeColor="text1"/>
          <w14:textFill>
            <w14:solidFill>
              <w14:schemeClr w14:val="tx1"/>
            </w14:solidFill>
          </w14:textFill>
        </w:rPr>
      </w:pPr>
    </w:p>
    <w:p/>
    <w:sectPr>
      <w:pgSz w:w="11906" w:h="16838"/>
      <w:pgMar w:top="1417" w:right="1757" w:bottom="141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A0A7D"/>
    <w:multiLevelType w:val="singleLevel"/>
    <w:tmpl w:val="F3EA0A7D"/>
    <w:lvl w:ilvl="0" w:tentative="0">
      <w:start w:val="2"/>
      <w:numFmt w:val="decimal"/>
      <w:suff w:val="space"/>
      <w:lvlText w:val="%1."/>
      <w:lvlJc w:val="left"/>
    </w:lvl>
  </w:abstractNum>
  <w:abstractNum w:abstractNumId="1">
    <w:nsid w:val="3BD97D70"/>
    <w:multiLevelType w:val="singleLevel"/>
    <w:tmpl w:val="3BD97D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DE915D"/>
    <w:rsid w:val="0F737BE5"/>
    <w:rsid w:val="13FD043D"/>
    <w:rsid w:val="15DEB7A5"/>
    <w:rsid w:val="179B8EF5"/>
    <w:rsid w:val="182F3F6D"/>
    <w:rsid w:val="1C1E92DA"/>
    <w:rsid w:val="1D7A42B6"/>
    <w:rsid w:val="2B6F09FF"/>
    <w:rsid w:val="2EFF398B"/>
    <w:rsid w:val="37ADED75"/>
    <w:rsid w:val="37BBE1CF"/>
    <w:rsid w:val="39FE94CA"/>
    <w:rsid w:val="3DD72AC7"/>
    <w:rsid w:val="3F3F596E"/>
    <w:rsid w:val="3FDE29C7"/>
    <w:rsid w:val="3FED013A"/>
    <w:rsid w:val="3FF898FE"/>
    <w:rsid w:val="46BEAA10"/>
    <w:rsid w:val="4B6A9645"/>
    <w:rsid w:val="4FD7D346"/>
    <w:rsid w:val="59FFE564"/>
    <w:rsid w:val="5E36DA49"/>
    <w:rsid w:val="5E3BC0F8"/>
    <w:rsid w:val="5E7F545C"/>
    <w:rsid w:val="5EF93BE7"/>
    <w:rsid w:val="5EFEC38E"/>
    <w:rsid w:val="5F75F214"/>
    <w:rsid w:val="5F9F32E4"/>
    <w:rsid w:val="5FEB6CFF"/>
    <w:rsid w:val="619FB427"/>
    <w:rsid w:val="63CDC6D2"/>
    <w:rsid w:val="65FB3893"/>
    <w:rsid w:val="67753DDA"/>
    <w:rsid w:val="67D7262C"/>
    <w:rsid w:val="6DFE2782"/>
    <w:rsid w:val="6FD56280"/>
    <w:rsid w:val="6FEBEF80"/>
    <w:rsid w:val="6FEF2042"/>
    <w:rsid w:val="6FF7F764"/>
    <w:rsid w:val="71EB5B68"/>
    <w:rsid w:val="73F1E98D"/>
    <w:rsid w:val="74BD7053"/>
    <w:rsid w:val="756B479B"/>
    <w:rsid w:val="75B7B7B4"/>
    <w:rsid w:val="77BF37F0"/>
    <w:rsid w:val="77DAC6A0"/>
    <w:rsid w:val="797F47C4"/>
    <w:rsid w:val="79AF4F76"/>
    <w:rsid w:val="79BD9DD8"/>
    <w:rsid w:val="7ACFC7D1"/>
    <w:rsid w:val="7AFE9483"/>
    <w:rsid w:val="7B77BC60"/>
    <w:rsid w:val="7BDB1922"/>
    <w:rsid w:val="7BDFEFE6"/>
    <w:rsid w:val="7DBBFD4B"/>
    <w:rsid w:val="7DBDD7C3"/>
    <w:rsid w:val="7DF645B9"/>
    <w:rsid w:val="7E791F2A"/>
    <w:rsid w:val="7EA7C483"/>
    <w:rsid w:val="7F239F56"/>
    <w:rsid w:val="7F2DDB49"/>
    <w:rsid w:val="7F4C1C84"/>
    <w:rsid w:val="7F771851"/>
    <w:rsid w:val="7F7FA1B6"/>
    <w:rsid w:val="7FBF1595"/>
    <w:rsid w:val="7FBF307B"/>
    <w:rsid w:val="7FFBA044"/>
    <w:rsid w:val="7FFFDABA"/>
    <w:rsid w:val="89DE81CF"/>
    <w:rsid w:val="9CFC7CC1"/>
    <w:rsid w:val="9FF9F17D"/>
    <w:rsid w:val="B6FFB9A1"/>
    <w:rsid w:val="B757BA29"/>
    <w:rsid w:val="B8D8D271"/>
    <w:rsid w:val="B8DF0230"/>
    <w:rsid w:val="BB7EF56F"/>
    <w:rsid w:val="BEF4F1A1"/>
    <w:rsid w:val="BFB32D24"/>
    <w:rsid w:val="BFF7E854"/>
    <w:rsid w:val="C9FF4E8E"/>
    <w:rsid w:val="CEFC7A6B"/>
    <w:rsid w:val="CFFBF43E"/>
    <w:rsid w:val="CFFEEC70"/>
    <w:rsid w:val="D7EE565D"/>
    <w:rsid w:val="D7FDBDE4"/>
    <w:rsid w:val="D8BDF8D4"/>
    <w:rsid w:val="DADFABE4"/>
    <w:rsid w:val="DD7FF8AB"/>
    <w:rsid w:val="DDFBDC91"/>
    <w:rsid w:val="DEA9F781"/>
    <w:rsid w:val="DEBC3AED"/>
    <w:rsid w:val="DFF35540"/>
    <w:rsid w:val="DFFF4278"/>
    <w:rsid w:val="E3F96053"/>
    <w:rsid w:val="EA9D3A88"/>
    <w:rsid w:val="EBFBEDDC"/>
    <w:rsid w:val="EBFDCA28"/>
    <w:rsid w:val="EE5F3F9E"/>
    <w:rsid w:val="EE74892E"/>
    <w:rsid w:val="EF7710CA"/>
    <w:rsid w:val="EF773EF2"/>
    <w:rsid w:val="F1E6080E"/>
    <w:rsid w:val="F35FEB87"/>
    <w:rsid w:val="F378C3F0"/>
    <w:rsid w:val="F3A44347"/>
    <w:rsid w:val="F5FD1462"/>
    <w:rsid w:val="F75BAEBE"/>
    <w:rsid w:val="F95C173D"/>
    <w:rsid w:val="FA7D82FE"/>
    <w:rsid w:val="FADE915D"/>
    <w:rsid w:val="FB6F0257"/>
    <w:rsid w:val="FBE540FA"/>
    <w:rsid w:val="FBFFA1B2"/>
    <w:rsid w:val="FCFC8287"/>
    <w:rsid w:val="FD7F885A"/>
    <w:rsid w:val="FDBBFCD4"/>
    <w:rsid w:val="FDFA4A7D"/>
    <w:rsid w:val="FE7E86BD"/>
    <w:rsid w:val="FEFFED21"/>
    <w:rsid w:val="FF7B6528"/>
    <w:rsid w:val="FFDBF7EF"/>
    <w:rsid w:val="FFE76F15"/>
    <w:rsid w:val="FFF48BE4"/>
    <w:rsid w:val="FFF5C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6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r>
              <a:rPr sz="160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rPr>
              <a:t>2023年依申请公开涉及范围</a:t>
            </a:r>
            <a:endParaRPr sz="160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endParaRP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Pt>
            <c:idx val="2"/>
            <c:bubble3D val="false"/>
            <c:spPr>
              <a:solidFill>
                <a:schemeClr val="accent3"/>
              </a:solidFill>
              <a:ln>
                <a:noFill/>
              </a:ln>
              <a:effectLst>
                <a:outerShdw blurRad="254000" sx="102000" sy="102000" algn="ctr" rotWithShape="0">
                  <a:prstClr val="black">
                    <a:alpha val="20000"/>
                  </a:prstClr>
                </a:outerShdw>
              </a:effectLst>
            </c:spPr>
          </c:dPt>
          <c:dPt>
            <c:idx val="3"/>
            <c:bubble3D val="false"/>
            <c:spPr>
              <a:solidFill>
                <a:schemeClr val="accent4"/>
              </a:solidFill>
              <a:ln>
                <a:noFill/>
              </a:ln>
              <a:effectLst>
                <a:outerShdw blurRad="254000" sx="102000" sy="102000" algn="ctr" rotWithShape="0">
                  <a:prstClr val="black">
                    <a:alpha val="20000"/>
                  </a:prstClr>
                </a:outerShdw>
              </a:effectLst>
            </c:spPr>
          </c:dPt>
          <c:dPt>
            <c:idx val="4"/>
            <c:bubble3D val="false"/>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[工作簿1]Sheet1!$A$1:$A$5</c:f>
              <c:strCache>
                <c:ptCount val="5"/>
                <c:pt idx="0">
                  <c:v>植保</c:v>
                </c:pt>
                <c:pt idx="1">
                  <c:v>土地流转</c:v>
                </c:pt>
                <c:pt idx="2">
                  <c:v>土地确权</c:v>
                </c:pt>
                <c:pt idx="3">
                  <c:v>高标准农田建设</c:v>
                </c:pt>
                <c:pt idx="4">
                  <c:v>种业</c:v>
                </c:pt>
              </c:strCache>
            </c:strRef>
          </c:cat>
          <c:val>
            <c:numRef>
              <c:f>[工作簿1]Sheet1!$B$1:$B$5</c:f>
              <c:numCache>
                <c:formatCode>General</c:formatCode>
                <c:ptCount val="5"/>
                <c:pt idx="0">
                  <c:v>1</c:v>
                </c:pt>
                <c:pt idx="1">
                  <c:v>3</c:v>
                </c:pt>
                <c:pt idx="2">
                  <c:v>2</c:v>
                </c:pt>
                <c:pt idx="3">
                  <c:v>1</c:v>
                </c:pt>
                <c:pt idx="4">
                  <c:v>1</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egendEntry>
        <c:idx val="0"/>
        <c:txPr>
          <a:bodyPr rot="0" spcFirstLastPara="0" vertOverflow="ellipsis" vert="horz" wrap="square" anchor="ctr" anchorCtr="true"/>
          <a:lstStyle/>
          <a:p>
            <a:pPr>
              <a:defRPr lang="zh-CN" sz="10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legendEntry>
      <c:legendEntry>
        <c:idx val="1"/>
        <c:txPr>
          <a:bodyPr rot="0" spcFirstLastPara="0" vertOverflow="ellipsis" vert="horz" wrap="square" anchor="ctr" anchorCtr="true"/>
          <a:lstStyle/>
          <a:p>
            <a:pPr>
              <a:defRPr lang="zh-CN" sz="10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legendEntry>
      <c:legendEntry>
        <c:idx val="2"/>
        <c:txPr>
          <a:bodyPr rot="0" spcFirstLastPara="0" vertOverflow="ellipsis" vert="horz" wrap="square" anchor="ctr" anchorCtr="true"/>
          <a:lstStyle/>
          <a:p>
            <a:pPr>
              <a:defRPr lang="zh-CN" sz="10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legendEntry>
      <c:legendEntry>
        <c:idx val="3"/>
        <c:txPr>
          <a:bodyPr rot="0" spcFirstLastPara="0" vertOverflow="ellipsis" vert="horz" wrap="square" anchor="ctr" anchorCtr="true"/>
          <a:lstStyle/>
          <a:p>
            <a:pPr>
              <a:defRPr lang="zh-CN" sz="10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legendEntry>
      <c:legendEntry>
        <c:idx val="4"/>
        <c:txPr>
          <a:bodyPr rot="0" spcFirstLastPara="0" vertOverflow="ellipsis" vert="horz" wrap="square" anchor="ctr" anchorCtr="true"/>
          <a:lstStyle/>
          <a:p>
            <a:pPr>
              <a:defRPr lang="zh-CN" sz="10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legendEntry>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1000" b="1"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solidFill>
                  <a:sysClr val="windowText" lastClr="000000"/>
                </a:solidFill>
                <a:latin typeface="方正黑体简体" panose="02010601030101010101" charset="-122"/>
                <a:ea typeface="方正黑体简体" panose="02010601030101010101" charset="-122"/>
                <a:cs typeface="方正黑体简体" panose="02010601030101010101" charset="-122"/>
              </a:rPr>
              <a:t>2020-2023</a:t>
            </a:r>
            <a:r>
              <a:rPr altLang="en-US" b="1">
                <a:solidFill>
                  <a:sysClr val="windowText" lastClr="000000"/>
                </a:solidFill>
                <a:latin typeface="方正黑体简体" panose="02010601030101010101" charset="-122"/>
                <a:ea typeface="方正黑体简体" panose="02010601030101010101" charset="-122"/>
                <a:cs typeface="方正黑体简体" panose="02010601030101010101" charset="-122"/>
              </a:rPr>
              <a:t>年依申请公开数量（件）</a:t>
            </a:r>
            <a:endParaRPr altLang="en-US" b="1">
              <a:solidFill>
                <a:sysClr val="windowText" lastClr="000000"/>
              </a:solidFill>
              <a:latin typeface="方正黑体简体" panose="02010601030101010101" charset="-122"/>
              <a:ea typeface="方正黑体简体" panose="02010601030101010101" charset="-122"/>
              <a:cs typeface="方正黑体简体" panose="02010601030101010101" charset="-122"/>
            </a:endParaRPr>
          </a:p>
        </c:rich>
      </c:tx>
      <c:layout/>
      <c:overlay val="false"/>
      <c:spPr>
        <a:noFill/>
        <a:ln>
          <a:noFill/>
        </a:ln>
        <a:effectLst/>
      </c:spPr>
    </c:title>
    <c:autoTitleDeleted val="false"/>
    <c:plotArea>
      <c:layout/>
      <c:barChart>
        <c:barDir val="col"/>
        <c:grouping val="clustered"/>
        <c:varyColors val="false"/>
        <c:ser>
          <c:idx val="0"/>
          <c:order val="0"/>
          <c:spPr>
            <a:gradFill>
              <a:gsLst>
                <a:gs pos="0">
                  <a:srgbClr val="007BD3"/>
                </a:gs>
                <a:gs pos="100000">
                  <a:srgbClr val="034373"/>
                </a:gs>
              </a:gsLst>
              <a:path path="circle"/>
            </a:gradFill>
            <a:ln>
              <a:noFill/>
            </a:ln>
            <a:effectLst/>
          </c:spPr>
          <c:invertIfNegative val="false"/>
          <c:dLbls>
            <c:delete val="true"/>
          </c:dLbls>
          <c:cat>
            <c:strRef>
              <c:f>[工作簿1]Sheet1!$A$1:$A$4</c:f>
              <c:strCache>
                <c:ptCount val="4"/>
                <c:pt idx="0">
                  <c:v>2020年</c:v>
                </c:pt>
                <c:pt idx="1">
                  <c:v>2021年</c:v>
                </c:pt>
                <c:pt idx="2">
                  <c:v>2022年</c:v>
                </c:pt>
                <c:pt idx="3">
                  <c:v>2023年</c:v>
                </c:pt>
              </c:strCache>
            </c:strRef>
          </c:cat>
          <c:val>
            <c:numRef>
              <c:f>[工作簿1]Sheet1!$B$1:$B$4</c:f>
              <c:numCache>
                <c:formatCode>General</c:formatCode>
                <c:ptCount val="4"/>
                <c:pt idx="0">
                  <c:v>3</c:v>
                </c:pt>
                <c:pt idx="1">
                  <c:v>3</c:v>
                </c:pt>
                <c:pt idx="2">
                  <c:v>9</c:v>
                </c:pt>
                <c:pt idx="3">
                  <c:v>8</c:v>
                </c:pt>
              </c:numCache>
            </c:numRef>
          </c:val>
        </c:ser>
        <c:dLbls>
          <c:showLegendKey val="false"/>
          <c:showVal val="false"/>
          <c:showCatName val="false"/>
          <c:showSerName val="false"/>
          <c:showPercent val="false"/>
          <c:showBubbleSize val="false"/>
        </c:dLbls>
        <c:gapWidth val="219"/>
        <c:overlap val="-27"/>
        <c:axId val="496628915"/>
        <c:axId val="58347102"/>
      </c:barChart>
      <c:catAx>
        <c:axId val="49662891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方正黑体简体" panose="02010601030101010101" charset="-122"/>
                <a:ea typeface="方正黑体简体" panose="02010601030101010101" charset="-122"/>
                <a:cs typeface="方正黑体简体" panose="02010601030101010101" charset="-122"/>
                <a:sym typeface="方正黑体简体" panose="02010601030101010101" charset="-122"/>
              </a:defRPr>
            </a:pPr>
          </a:p>
        </c:txPr>
        <c:crossAx val="58347102"/>
        <c:crosses val="autoZero"/>
        <c:auto val="true"/>
        <c:lblAlgn val="ctr"/>
        <c:lblOffset val="100"/>
        <c:noMultiLvlLbl val="false"/>
      </c:catAx>
      <c:valAx>
        <c:axId val="5834710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96628915"/>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3391</Words>
  <Characters>3650</Characters>
  <Lines>0</Lines>
  <Paragraphs>0</Paragraphs>
  <TotalTime>1110</TotalTime>
  <ScaleCrop>false</ScaleCrop>
  <LinksUpToDate>false</LinksUpToDate>
  <CharactersWithSpaces>3670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2024-01-20T02:42:00Z</dcterms:created>
  <dc:creator>thtf</dc:creator>
  <cp:lastModifiedBy>thtf</cp:lastModifiedBy>
  <dcterms:modified xsi:type="dcterms:W3CDTF">2024-01-24T13:10:06Z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