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jc w:val="center"/>
        <w:rPr>
          <w:rFonts w:hint="eastAsia" w:ascii="方正小标宋简体" w:eastAsia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/>
        <w:jc w:val="center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济宁市地方金融监督管理局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</w:t>
      </w:r>
    </w:p>
    <w:p>
      <w:pPr>
        <w:spacing w:line="590" w:lineRule="exact"/>
        <w:ind w:right="-100" w:rightChars="-50"/>
        <w:jc w:val="center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公开工作年度报告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本报告根据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《中华人民共和国政府信息公开条例》（以下简称《条例》）和《中华人民共和国政府信息公开工作年度报告格式》（国办公开办函〔2021〕30号）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及省、市政府信息公开工作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编制。报告由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总体情况、主动公开政府信息情况、收到和处理政府信息公开申请情况、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因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工作被申请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行政复议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和提起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行政诉讼情况、存在的主要问题及改进情况、其他需要报告的事项六部分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组成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。本报告所列数据的统计期限自202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年12月31日止。本报告电子版可在“中国·济宁”政府门户网站（http://www.jining.gov.cn/）查阅或下载。如对本报告有疑问，请与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济宁市地方金融监督管理局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山东省济宁市太白湖新区省运会指挥中心A-0565室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，联系电话：0537-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2967171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一、总体情况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地方金融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监督管理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认真贯彻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《条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例》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省市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关于政务公开的安排部署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全面推进决策、执行、管理、服务、结果五公开，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围绕金融服务高质量发展，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不断拓展公开内容，创新公开形式，完善公开制度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，扎实推进政务公开工作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（一）完善政府信息</w:t>
      </w: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主动</w:t>
      </w: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公开</w:t>
      </w:r>
    </w:p>
    <w:p>
      <w:pPr>
        <w:spacing w:line="590" w:lineRule="exact"/>
        <w:ind w:right="-100" w:rightChars="-50" w:firstLine="643" w:firstLineChars="200"/>
        <w:rPr>
          <w:rFonts w:hint="default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以政府信息公开为抓手，常规性工作定期公开，临时性工作随时公开，固定性工作长期公开。公布规范性文件清理情况，及时更新《济宁市“十四五”金融业发展规划》等重大政策执行效果评估；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按要求公开202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年决算及202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年预算情况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；围绕全局中心工作，全面公开、精准解读相关政策措施，采用主要负责人解读、媒体解读等多种形式进行全方位解读，不断提升解读质量和水平。高度重视新媒体在政务公开领域应用，</w:t>
      </w:r>
      <w:r>
        <w:rPr>
          <w:rFonts w:hint="default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全年门户网站发布信息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566</w:t>
      </w:r>
      <w:r>
        <w:rPr>
          <w:rFonts w:hint="default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条，其中概况类信息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513</w:t>
      </w:r>
      <w:r>
        <w:rPr>
          <w:rFonts w:hint="default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条，政务动态信息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65</w:t>
      </w:r>
      <w:r>
        <w:rPr>
          <w:rFonts w:hint="default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条，信息公开目录信息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53</w:t>
      </w:r>
      <w:r>
        <w:rPr>
          <w:rFonts w:hint="default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条；“济宁地方金融监管”微信公众号共发布信息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154</w:t>
      </w:r>
      <w:r>
        <w:rPr>
          <w:rFonts w:hint="default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00" w:rightChars="-50"/>
        <w:jc w:val="center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yellow"/>
          <w:lang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486400" cy="3561715"/>
            <wp:effectExtent l="4445" t="4445" r="14605" b="15240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依法规范依申请公开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完善依申请公开办理流程，明确办理规则，提高答复效率。畅通线上、线下申请渠道，完善申请登记、审核、办理、答复归档等办理制度，严格按照规定格式规范答复文书予以书面答复。202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年，市地方金融监管局通过山东政务服务网收到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件依申请公开，已按要求进行答复，无上年度结转办件。</w:t>
      </w:r>
    </w:p>
    <w:p>
      <w:pPr>
        <w:spacing w:line="590" w:lineRule="exact"/>
        <w:ind w:right="-100" w:rightChars="-50" w:firstLine="400" w:firstLineChars="200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598805</wp:posOffset>
            </wp:positionH>
            <wp:positionV relativeFrom="page">
              <wp:posOffset>6713220</wp:posOffset>
            </wp:positionV>
            <wp:extent cx="4314190" cy="2526030"/>
            <wp:effectExtent l="4445" t="4445" r="5715" b="22225"/>
            <wp:wrapTopAndBottom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589915</wp:posOffset>
            </wp:positionH>
            <wp:positionV relativeFrom="page">
              <wp:posOffset>3691255</wp:posOffset>
            </wp:positionV>
            <wp:extent cx="4340860" cy="2490470"/>
            <wp:effectExtent l="4445" t="4445" r="17145" b="19685"/>
            <wp:wrapTopAndBottom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深入推进政府信息规范化管理</w:t>
      </w:r>
    </w:p>
    <w:p>
      <w:pPr>
        <w:spacing w:line="590" w:lineRule="exact"/>
        <w:ind w:right="-100" w:rightChars="-50" w:firstLine="643" w:firstLineChars="200"/>
        <w:rPr>
          <w:rFonts w:hint="default"/>
          <w:highlight w:val="none"/>
          <w:lang w:val="en-US" w:eastAsia="zh-CN"/>
        </w:rPr>
      </w:pP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遵循“谁制作、谁审查、谁负责”的原则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val="en-US" w:eastAsia="zh-CN"/>
        </w:rPr>
        <w:t>，</w:t>
      </w:r>
      <w:r>
        <w:rPr>
          <w:rFonts w:hint="eastAsia" w:eastAsia="仿宋" w:cs="Times New Roman"/>
          <w:b/>
          <w:sz w:val="32"/>
          <w:szCs w:val="32"/>
          <w:highlight w:val="none"/>
          <w:lang w:val="en-US" w:eastAsia="zh-CN"/>
        </w:rPr>
        <w:t>对主动公开或依申请公开的政府信息进行保密审查时，由科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val="en-US" w:eastAsia="zh-CN"/>
        </w:rPr>
        <w:t>室负责人</w:t>
      </w:r>
      <w:r>
        <w:rPr>
          <w:rFonts w:hint="eastAsia" w:eastAsia="仿宋" w:cs="Times New Roman"/>
          <w:b/>
          <w:sz w:val="32"/>
          <w:szCs w:val="32"/>
          <w:highlight w:val="none"/>
          <w:lang w:val="en-US" w:eastAsia="zh-CN"/>
        </w:rPr>
        <w:t>初审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val="en-US" w:eastAsia="zh-CN"/>
        </w:rPr>
        <w:t>、分管领导</w:t>
      </w:r>
      <w:r>
        <w:rPr>
          <w:rFonts w:hint="eastAsia" w:eastAsia="仿宋" w:cs="Times New Roman"/>
          <w:b/>
          <w:sz w:val="32"/>
          <w:szCs w:val="32"/>
          <w:highlight w:val="none"/>
          <w:lang w:val="en-US" w:eastAsia="zh-CN"/>
        </w:rPr>
        <w:t>复核</w:t>
      </w:r>
      <w:r>
        <w:rPr>
          <w:rFonts w:hint="default" w:ascii="Times New Roman" w:hAnsi="Times New Roman" w:eastAsia="仿宋" w:cs="Times New Roman"/>
          <w:b/>
          <w:sz w:val="32"/>
          <w:szCs w:val="32"/>
          <w:highlight w:val="none"/>
          <w:lang w:val="en-US" w:eastAsia="zh-CN"/>
        </w:rPr>
        <w:t>、主要领导</w:t>
      </w:r>
      <w:r>
        <w:rPr>
          <w:rFonts w:hint="eastAsia" w:eastAsia="仿宋" w:cs="Times New Roman"/>
          <w:b/>
          <w:sz w:val="32"/>
          <w:szCs w:val="32"/>
          <w:highlight w:val="none"/>
          <w:lang w:val="en-US" w:eastAsia="zh-CN"/>
        </w:rPr>
        <w:t>审定后发布，对政府信息不能确定是否可以公开时，依照有关法律、法规和国家有关规定报保密行政管理部门确定</w:t>
      </w:r>
      <w:r>
        <w:rPr>
          <w:rFonts w:hint="default" w:eastAsia="仿宋" w:cs="Times New Roman"/>
          <w:b/>
          <w:sz w:val="32"/>
          <w:szCs w:val="32"/>
          <w:highlight w:val="none"/>
          <w:lang w:val="en-US" w:eastAsia="zh-CN"/>
        </w:rPr>
        <w:t>。</w:t>
      </w:r>
      <w:r>
        <w:rPr>
          <w:rFonts w:hint="eastAsia" w:eastAsia="仿宋" w:cs="Times New Roman"/>
          <w:b/>
          <w:sz w:val="32"/>
          <w:szCs w:val="32"/>
          <w:highlight w:val="none"/>
          <w:lang w:val="en-US" w:eastAsia="zh-CN"/>
        </w:rPr>
        <w:t>按要求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开展规范性文件清理工作，截至202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年12月31日，市地方金融监管局在有效期内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规范性文件共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，已超期、废止的规范性文件均已清理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90" w:lineRule="exact"/>
        <w:ind w:right="-100" w:rightChars="-50" w:firstLine="643" w:firstLineChars="200"/>
        <w:rPr>
          <w:rFonts w:hint="eastAsia" w:eastAsia="方正楷体简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eastAsia="方正楷体简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丰富</w:t>
      </w: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eastAsia="方正楷体简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渠道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利用网站、微信公众号等多种平台载体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第一时间发布中央、省、市有关金融要闻、重要政策文件、重点金融数据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等政务信息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围绕省市重点惠企政策，开辟专门栏目链接至山东惠企服务平台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积极宣传金融惠企政策，不断优化金融服务。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强化政府信息公开教育及监督保障</w:t>
      </w:r>
    </w:p>
    <w:p>
      <w:pPr>
        <w:spacing w:line="590" w:lineRule="exact"/>
        <w:ind w:right="-100" w:rightChars="-50" w:firstLine="643" w:firstLineChars="200"/>
        <w:rPr>
          <w:rFonts w:hint="default"/>
          <w:highlight w:val="none"/>
          <w:lang w:val="en-US" w:eastAsia="zh-CN"/>
        </w:rPr>
      </w:pP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政府门户网站</w:t>
      </w:r>
      <w:r>
        <w:rPr>
          <w:rFonts w:hint="default" w:ascii="Times New Roman" w:hAnsi="Times New Roman" w:eastAsia="仿宋" w:cs="Times New Roman"/>
          <w:b/>
          <w:bCs/>
          <w:color w:val="000000"/>
          <w:kern w:val="2"/>
          <w:sz w:val="32"/>
          <w:szCs w:val="32"/>
          <w:lang w:val="en-US" w:eastAsia="zh-CN" w:bidi="ar"/>
        </w:rPr>
        <w:t>坚持专人管理、专人负责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，以内容建设为立足点，增强政府信息公开的规范性、准确性、时效性。组织召开政务公开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会议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，围绕政府信息公开、政府网站与政务新媒体三大专题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进行培训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，进一步提高了信息公开工作人员的业务水平。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6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三、收到和处理政府信息公开申请情况</w:t>
      </w:r>
    </w:p>
    <w:tbl>
      <w:tblPr>
        <w:tblStyle w:val="6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四、政府信息公开行政复议、行政诉讼情况</w:t>
      </w:r>
    </w:p>
    <w:tbl>
      <w:tblPr>
        <w:tblStyle w:val="6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  <w:highlight w:val="none"/>
        </w:rPr>
        <w:t>五、存在的主要问题及改进情况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市地方金融监管局政务公开存在的主要问题如下：</w:t>
      </w:r>
    </w:p>
    <w:p>
      <w:pPr>
        <w:spacing w:line="590" w:lineRule="exact"/>
        <w:ind w:right="-100" w:rightChars="-50" w:firstLine="643" w:firstLineChars="200"/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政务公开工作的系统性、规范性体现不够明显；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相关业务培训</w:t>
      </w: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力度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不足，从事政务公开相关工作人员能力水平有待进一步提高；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（</w:t>
      </w: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）</w:t>
      </w: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政策解读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不</w:t>
      </w: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够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全面丰富，政府信息公开的宣传力度</w:t>
      </w: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需要加强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；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针对存在的问题，将采取以下工作措施加以改进：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一是持续加强制度建设。进一步规范完善政务公开有关工作制度，使政务公开工作有据可依、有章可循，建立健全预先审查制度，把能否公开、怎样公开、在什么范围公开等作为必须审核内容。二是强化信息公开队伍建设。加强业务知识培训，切实提高工作人员专业能力素养，针对工作中的短板弱项，有针对性地组织专题学习，不断夯实公开工作基础。三是提升政策解读质量。聚焦贯彻落实党中央重大决策部署和社会民生关切，丰富政策解读形式，通过线上、线下相结合的方式，运用文字、图片、视频等形式加强政策宣传和解读，切实增强政策的可读性、知晓度和影响力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  <w:highlight w:val="none"/>
        </w:rPr>
        <w:t>六、其他需要报告的事项</w:t>
      </w:r>
    </w:p>
    <w:p>
      <w:pPr>
        <w:spacing w:line="590" w:lineRule="exact"/>
        <w:ind w:right="-100" w:rightChars="-50" w:firstLine="643" w:firstLineChars="200"/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  <w:t>（一）</w:t>
      </w:r>
      <w:r>
        <w:rPr>
          <w:rFonts w:hint="eastAsia" w:eastAsia="方正仿宋简体" w:cs="Times New Roman"/>
          <w:b/>
          <w:sz w:val="32"/>
          <w:szCs w:val="32"/>
          <w:highlight w:val="none"/>
          <w:lang w:eastAsia="zh-CN"/>
        </w:rPr>
        <w:t>依据《政府信息公开信息处理费管理办法》，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市地方金融监管局无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  <w:t>收取信息处理费的情况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eastAsia="zh-CN"/>
        </w:rPr>
        <w:t>。</w:t>
      </w:r>
    </w:p>
    <w:p>
      <w:pPr>
        <w:spacing w:line="590" w:lineRule="exact"/>
        <w:ind w:right="-100" w:rightChars="-50" w:firstLine="643" w:firstLineChars="200"/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 w:cs="Times New Roman"/>
          <w:b/>
          <w:sz w:val="32"/>
          <w:szCs w:val="32"/>
          <w:highlight w:val="none"/>
          <w:lang w:eastAsia="zh-CN"/>
        </w:rPr>
        <w:t>（二）严格按照市地方金融监管局</w:t>
      </w: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2023年政务公开工作实施方案要求，统筹推进政务公开、政府信息公开和规范运行，积极适应新形势和政府信息公开新要求，严格按照政府信息公开相关要求，加强工作推进落实，做到信息公开数量充足、栏目齐全、更新及时。</w:t>
      </w:r>
    </w:p>
    <w:p>
      <w:pPr>
        <w:spacing w:line="590" w:lineRule="exact"/>
        <w:ind w:right="-100" w:rightChars="-50" w:firstLine="643" w:firstLineChars="200"/>
        <w:rPr>
          <w:rFonts w:hint="default"/>
          <w:highlight w:val="yellow"/>
        </w:rPr>
      </w:pPr>
      <w:r>
        <w:rPr>
          <w:rFonts w:hint="eastAsia" w:eastAsia="方正仿宋简体" w:cs="Times New Roman"/>
          <w:b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628650</wp:posOffset>
            </wp:positionH>
            <wp:positionV relativeFrom="page">
              <wp:posOffset>5601970</wp:posOffset>
            </wp:positionV>
            <wp:extent cx="4572000" cy="2743200"/>
            <wp:effectExtent l="4445" t="4445" r="14605" b="14605"/>
            <wp:wrapTopAndBottom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hint="eastAsia" w:eastAsia="方正仿宋简体" w:cs="Times New Roman"/>
          <w:b/>
          <w:sz w:val="32"/>
          <w:szCs w:val="32"/>
          <w:highlight w:val="none"/>
          <w:lang w:eastAsia="zh-CN"/>
        </w:rPr>
        <w:t>（三）</w:t>
      </w:r>
      <w:r>
        <w:rPr>
          <w:rFonts w:hint="default" w:eastAsia="方正仿宋简体" w:cs="Times New Roman"/>
          <w:b/>
          <w:sz w:val="32"/>
          <w:szCs w:val="32"/>
          <w:highlight w:val="none"/>
          <w:lang w:eastAsia="zh-CN"/>
        </w:rPr>
        <w:t>202</w:t>
      </w: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3</w:t>
      </w:r>
      <w:r>
        <w:rPr>
          <w:rFonts w:hint="default" w:eastAsia="方正仿宋简体" w:cs="Times New Roman"/>
          <w:b/>
          <w:sz w:val="32"/>
          <w:szCs w:val="32"/>
          <w:highlight w:val="none"/>
          <w:lang w:eastAsia="zh-CN"/>
        </w:rPr>
        <w:t>年，</w:t>
      </w:r>
      <w:r>
        <w:rPr>
          <w:rFonts w:hint="default" w:eastAsia="方正仿宋简体" w:cs="Times New Roman"/>
          <w:b/>
          <w:sz w:val="32"/>
          <w:szCs w:val="32"/>
          <w:highlight w:val="none"/>
          <w:lang w:val="en-US" w:eastAsia="zh-CN"/>
        </w:rPr>
        <w:t>市地方金融监管局共承办市级人大代表建议、政协提案</w:t>
      </w: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21</w:t>
      </w:r>
      <w:r>
        <w:rPr>
          <w:rFonts w:hint="default" w:eastAsia="方正仿宋简体" w:cs="Times New Roman"/>
          <w:b/>
          <w:sz w:val="32"/>
          <w:szCs w:val="32"/>
          <w:highlight w:val="none"/>
          <w:lang w:val="en-US" w:eastAsia="zh-CN"/>
        </w:rPr>
        <w:t>件，其中建议</w:t>
      </w: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7</w:t>
      </w:r>
      <w:r>
        <w:rPr>
          <w:rFonts w:hint="default" w:eastAsia="方正仿宋简体" w:cs="Times New Roman"/>
          <w:b/>
          <w:sz w:val="32"/>
          <w:szCs w:val="32"/>
          <w:highlight w:val="none"/>
          <w:lang w:val="en-US" w:eastAsia="zh-CN"/>
        </w:rPr>
        <w:t>件、提案</w:t>
      </w: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14</w:t>
      </w:r>
      <w:r>
        <w:rPr>
          <w:rFonts w:hint="default" w:eastAsia="方正仿宋简体" w:cs="Times New Roman"/>
          <w:b/>
          <w:sz w:val="32"/>
          <w:szCs w:val="32"/>
          <w:highlight w:val="none"/>
          <w:lang w:val="en-US" w:eastAsia="zh-CN"/>
        </w:rPr>
        <w:t>件，目前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已所提问题均已解决，代表委员满意率均为100%。提案建议内容涉及金融支持实体经济、优化营商环境、落实助企纾困政策等方面。代表委员针对我单位职能提出意见建议共计38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条，其中，已经落实办理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条，纳入计划办理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highlight w:val="none"/>
          <w:lang w:val="en-US" w:eastAsia="zh-CN"/>
        </w:rPr>
        <w:t>条</w:t>
      </w:r>
      <w:r>
        <w:rPr>
          <w:rFonts w:hint="eastAsia" w:eastAsia="方正仿宋简体" w:cs="Times New Roman"/>
          <w:b/>
          <w:sz w:val="32"/>
          <w:szCs w:val="32"/>
          <w:highlight w:val="none"/>
          <w:lang w:val="en-US"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A8B9E2C-A03A-4940-8473-326FF8C6BF53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75DA05C-C963-49CA-A7A9-67A0F50462C0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083E589-9DA6-4EBB-9FC8-AB2EBA02D4CA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2864101-16BC-41BD-93D0-643ED5CED8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D0FC638-FCBA-4B41-AD0A-A4B00C1B23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2449195</wp:posOffset>
              </wp:positionH>
              <wp:positionV relativeFrom="paragraph">
                <wp:posOffset>-243840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85pt;margin-top:-19.2pt;height:144pt;width:144pt;mso-position-horizontal-relative:margin;mso-wrap-style:none;z-index:251661312;mso-width-relative:page;mso-height-relative:page;" filled="f" stroked="f" coordsize="21600,21600" o:gfxdata="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VuO1PZAAAACwEAAA8AAAAAAAAAAQAgAAAAIgAAAGRycy9kb3ducmV2Lnht&#10;bFBLAQIUABQAAAAIAIdO4kAwiRJe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ZDliMDdiYzE3MDgyNDY1OTJkNjZhODg2NTExY2MifQ=="/>
    <w:docVar w:name="KSO_WPS_MARK_KEY" w:val="22a16210-cd38-49a8-a7e7-5cd2f96c174f"/>
  </w:docVars>
  <w:rsids>
    <w:rsidRoot w:val="00000000"/>
    <w:rsid w:val="01E220AF"/>
    <w:rsid w:val="03321D76"/>
    <w:rsid w:val="08B118B8"/>
    <w:rsid w:val="0956560F"/>
    <w:rsid w:val="09777320"/>
    <w:rsid w:val="0C5D50AB"/>
    <w:rsid w:val="0D8407A6"/>
    <w:rsid w:val="159F4940"/>
    <w:rsid w:val="186F79EE"/>
    <w:rsid w:val="19571BA8"/>
    <w:rsid w:val="1A4563DB"/>
    <w:rsid w:val="1D0600A4"/>
    <w:rsid w:val="204D5A76"/>
    <w:rsid w:val="20840E5E"/>
    <w:rsid w:val="20B52042"/>
    <w:rsid w:val="254774AC"/>
    <w:rsid w:val="2C2E3173"/>
    <w:rsid w:val="330C07F2"/>
    <w:rsid w:val="341E492E"/>
    <w:rsid w:val="35265A58"/>
    <w:rsid w:val="365D08DD"/>
    <w:rsid w:val="394144E6"/>
    <w:rsid w:val="3D4C5207"/>
    <w:rsid w:val="3E86299B"/>
    <w:rsid w:val="3EBC016B"/>
    <w:rsid w:val="3F2016DF"/>
    <w:rsid w:val="3FC1514D"/>
    <w:rsid w:val="40B76E3C"/>
    <w:rsid w:val="41A53138"/>
    <w:rsid w:val="438A53B2"/>
    <w:rsid w:val="4C9C09F2"/>
    <w:rsid w:val="54D77655"/>
    <w:rsid w:val="56AF7F04"/>
    <w:rsid w:val="57AC2398"/>
    <w:rsid w:val="59077740"/>
    <w:rsid w:val="5AB547D8"/>
    <w:rsid w:val="5FA82319"/>
    <w:rsid w:val="60B67B33"/>
    <w:rsid w:val="646C600B"/>
    <w:rsid w:val="64A70DF2"/>
    <w:rsid w:val="65E31147"/>
    <w:rsid w:val="675039C2"/>
    <w:rsid w:val="68466B73"/>
    <w:rsid w:val="6A8358CF"/>
    <w:rsid w:val="735A6C67"/>
    <w:rsid w:val="758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L.L.L\&#25919;&#21153;&#20844;&#24320;\2023\2023&#24180;&#25919;&#21153;&#20844;&#24320;&#24180;&#25253;\&#22270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Administrator\Desktop\L.L.L\&#25919;&#21153;&#20844;&#24320;\2023\2023&#24180;&#25919;&#21153;&#20844;&#24320;&#24180;&#25253;\&#22270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L.L.L\&#25919;&#21153;&#20844;&#24320;\2023\2023&#24180;&#25919;&#21153;&#20844;&#24320;&#24180;&#25253;\&#22270;&#3492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Administrator\Desktop\L.L.L\&#25919;&#21153;&#20844;&#24320;\2023\2023&#24180;&#25919;&#21153;&#20844;&#24320;&#24180;&#25253;\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2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sz="2400" b="1">
                <a:solidFill>
                  <a:sysClr val="windowText" lastClr="000000"/>
                </a:solidFill>
                <a:latin typeface="Times New Roman" panose="02020603050405020304" charset="0"/>
                <a:ea typeface="方正小标宋简体" panose="02000000000000000000" charset="-122"/>
                <a:cs typeface="Times New Roman" panose="02020603050405020304" charset="0"/>
              </a:rPr>
              <a:t>202</a:t>
            </a:r>
            <a:r>
              <a:rPr lang="en-US" altLang="zh-CN" sz="2400" b="1">
                <a:solidFill>
                  <a:sysClr val="windowText" lastClr="000000"/>
                </a:solidFill>
                <a:latin typeface="Times New Roman" panose="02020603050405020304" charset="0"/>
                <a:ea typeface="方正小标宋简体" panose="02000000000000000000" charset="-122"/>
                <a:cs typeface="Times New Roman" panose="02020603050405020304" charset="0"/>
              </a:rPr>
              <a:t>3</a:t>
            </a:r>
            <a:r>
              <a:rPr sz="2400" b="1">
                <a:solidFill>
                  <a:sysClr val="windowText" lastClr="000000"/>
                </a:solidFill>
                <a:latin typeface="Times New Roman" panose="02020603050405020304" charset="0"/>
                <a:ea typeface="方正小标宋简体" panose="02000000000000000000" charset="-122"/>
                <a:cs typeface="Times New Roman" panose="02020603050405020304" charset="0"/>
              </a:rPr>
              <a:t>年济宁市地方金融监管局</a:t>
            </a:r>
            <a:endParaRPr sz="2400" b="1">
              <a:solidFill>
                <a:sysClr val="windowText" lastClr="000000"/>
              </a:solidFill>
              <a:latin typeface="Times New Roman" panose="02020603050405020304" charset="0"/>
              <a:ea typeface="方正小标宋简体" panose="02000000000000000000" charset="-122"/>
              <a:cs typeface="Times New Roman" panose="02020603050405020304" charset="0"/>
            </a:endParaRPr>
          </a:p>
          <a:p>
            <a:pPr defTabSz="914400">
              <a:defRPr lang="zh-CN" sz="2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sz="2400" b="1">
                <a:solidFill>
                  <a:sysClr val="windowText" lastClr="000000"/>
                </a:solidFill>
                <a:latin typeface="Times New Roman" panose="02020603050405020304" charset="0"/>
                <a:ea typeface="方正小标宋简体" panose="02000000000000000000" charset="-122"/>
                <a:cs typeface="Times New Roman" panose="02020603050405020304" charset="0"/>
              </a:rPr>
              <a:t>网站信息发布数量统计</a:t>
            </a:r>
            <a:endParaRPr sz="2400" b="1">
              <a:solidFill>
                <a:sysClr val="windowText" lastClr="000000"/>
              </a:solidFill>
              <a:latin typeface="Times New Roman" panose="02020603050405020304" charset="0"/>
              <a:ea typeface="方正小标宋简体" panose="02000000000000000000" charset="-122"/>
              <a:cs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explosion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[图表.xlsx]Sheet1!$A$5:$A$7</c:f>
              <c:strCache>
                <c:ptCount val="3"/>
                <c:pt idx="0">
                  <c:v>概括类信息</c:v>
                </c:pt>
                <c:pt idx="1">
                  <c:v>政务动态信息</c:v>
                </c:pt>
                <c:pt idx="2">
                  <c:v>信息公开目录信息</c:v>
                </c:pt>
              </c:strCache>
            </c:strRef>
          </c:cat>
          <c:val>
            <c:numRef>
              <c:f>[图表.xlsx]Sheet1!$B$5:$B$7</c:f>
              <c:numCache>
                <c:formatCode>General</c:formatCode>
                <c:ptCount val="3"/>
                <c:pt idx="0">
                  <c:v>513</c:v>
                </c:pt>
                <c:pt idx="1">
                  <c:v>65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ysClr val="windowText" lastClr="000000"/>
                </a:solidFill>
                <a:latin typeface="仿宋" panose="02010609060101010101" charset="-122"/>
                <a:ea typeface="仿宋" panose="02010609060101010101" charset="-122"/>
                <a:cs typeface="仿宋" panose="02010609060101010101" charset="-122"/>
                <a:sym typeface="仿宋" panose="02010609060101010101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ysClr val="windowText" lastClr="000000"/>
                </a:solidFill>
                <a:latin typeface="仿宋" panose="02010609060101010101" charset="-122"/>
                <a:ea typeface="仿宋" panose="02010609060101010101" charset="-122"/>
                <a:cs typeface="仿宋" panose="02010609060101010101" charset="-122"/>
                <a:sym typeface="仿宋" panose="02010609060101010101" charset="-122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1200" b="1" i="0" u="none" strike="noStrike" kern="1200" baseline="0">
                <a:solidFill>
                  <a:sysClr val="windowText" lastClr="000000"/>
                </a:solidFill>
                <a:latin typeface="仿宋" panose="02010609060101010101" charset="-122"/>
                <a:ea typeface="仿宋" panose="02010609060101010101" charset="-122"/>
                <a:cs typeface="仿宋" panose="02010609060101010101" charset="-122"/>
                <a:sym typeface="仿宋" panose="02010609060101010101" charset="-122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200" b="1" i="0" u="none" strike="noStrike" kern="1200" baseline="0">
              <a:solidFill>
                <a:sysClr val="windowText" lastClr="000000"/>
              </a:solidFill>
              <a:latin typeface="仿宋" panose="02010609060101010101" charset="-122"/>
              <a:ea typeface="仿宋" panose="02010609060101010101" charset="-122"/>
              <a:cs typeface="仿宋" panose="02010609060101010101" charset="-122"/>
              <a:sym typeface="仿宋" panose="02010609060101010101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solidFill>
            <a:sysClr val="windowText" lastClr="000000"/>
          </a:solidFill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  <a:r>
              <a:rPr lang="en-US" altLang="zh-CN" sz="1800" b="1">
                <a:solidFill>
                  <a:sysClr val="windowText" lastClr="000000"/>
                </a:solidFill>
                <a:ea typeface="方正小标宋简体" panose="02000000000000000000" charset="-122"/>
                <a:sym typeface="Times New Roman" panose="02020603050405020304" charset="0"/>
              </a:rPr>
              <a:t>2023</a:t>
            </a:r>
            <a:r>
              <a:rPr altLang="en-US" sz="1800" b="1">
                <a:solidFill>
                  <a:sysClr val="windowText" lastClr="000000"/>
                </a:solidFill>
                <a:ea typeface="方正小标宋简体" panose="02000000000000000000" charset="-122"/>
                <a:sym typeface="Times New Roman" panose="02020603050405020304" charset="0"/>
              </a:rPr>
              <a:t>年济宁市地方金融监管局收到政府信息公开申请情况</a:t>
            </a:r>
            <a:endParaRPr altLang="en-US" sz="1800" b="1">
              <a:solidFill>
                <a:sysClr val="windowText" lastClr="000000"/>
              </a:solidFill>
              <a:ea typeface="方正小标宋简体" panose="02000000000000000000" charset="-122"/>
              <a:sym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[图表.xlsx]Sheet2!$A$15:$A$16</c:f>
              <c:strCache>
                <c:ptCount val="2"/>
                <c:pt idx="0">
                  <c:v>自然人</c:v>
                </c:pt>
                <c:pt idx="1">
                  <c:v>法人或其他组织</c:v>
                </c:pt>
              </c:strCache>
            </c:strRef>
          </c:cat>
          <c:val>
            <c:numRef>
              <c:f>[图表.xlsx]Sheet2!$B$15:$B$16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7342878"/>
        <c:axId val="907293131"/>
      </c:barChart>
      <c:catAx>
        <c:axId val="62734287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200" b="1" i="0" u="none" strike="noStrike" kern="1200" cap="none" spc="0" normalizeH="0" baseline="0">
                <a:solidFill>
                  <a:sysClr val="windowText" lastClr="000000"/>
                </a:solidFill>
                <a:uFillTx/>
                <a:latin typeface="仿宋" panose="02010609060101010101" charset="-122"/>
                <a:ea typeface="仿宋" panose="02010609060101010101" charset="-122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907293131"/>
        <c:crosses val="autoZero"/>
        <c:auto val="1"/>
        <c:lblAlgn val="ctr"/>
        <c:lblOffset val="100"/>
        <c:noMultiLvlLbl val="0"/>
      </c:catAx>
      <c:valAx>
        <c:axId val="907293131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2734287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b="1">
          <a:solidFill>
            <a:sysClr val="windowText" lastClr="000000"/>
          </a:solidFill>
          <a:latin typeface="Times New Roman" panose="02020603050405020304" charset="0"/>
          <a:ea typeface="Times New Roman" panose="02020603050405020304" charset="0"/>
          <a:cs typeface="Times New Roman" panose="02020603050405020304" charset="0"/>
          <a:sym typeface="Times New Roman" panose="02020603050405020304" charset="0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80" b="1" i="0" u="none" strike="noStrike" kern="1200" spc="0" baseline="0">
                <a:solidFill>
                  <a:sysClr val="windowText" lastClr="000000"/>
                </a:solidFill>
                <a:latin typeface="方正小标宋简体" panose="02000000000000000000" charset="-122"/>
                <a:ea typeface="方正小标宋简体" panose="02000000000000000000" charset="-122"/>
                <a:cs typeface="方正小标宋简体" panose="02000000000000000000" charset="-122"/>
                <a:sym typeface="方正小标宋简体" panose="02000000000000000000" charset="-122"/>
              </a:defRPr>
            </a:pPr>
            <a:r>
              <a:rPr sz="1600" b="1">
                <a:solidFill>
                  <a:sysClr val="windowText" lastClr="000000"/>
                </a:solidFill>
                <a:latin typeface="方正小标宋简体" panose="02000000000000000000" charset="-122"/>
                <a:ea typeface="方正小标宋简体" panose="02000000000000000000" charset="-122"/>
                <a:cs typeface="方正小标宋简体" panose="02000000000000000000" charset="-122"/>
                <a:sym typeface="方正小标宋简体" panose="02000000000000000000" charset="-122"/>
              </a:rPr>
              <a:t>济宁市地方金融监管局依申请公开数量</a:t>
            </a:r>
            <a:endParaRPr sz="1600" b="1">
              <a:solidFill>
                <a:sysClr val="windowText" lastClr="000000"/>
              </a:solidFill>
              <a:latin typeface="方正小标宋简体" panose="02000000000000000000" charset="-122"/>
              <a:ea typeface="方正小标宋简体" panose="02000000000000000000" charset="-122"/>
              <a:cs typeface="方正小标宋简体" panose="02000000000000000000" charset="-122"/>
              <a:sym typeface="方正小标宋简体" panose="02000000000000000000" charset="-122"/>
            </a:endParaRPr>
          </a:p>
        </c:rich>
      </c:tx>
      <c:layout>
        <c:manualLayout>
          <c:xMode val="edge"/>
          <c:yMode val="edge"/>
          <c:x val="0.13125"/>
          <c:y val="0.026936026936026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[图表.xlsx]Sheet2!$A$4:$A$9</c:f>
              <c:strCache>
                <c:ptCount val="6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  <c:pt idx="5">
                  <c:v>2023年</c:v>
                </c:pt>
              </c:strCache>
            </c:strRef>
          </c:cat>
          <c:val>
            <c:numRef>
              <c:f>[图表.xlsx]Sheet2!$B$4:$B$9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6900972"/>
        <c:axId val="667196353"/>
      </c:barChart>
      <c:catAx>
        <c:axId val="8069009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667196353"/>
        <c:crosses val="autoZero"/>
        <c:auto val="1"/>
        <c:lblAlgn val="ctr"/>
        <c:lblOffset val="100"/>
        <c:noMultiLvlLbl val="0"/>
      </c:catAx>
      <c:valAx>
        <c:axId val="667196353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charset="0"/>
                <a:ea typeface="Times New Roman" panose="02020603050405020304" charset="0"/>
                <a:cs typeface="Times New Roman" panose="02020603050405020304" charset="0"/>
                <a:sym typeface="Times New Roman" panose="02020603050405020304" charset="0"/>
              </a:defRPr>
            </a:pPr>
          </a:p>
        </c:txPr>
        <c:crossAx val="8069009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400" b="1">
          <a:solidFill>
            <a:sysClr val="windowText" lastClr="000000"/>
          </a:solidFill>
          <a:latin typeface="方正小标宋简体" panose="02000000000000000000" charset="-122"/>
          <a:ea typeface="方正小标宋简体" panose="02000000000000000000" charset="-122"/>
          <a:cs typeface="方正小标宋简体" panose="02000000000000000000" charset="-122"/>
          <a:sym typeface="方正小标宋简体" panose="02000000000000000000" charset="-122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4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440" b="1">
                <a:solidFill>
                  <a:sysClr val="windowText" lastClr="000000"/>
                </a:solidFill>
                <a:latin typeface="Times New Roman" panose="02020603050405020304" charset="0"/>
                <a:ea typeface="方正小标宋简体" panose="02000000000000000000" charset="-122"/>
                <a:cs typeface="Times New Roman" panose="02020603050405020304" charset="0"/>
              </a:rPr>
              <a:t>2023</a:t>
            </a:r>
            <a:r>
              <a:rPr altLang="en-US" sz="1440" b="1">
                <a:solidFill>
                  <a:sysClr val="windowText" lastClr="000000"/>
                </a:solidFill>
                <a:latin typeface="Times New Roman" panose="02020603050405020304" charset="0"/>
                <a:ea typeface="方正小标宋简体" panose="02000000000000000000" charset="-122"/>
                <a:cs typeface="Times New Roman" panose="02020603050405020304" charset="0"/>
              </a:rPr>
              <a:t>年济宁市地方金融监管局承办人大建议、政协提案情况</a:t>
            </a:r>
            <a:endParaRPr altLang="en-US" sz="1440" b="1">
              <a:solidFill>
                <a:sysClr val="windowText" lastClr="000000"/>
              </a:solidFill>
              <a:latin typeface="Times New Roman" panose="02020603050405020304" charset="0"/>
              <a:ea typeface="方正小标宋简体" panose="02000000000000000000" charset="-122"/>
              <a:cs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charset="0"/>
                    <a:ea typeface="Times New Roman" panose="02020603050405020304" charset="0"/>
                    <a:cs typeface="Times New Roman" panose="02020603050405020304" charset="0"/>
                    <a:sym typeface="Times New Roman" panose="02020603050405020304" charset="0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[图表.xlsx]Sheet3!$A$4:$A$5</c:f>
              <c:strCache>
                <c:ptCount val="2"/>
                <c:pt idx="0">
                  <c:v>人大建议</c:v>
                </c:pt>
                <c:pt idx="1">
                  <c:v>政协提案</c:v>
                </c:pt>
              </c:strCache>
            </c:strRef>
          </c:cat>
          <c:val>
            <c:numRef>
              <c:f>[图表.xlsx]Sheet3!$B$4:$B$5</c:f>
              <c:numCache>
                <c:formatCode>General</c:formatCode>
                <c:ptCount val="2"/>
                <c:pt idx="0">
                  <c:v>7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200" b="1" i="0" u="none" strike="noStrike" kern="1200" cap="none" spc="0" normalizeH="0" baseline="0">
                <a:solidFill>
                  <a:sysClr val="windowText" lastClr="000000"/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+mn-lt"/>
                <a:ea typeface="仿宋" panose="02010609060101010101" charset="-122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200" b="1" i="0" u="none" strike="noStrike" kern="1200" cap="none" spc="0" normalizeH="0" baseline="0">
                <a:solidFill>
                  <a:sysClr val="windowText" lastClr="000000"/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+mn-lt"/>
                <a:ea typeface="仿宋" panose="02010609060101010101" charset="-122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200" b="1" i="0" u="none" strike="noStrike" kern="1200" cap="none" spc="0" normalizeH="0" baseline="0">
              <a:solidFill>
                <a:sysClr val="windowText" lastClr="000000"/>
              </a:solidFill>
              <a:uFill>
                <a:solidFill>
                  <a:schemeClr val="tx1">
                    <a:lumMod val="65000"/>
                    <a:lumOff val="35000"/>
                  </a:schemeClr>
                </a:solidFill>
              </a:uFill>
              <a:latin typeface="+mn-lt"/>
              <a:ea typeface="仿宋" panose="02010609060101010101" charset="-122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200" b="1">
          <a:solidFill>
            <a:sysClr val="windowText" lastClr="000000"/>
          </a:solidFill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2881</Words>
  <Characters>2993</Characters>
  <Lines>0</Lines>
  <Paragraphs>0</Paragraphs>
  <TotalTime>1</TotalTime>
  <ScaleCrop>false</ScaleCrop>
  <LinksUpToDate>false</LinksUpToDate>
  <CharactersWithSpaces>2995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2022-01-18T05:40:00Z</dcterms:created>
  <dc:creator>Administrator</dc:creator>
  <cp:lastModifiedBy>李龙亮</cp:lastModifiedBy>
  <cp:lastPrinted>2022-01-19T07:06:00Z</cp:lastPrinted>
  <dcterms:modified xsi:type="dcterms:W3CDTF">2024-01-30T03:24:24Z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C285A7933FDE4E0198AAD6153D38ED08</vt:lpwstr>
  </property>
</Properties>
</file>