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济宁市城乡水务局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2019年政府信息公开工作年度报告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Style w:val="7"/>
          <w:rFonts w:ascii="黑体" w:hAnsi="宋体" w:eastAsia="黑体" w:cs="黑体"/>
          <w:b/>
          <w:i w:val="0"/>
          <w:caps w:val="0"/>
          <w:color w:val="3D3D3D"/>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caps w:val="0"/>
          <w:color w:val="3D3D3D"/>
          <w:spacing w:val="0"/>
          <w:sz w:val="22"/>
          <w:szCs w:val="22"/>
        </w:rPr>
      </w:pPr>
      <w:r>
        <w:rPr>
          <w:rStyle w:val="7"/>
          <w:rFonts w:ascii="黑体" w:hAnsi="宋体" w:eastAsia="黑体" w:cs="黑体"/>
          <w:b/>
          <w:i w:val="0"/>
          <w:caps w:val="0"/>
          <w:color w:val="3D3D3D"/>
          <w:spacing w:val="0"/>
          <w:sz w:val="31"/>
          <w:szCs w:val="31"/>
          <w:bdr w:val="none" w:color="auto" w:sz="0" w:space="0"/>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ascii="仿宋" w:hAnsi="仿宋" w:eastAsia="仿宋" w:cs="仿宋"/>
          <w:i w:val="0"/>
          <w:caps w:val="0"/>
          <w:color w:val="3D3D3D"/>
          <w:spacing w:val="0"/>
          <w:sz w:val="31"/>
          <w:szCs w:val="31"/>
          <w:bdr w:val="none" w:color="auto" w:sz="0" w:space="0"/>
          <w:shd w:val="clear" w:fill="FFFFFF"/>
        </w:rPr>
        <w:t>根据《中华人民共和国政府信息公开条例》</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以下简称《条例》）、国务院办公厅政府信息与政务公开办公室下发的《关于政府信息公开工作年度报告有关事项的通知》、《山东省政府信息公开办法》</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以下简称《办法》）、济宁市政府办公室《关于做好</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年度政府信息公开年度报告编制发布工作的通知》要求，现向社会公布济宁市城乡水务局</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年政府信息公开年度报告。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本报告主要总体情况、主动公开政府信息情况、收到和处理政府信息公开申请情况、政府信息公开行政复议、行政诉讼情况、存在的主要问题及改进情况和其他需要报告的事项等内容组成。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本年度报告所列数据统计期限自</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w:t>
      </w:r>
      <w:r>
        <w:rPr>
          <w:rFonts w:hint="default" w:ascii="Times New Roman" w:hAnsi="Times New Roman" w:eastAsia="微软雅黑" w:cs="Times New Roman"/>
          <w:i w:val="0"/>
          <w:caps w:val="0"/>
          <w:color w:val="3D3D3D"/>
          <w:spacing w:val="0"/>
          <w:sz w:val="31"/>
          <w:szCs w:val="31"/>
          <w:bdr w:val="none" w:color="auto" w:sz="0" w:space="0"/>
          <w:shd w:val="clear" w:fill="FFFFFF"/>
        </w:rPr>
        <w:t>1</w:t>
      </w:r>
      <w:r>
        <w:rPr>
          <w:rFonts w:hint="eastAsia" w:ascii="仿宋" w:hAnsi="仿宋" w:eastAsia="仿宋" w:cs="仿宋"/>
          <w:i w:val="0"/>
          <w:caps w:val="0"/>
          <w:color w:val="3D3D3D"/>
          <w:spacing w:val="0"/>
          <w:sz w:val="31"/>
          <w:szCs w:val="31"/>
          <w:bdr w:val="none" w:color="auto" w:sz="0" w:space="0"/>
          <w:shd w:val="clear" w:fill="FFFFFF"/>
        </w:rPr>
        <w:t>月</w:t>
      </w:r>
      <w:r>
        <w:rPr>
          <w:rFonts w:hint="default" w:ascii="Times New Roman" w:hAnsi="Times New Roman" w:eastAsia="微软雅黑" w:cs="Times New Roman"/>
          <w:i w:val="0"/>
          <w:caps w:val="0"/>
          <w:color w:val="3D3D3D"/>
          <w:spacing w:val="0"/>
          <w:sz w:val="31"/>
          <w:szCs w:val="31"/>
          <w:bdr w:val="none" w:color="auto" w:sz="0" w:space="0"/>
          <w:shd w:val="clear" w:fill="FFFFFF"/>
        </w:rPr>
        <w:t>1</w:t>
      </w:r>
      <w:r>
        <w:rPr>
          <w:rFonts w:hint="eastAsia" w:ascii="仿宋" w:hAnsi="仿宋" w:eastAsia="仿宋" w:cs="仿宋"/>
          <w:i w:val="0"/>
          <w:caps w:val="0"/>
          <w:color w:val="3D3D3D"/>
          <w:spacing w:val="0"/>
          <w:sz w:val="31"/>
          <w:szCs w:val="31"/>
          <w:bdr w:val="none" w:color="auto" w:sz="0" w:space="0"/>
          <w:shd w:val="clear" w:fill="FFFFFF"/>
        </w:rPr>
        <w:t>日起至</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w:t>
      </w:r>
      <w:r>
        <w:rPr>
          <w:rFonts w:hint="default" w:ascii="Times New Roman" w:hAnsi="Times New Roman" w:eastAsia="微软雅黑" w:cs="Times New Roman"/>
          <w:i w:val="0"/>
          <w:caps w:val="0"/>
          <w:color w:val="3D3D3D"/>
          <w:spacing w:val="0"/>
          <w:sz w:val="31"/>
          <w:szCs w:val="31"/>
          <w:bdr w:val="none" w:color="auto" w:sz="0" w:space="0"/>
          <w:shd w:val="clear" w:fill="FFFFFF"/>
        </w:rPr>
        <w:t>12</w:t>
      </w:r>
      <w:r>
        <w:rPr>
          <w:rFonts w:hint="eastAsia" w:ascii="仿宋" w:hAnsi="仿宋" w:eastAsia="仿宋" w:cs="仿宋"/>
          <w:i w:val="0"/>
          <w:caps w:val="0"/>
          <w:color w:val="3D3D3D"/>
          <w:spacing w:val="0"/>
          <w:sz w:val="31"/>
          <w:szCs w:val="31"/>
          <w:bdr w:val="none" w:color="auto" w:sz="0" w:space="0"/>
          <w:shd w:val="clear" w:fill="FFFFFF"/>
        </w:rPr>
        <w:t>月</w:t>
      </w:r>
      <w:r>
        <w:rPr>
          <w:rFonts w:hint="default" w:ascii="Times New Roman" w:hAnsi="Times New Roman" w:eastAsia="微软雅黑" w:cs="Times New Roman"/>
          <w:i w:val="0"/>
          <w:caps w:val="0"/>
          <w:color w:val="3D3D3D"/>
          <w:spacing w:val="0"/>
          <w:sz w:val="31"/>
          <w:szCs w:val="31"/>
          <w:bdr w:val="none" w:color="auto" w:sz="0" w:space="0"/>
          <w:shd w:val="clear" w:fill="FFFFFF"/>
        </w:rPr>
        <w:t>31</w:t>
      </w:r>
      <w:r>
        <w:rPr>
          <w:rFonts w:hint="eastAsia" w:ascii="仿宋" w:hAnsi="仿宋" w:eastAsia="仿宋" w:cs="仿宋"/>
          <w:i w:val="0"/>
          <w:caps w:val="0"/>
          <w:color w:val="3D3D3D"/>
          <w:spacing w:val="0"/>
          <w:sz w:val="31"/>
          <w:szCs w:val="31"/>
          <w:bdr w:val="none" w:color="auto" w:sz="0" w:space="0"/>
          <w:shd w:val="clear" w:fill="FFFFFF"/>
        </w:rPr>
        <w:t>日止。本报告的电子版可在济宁市政府门户网站政务公开专栏</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年度工作报告</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目录或济宁市城乡水务局网站公告专栏下载。如对本报告有任何疑问，可与济宁市城乡水务局办公室联系（地址：济宁市太白湖新区省运会指挥中心</w:t>
      </w:r>
      <w:r>
        <w:rPr>
          <w:rFonts w:hint="default" w:ascii="Times New Roman" w:hAnsi="Times New Roman" w:eastAsia="微软雅黑" w:cs="Times New Roman"/>
          <w:i w:val="0"/>
          <w:caps w:val="0"/>
          <w:color w:val="3D3D3D"/>
          <w:spacing w:val="0"/>
          <w:sz w:val="31"/>
          <w:szCs w:val="31"/>
          <w:bdr w:val="none" w:color="auto" w:sz="0" w:space="0"/>
          <w:shd w:val="clear" w:fill="FFFFFF"/>
        </w:rPr>
        <w:t>C</w:t>
      </w:r>
      <w:r>
        <w:rPr>
          <w:rFonts w:hint="eastAsia" w:ascii="仿宋" w:hAnsi="仿宋" w:eastAsia="仿宋" w:cs="仿宋"/>
          <w:i w:val="0"/>
          <w:caps w:val="0"/>
          <w:color w:val="3D3D3D"/>
          <w:spacing w:val="0"/>
          <w:sz w:val="31"/>
          <w:szCs w:val="31"/>
          <w:bdr w:val="none" w:color="auto" w:sz="0" w:space="0"/>
          <w:shd w:val="clear" w:fill="FFFFFF"/>
        </w:rPr>
        <w:t>区；邮编：</w:t>
      </w:r>
      <w:r>
        <w:rPr>
          <w:rFonts w:hint="default" w:ascii="Times New Roman" w:hAnsi="Times New Roman" w:eastAsia="微软雅黑" w:cs="Times New Roman"/>
          <w:i w:val="0"/>
          <w:caps w:val="0"/>
          <w:color w:val="3D3D3D"/>
          <w:spacing w:val="0"/>
          <w:sz w:val="31"/>
          <w:szCs w:val="31"/>
          <w:bdr w:val="none" w:color="auto" w:sz="0" w:space="0"/>
          <w:shd w:val="clear" w:fill="FFFFFF"/>
        </w:rPr>
        <w:t>272019</w:t>
      </w:r>
      <w:r>
        <w:rPr>
          <w:rFonts w:hint="eastAsia" w:ascii="仿宋" w:hAnsi="仿宋" w:eastAsia="仿宋" w:cs="仿宋"/>
          <w:i w:val="0"/>
          <w:caps w:val="0"/>
          <w:color w:val="3D3D3D"/>
          <w:spacing w:val="0"/>
          <w:sz w:val="31"/>
          <w:szCs w:val="31"/>
          <w:bdr w:val="none" w:color="auto" w:sz="0" w:space="0"/>
          <w:shd w:val="clear" w:fill="FFFFFF"/>
        </w:rPr>
        <w:t>；电话：</w:t>
      </w:r>
      <w:r>
        <w:rPr>
          <w:rFonts w:hint="default" w:ascii="Times New Roman" w:hAnsi="Times New Roman" w:eastAsia="微软雅黑" w:cs="Times New Roman"/>
          <w:i w:val="0"/>
          <w:caps w:val="0"/>
          <w:color w:val="3D3D3D"/>
          <w:spacing w:val="0"/>
          <w:sz w:val="31"/>
          <w:szCs w:val="31"/>
          <w:bdr w:val="none" w:color="auto" w:sz="0" w:space="0"/>
          <w:shd w:val="clear" w:fill="FFFFFF"/>
        </w:rPr>
        <w:t>0537-2316452</w:t>
      </w:r>
      <w:r>
        <w:rPr>
          <w:rFonts w:hint="eastAsia" w:ascii="仿宋" w:hAnsi="仿宋" w:eastAsia="仿宋" w:cs="仿宋"/>
          <w:i w:val="0"/>
          <w:caps w:val="0"/>
          <w:color w:val="3D3D3D"/>
          <w:spacing w:val="0"/>
          <w:sz w:val="31"/>
          <w:szCs w:val="31"/>
          <w:bdr w:val="none" w:color="auto" w:sz="0" w:space="0"/>
          <w:shd w:val="clear" w:fill="FFFFFF"/>
        </w:rPr>
        <w:t>；电子邮箱：</w:t>
      </w:r>
      <w:r>
        <w:rPr>
          <w:rFonts w:hint="default" w:ascii="Times New Roman" w:hAnsi="Times New Roman" w:eastAsia="微软雅黑" w:cs="Times New Roman"/>
          <w:i w:val="0"/>
          <w:caps w:val="0"/>
          <w:color w:val="3D3D3D"/>
          <w:spacing w:val="0"/>
          <w:sz w:val="31"/>
          <w:szCs w:val="31"/>
          <w:bdr w:val="none" w:color="auto" w:sz="0" w:space="0"/>
          <w:shd w:val="clear" w:fill="FFFFFF"/>
        </w:rPr>
        <w:t>jnslbgs@ji.shandong.cn</w:t>
      </w:r>
      <w:r>
        <w:rPr>
          <w:rFonts w:hint="eastAsia" w:ascii="仿宋" w:hAnsi="仿宋" w:eastAsia="仿宋" w:cs="仿宋"/>
          <w:i w:val="0"/>
          <w:caps w:val="0"/>
          <w:color w:val="3D3D3D"/>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（一）基本情况。</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年，在市委、市政府坚强领导下，水利部门认真学习贯彻党的十九大和十九届二、三、四中全会精神，以习近平新时代中国特色社会主义思想和</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节水优先、空间均衡、系统治理、两手发力</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水利工作方针为指引，紧紧围绕提高水安全保障能力，统筹推进工程水利、资源水利、民生水利、生态水利、创新水利</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五大水利</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建设，真抓实干、积极作为，各项工作任务圆满完成，为济宁加快新旧动能转换、实现</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两个全面</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目标提供了坚实的水利支撑保障。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D3D3D"/>
          <w:spacing w:val="0"/>
          <w:sz w:val="31"/>
          <w:szCs w:val="31"/>
          <w:bdr w:val="none" w:color="auto" w:sz="0" w:space="0"/>
          <w:shd w:val="clear" w:fill="FFFFFF"/>
          <w:lang w:eastAsia="zh-CN"/>
        </w:rPr>
      </w:pPr>
      <w:r>
        <w:rPr>
          <w:rFonts w:hint="eastAsia" w:ascii="仿宋" w:hAnsi="仿宋" w:eastAsia="仿宋" w:cs="仿宋"/>
          <w:i w:val="0"/>
          <w:caps w:val="0"/>
          <w:color w:val="3D3D3D"/>
          <w:spacing w:val="0"/>
          <w:sz w:val="31"/>
          <w:szCs w:val="31"/>
          <w:bdr w:val="none" w:color="auto" w:sz="0" w:space="0"/>
          <w:shd w:val="clear" w:fill="FFFFFF"/>
        </w:rPr>
        <w:t>我局政府信息与政务公开工作在局党组的领导下，在市政府政务公开办公室的指导下，紧紧围绕水利为全市经济社会发展提供强力支撑和保障这个核心，按照各级关于政务公开的要求，以济宁市政府门户网站政务公开专栏和济宁市城乡水务局官方网站为主渠道</w:t>
      </w:r>
      <w:r>
        <w:rPr>
          <w:rFonts w:hint="eastAsia" w:ascii="仿宋" w:hAnsi="仿宋" w:eastAsia="仿宋" w:cs="仿宋"/>
          <w:i w:val="0"/>
          <w:caps w:val="0"/>
          <w:color w:val="3D3D3D"/>
          <w:spacing w:val="0"/>
          <w:sz w:val="31"/>
          <w:szCs w:val="31"/>
          <w:bdr w:val="none" w:color="auto" w:sz="0" w:space="0"/>
          <w:shd w:val="clear" w:fill="FFFFFF"/>
          <w:lang w:eastAsia="zh-CN"/>
        </w:rPr>
        <w:t>。</w:t>
      </w:r>
    </w:p>
    <w:p>
      <w:pPr>
        <w:rPr>
          <w:rFonts w:hint="eastAsia"/>
        </w:rPr>
      </w:pPr>
      <w: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D3D3D"/>
          <w:spacing w:val="0"/>
          <w:sz w:val="31"/>
          <w:szCs w:val="31"/>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积极主动及时公开涉水政府信息</w:t>
      </w:r>
      <w:r>
        <w:rPr>
          <w:rFonts w:hint="default" w:ascii="Times New Roman" w:hAnsi="Times New Roman" w:eastAsia="微软雅黑" w:cs="Times New Roman"/>
          <w:i w:val="0"/>
          <w:caps w:val="0"/>
          <w:color w:val="3D3D3D"/>
          <w:spacing w:val="0"/>
          <w:sz w:val="31"/>
          <w:szCs w:val="31"/>
          <w:bdr w:val="none" w:color="auto" w:sz="0" w:space="0"/>
          <w:shd w:val="clear" w:fill="FFFFFF"/>
        </w:rPr>
        <w:t>737</w:t>
      </w:r>
      <w:r>
        <w:rPr>
          <w:rFonts w:hint="eastAsia" w:ascii="仿宋" w:hAnsi="仿宋" w:eastAsia="仿宋" w:cs="仿宋"/>
          <w:i w:val="0"/>
          <w:caps w:val="0"/>
          <w:color w:val="3D3D3D"/>
          <w:spacing w:val="0"/>
          <w:sz w:val="31"/>
          <w:szCs w:val="31"/>
          <w:bdr w:val="none" w:color="auto" w:sz="0" w:space="0"/>
          <w:shd w:val="clear" w:fill="FFFFFF"/>
        </w:rPr>
        <w:t>条，政府网站公开</w:t>
      </w:r>
      <w:r>
        <w:rPr>
          <w:rFonts w:hint="default" w:ascii="Times New Roman" w:hAnsi="Times New Roman" w:eastAsia="微软雅黑" w:cs="Times New Roman"/>
          <w:i w:val="0"/>
          <w:caps w:val="0"/>
          <w:color w:val="3D3D3D"/>
          <w:spacing w:val="0"/>
          <w:sz w:val="31"/>
          <w:szCs w:val="31"/>
          <w:bdr w:val="none" w:color="auto" w:sz="0" w:space="0"/>
          <w:shd w:val="clear" w:fill="FFFFFF"/>
        </w:rPr>
        <w:t>530</w:t>
      </w:r>
      <w:r>
        <w:rPr>
          <w:rFonts w:hint="eastAsia" w:ascii="仿宋" w:hAnsi="仿宋" w:eastAsia="仿宋" w:cs="仿宋"/>
          <w:i w:val="0"/>
          <w:caps w:val="0"/>
          <w:color w:val="3D3D3D"/>
          <w:spacing w:val="0"/>
          <w:sz w:val="31"/>
          <w:szCs w:val="31"/>
          <w:bdr w:val="none" w:color="auto" w:sz="0" w:space="0"/>
          <w:shd w:val="clear" w:fill="FFFFFF"/>
        </w:rPr>
        <w:t>条，政务微博公开</w:t>
      </w:r>
      <w:r>
        <w:rPr>
          <w:rFonts w:hint="default" w:ascii="Times New Roman" w:hAnsi="Times New Roman" w:eastAsia="微软雅黑" w:cs="Times New Roman"/>
          <w:i w:val="0"/>
          <w:caps w:val="0"/>
          <w:color w:val="3D3D3D"/>
          <w:spacing w:val="0"/>
          <w:sz w:val="31"/>
          <w:szCs w:val="31"/>
          <w:bdr w:val="none" w:color="auto" w:sz="0" w:space="0"/>
          <w:shd w:val="clear" w:fill="FFFFFF"/>
        </w:rPr>
        <w:t>185</w:t>
      </w:r>
      <w:r>
        <w:rPr>
          <w:rFonts w:hint="eastAsia" w:ascii="仿宋" w:hAnsi="仿宋" w:eastAsia="仿宋" w:cs="仿宋"/>
          <w:i w:val="0"/>
          <w:caps w:val="0"/>
          <w:color w:val="3D3D3D"/>
          <w:spacing w:val="0"/>
          <w:sz w:val="31"/>
          <w:szCs w:val="31"/>
          <w:bdr w:val="none" w:color="auto" w:sz="0" w:space="0"/>
          <w:shd w:val="clear" w:fill="FFFFFF"/>
        </w:rPr>
        <w:t>条，政务微信公开</w:t>
      </w:r>
      <w:r>
        <w:rPr>
          <w:rFonts w:hint="default" w:ascii="Times New Roman" w:hAnsi="Times New Roman" w:eastAsia="微软雅黑" w:cs="Times New Roman"/>
          <w:i w:val="0"/>
          <w:caps w:val="0"/>
          <w:color w:val="3D3D3D"/>
          <w:spacing w:val="0"/>
          <w:sz w:val="31"/>
          <w:szCs w:val="31"/>
          <w:bdr w:val="none" w:color="auto" w:sz="0" w:space="0"/>
          <w:shd w:val="clear" w:fill="FFFFFF"/>
        </w:rPr>
        <w:t>22</w:t>
      </w:r>
      <w:r>
        <w:rPr>
          <w:rFonts w:hint="eastAsia" w:ascii="仿宋" w:hAnsi="仿宋" w:eastAsia="仿宋" w:cs="仿宋"/>
          <w:i w:val="0"/>
          <w:caps w:val="0"/>
          <w:color w:val="3D3D3D"/>
          <w:spacing w:val="0"/>
          <w:sz w:val="31"/>
          <w:szCs w:val="31"/>
          <w:bdr w:val="none" w:color="auto" w:sz="0" w:space="0"/>
          <w:shd w:val="clear" w:fill="FFFFFF"/>
        </w:rPr>
        <w:t>条，政策文件主动公开</w:t>
      </w:r>
      <w:r>
        <w:rPr>
          <w:rFonts w:hint="default" w:ascii="Times New Roman" w:hAnsi="Times New Roman" w:eastAsia="微软雅黑" w:cs="Times New Roman"/>
          <w:i w:val="0"/>
          <w:caps w:val="0"/>
          <w:color w:val="3D3D3D"/>
          <w:spacing w:val="0"/>
          <w:sz w:val="31"/>
          <w:szCs w:val="31"/>
          <w:bdr w:val="none" w:color="auto" w:sz="0" w:space="0"/>
          <w:shd w:val="clear" w:fill="FFFFFF"/>
        </w:rPr>
        <w:t>3</w:t>
      </w:r>
      <w:r>
        <w:rPr>
          <w:rFonts w:hint="eastAsia" w:ascii="仿宋" w:hAnsi="仿宋" w:eastAsia="仿宋" w:cs="仿宋"/>
          <w:i w:val="0"/>
          <w:caps w:val="0"/>
          <w:color w:val="3D3D3D"/>
          <w:spacing w:val="0"/>
          <w:sz w:val="31"/>
          <w:szCs w:val="31"/>
          <w:bdr w:val="none" w:color="auto" w:sz="0" w:space="0"/>
          <w:shd w:val="clear" w:fill="FFFFFF"/>
        </w:rPr>
        <w:t>件、依申请公开</w:t>
      </w:r>
      <w:r>
        <w:rPr>
          <w:rFonts w:hint="default" w:ascii="Times New Roman" w:hAnsi="Times New Roman" w:eastAsia="微软雅黑" w:cs="Times New Roman"/>
          <w:i w:val="0"/>
          <w:caps w:val="0"/>
          <w:color w:val="3D3D3D"/>
          <w:spacing w:val="0"/>
          <w:sz w:val="31"/>
          <w:szCs w:val="31"/>
          <w:bdr w:val="none" w:color="auto" w:sz="0" w:space="0"/>
          <w:shd w:val="clear" w:fill="FFFFFF"/>
        </w:rPr>
        <w:t>15</w:t>
      </w:r>
      <w:r>
        <w:rPr>
          <w:rFonts w:hint="eastAsia" w:ascii="仿宋" w:hAnsi="仿宋" w:eastAsia="仿宋" w:cs="仿宋"/>
          <w:i w:val="0"/>
          <w:caps w:val="0"/>
          <w:color w:val="3D3D3D"/>
          <w:spacing w:val="0"/>
          <w:sz w:val="31"/>
          <w:szCs w:val="31"/>
          <w:bdr w:val="none" w:color="auto" w:sz="0" w:space="0"/>
          <w:shd w:val="clear" w:fill="FFFFFF"/>
        </w:rPr>
        <w:t>件、不予公开</w:t>
      </w:r>
      <w:r>
        <w:rPr>
          <w:rFonts w:hint="default" w:ascii="Times New Roman" w:hAnsi="Times New Roman" w:eastAsia="微软雅黑" w:cs="Times New Roman"/>
          <w:i w:val="0"/>
          <w:caps w:val="0"/>
          <w:color w:val="3D3D3D"/>
          <w:spacing w:val="0"/>
          <w:sz w:val="31"/>
          <w:szCs w:val="31"/>
          <w:bdr w:val="none" w:color="auto" w:sz="0" w:space="0"/>
          <w:shd w:val="clear" w:fill="FFFFFF"/>
        </w:rPr>
        <w:t>1</w:t>
      </w:r>
      <w:r>
        <w:rPr>
          <w:rFonts w:hint="eastAsia" w:ascii="仿宋" w:hAnsi="仿宋" w:eastAsia="仿宋" w:cs="仿宋"/>
          <w:i w:val="0"/>
          <w:caps w:val="0"/>
          <w:color w:val="3D3D3D"/>
          <w:spacing w:val="0"/>
          <w:sz w:val="31"/>
          <w:szCs w:val="31"/>
          <w:bdr w:val="none" w:color="auto" w:sz="0" w:space="0"/>
          <w:shd w:val="clear" w:fill="FFFFFF"/>
        </w:rPr>
        <w:t>件，网上公开了</w:t>
      </w:r>
      <w:r>
        <w:rPr>
          <w:rFonts w:hint="default" w:ascii="Times New Roman" w:hAnsi="Times New Roman" w:eastAsia="微软雅黑" w:cs="Times New Roman"/>
          <w:i w:val="0"/>
          <w:caps w:val="0"/>
          <w:color w:val="3D3D3D"/>
          <w:spacing w:val="0"/>
          <w:sz w:val="31"/>
          <w:szCs w:val="31"/>
          <w:bdr w:val="none" w:color="auto" w:sz="0" w:space="0"/>
          <w:shd w:val="clear" w:fill="FFFFFF"/>
        </w:rPr>
        <w:t>3</w:t>
      </w:r>
      <w:r>
        <w:rPr>
          <w:rFonts w:hint="eastAsia" w:ascii="仿宋" w:hAnsi="仿宋" w:eastAsia="仿宋" w:cs="仿宋"/>
          <w:i w:val="0"/>
          <w:caps w:val="0"/>
          <w:color w:val="3D3D3D"/>
          <w:spacing w:val="0"/>
          <w:sz w:val="31"/>
          <w:szCs w:val="31"/>
          <w:bdr w:val="none" w:color="auto" w:sz="0" w:space="0"/>
          <w:shd w:val="clear" w:fill="FFFFFF"/>
        </w:rPr>
        <w:t>件。为社会公众了解水利工作动态、参与水利建设、支持水利改革发展发挥了主阵地作用。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二）组织领导和制度建设情况。局党组高度重视政务公开工作，成立了以局主要负责同志为组长，局领导班子成员为副组长，局机关各科室和局直单位主要负责同志为成员的市城乡水务局政务公开工作领导小组，领导小组明确局办公室承担具体工作，并指导全系统做好相关工作。同时加强制度建设，建立健全了政务公开各项规章制度，印发了《济宁市城乡水务局</w:t>
      </w:r>
      <w:r>
        <w:rPr>
          <w:rFonts w:hint="default" w:ascii="Times New Roman" w:hAnsi="Times New Roman" w:eastAsia="微软雅黑" w:cs="Times New Roman"/>
          <w:i w:val="0"/>
          <w:caps w:val="0"/>
          <w:color w:val="3D3D3D"/>
          <w:spacing w:val="0"/>
          <w:sz w:val="31"/>
          <w:szCs w:val="31"/>
          <w:bdr w:val="none" w:color="auto" w:sz="0" w:space="0"/>
          <w:shd w:val="clear" w:fill="FFFFFF"/>
        </w:rPr>
        <w:t>2019</w:t>
      </w:r>
      <w:r>
        <w:rPr>
          <w:rFonts w:hint="eastAsia" w:ascii="仿宋" w:hAnsi="仿宋" w:eastAsia="仿宋" w:cs="仿宋"/>
          <w:i w:val="0"/>
          <w:caps w:val="0"/>
          <w:color w:val="3D3D3D"/>
          <w:spacing w:val="0"/>
          <w:sz w:val="31"/>
          <w:szCs w:val="31"/>
          <w:bdr w:val="none" w:color="auto" w:sz="0" w:space="0"/>
          <w:shd w:val="clear" w:fill="FFFFFF"/>
        </w:rPr>
        <w:t>年政务公开工作要点及实施方案的通知》《济宁市城乡水务局政务公开主动公开基本目录》等，日常工作中，严格按照制度流程进行质量管控，用制度规范政府信息的制作、审核、网上发布等各个流程，确保公开的信息及时准确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 w:hAnsi="仿宋" w:eastAsia="仿宋" w:cs="仿宋"/>
          <w:i w:val="0"/>
          <w:caps w:val="0"/>
          <w:color w:val="3D3D3D"/>
          <w:spacing w:val="0"/>
          <w:sz w:val="31"/>
          <w:szCs w:val="31"/>
          <w:bdr w:val="none" w:color="auto" w:sz="0" w:space="0"/>
          <w:shd w:val="clear" w:fill="FFFFFF"/>
          <w:lang w:eastAsia="zh-CN"/>
        </w:rPr>
      </w:pPr>
      <w:r>
        <w:rPr>
          <w:rFonts w:hint="eastAsia" w:ascii="仿宋" w:hAnsi="仿宋" w:eastAsia="仿宋" w:cs="仿宋"/>
          <w:i w:val="0"/>
          <w:caps w:val="0"/>
          <w:color w:val="3D3D3D"/>
          <w:spacing w:val="0"/>
          <w:sz w:val="31"/>
          <w:szCs w:val="31"/>
          <w:bdr w:val="none" w:color="auto" w:sz="0" w:space="0"/>
          <w:shd w:val="clear" w:fill="FFFFFF"/>
        </w:rPr>
        <w:t>（三）多种渠道参与政府信息公开，主动回应社会关切。市城乡水务局高度重视信息公开，通过多种渠道积极参与政府信息公开工作，及时回应社会关切。市城乡水务局主要负责同志带头参加政府网站在线访谈、市广播电视台政风行风热线和问政济宁节目。在济宁市网络问政平台和</w:t>
      </w:r>
      <w:r>
        <w:rPr>
          <w:rFonts w:hint="default" w:ascii="Times New Roman" w:hAnsi="Times New Roman" w:eastAsia="微软雅黑" w:cs="Times New Roman"/>
          <w:i w:val="0"/>
          <w:caps w:val="0"/>
          <w:color w:val="3D3D3D"/>
          <w:spacing w:val="0"/>
          <w:sz w:val="31"/>
          <w:szCs w:val="31"/>
          <w:bdr w:val="none" w:color="auto" w:sz="0" w:space="0"/>
          <w:shd w:val="clear" w:fill="FFFFFF"/>
        </w:rPr>
        <w:t>12345</w:t>
      </w:r>
      <w:r>
        <w:rPr>
          <w:rFonts w:hint="eastAsia" w:ascii="仿宋" w:hAnsi="仿宋" w:eastAsia="仿宋" w:cs="仿宋"/>
          <w:i w:val="0"/>
          <w:caps w:val="0"/>
          <w:color w:val="3D3D3D"/>
          <w:spacing w:val="0"/>
          <w:sz w:val="31"/>
          <w:szCs w:val="31"/>
          <w:bdr w:val="none" w:color="auto" w:sz="0" w:space="0"/>
          <w:shd w:val="clear" w:fill="FFFFFF"/>
        </w:rPr>
        <w:t>政务服务热线认真做好回复工作，及时回应公众关注热点或重大舆情</w:t>
      </w:r>
      <w:r>
        <w:rPr>
          <w:rFonts w:hint="eastAsia" w:ascii="仿宋" w:hAnsi="仿宋" w:eastAsia="仿宋" w:cs="仿宋"/>
          <w:i w:val="0"/>
          <w:caps w:val="0"/>
          <w:color w:val="3D3D3D"/>
          <w:spacing w:val="0"/>
          <w:sz w:val="31"/>
          <w:szCs w:val="31"/>
          <w:bdr w:val="none" w:color="auto" w:sz="0" w:space="0"/>
          <w:shd w:val="clear" w:fill="FFFFFF"/>
          <w:lang w:eastAsia="zh-CN"/>
        </w:rPr>
        <w:t>。</w:t>
      </w:r>
    </w:p>
    <w:p>
      <w: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2019年共收到</w:t>
      </w:r>
      <w:r>
        <w:rPr>
          <w:rFonts w:hint="default" w:ascii="Times New Roman" w:hAnsi="Times New Roman" w:eastAsia="微软雅黑" w:cs="Times New Roman"/>
          <w:i w:val="0"/>
          <w:caps w:val="0"/>
          <w:color w:val="3D3D3D"/>
          <w:spacing w:val="0"/>
          <w:sz w:val="31"/>
          <w:szCs w:val="31"/>
          <w:bdr w:val="none" w:color="auto" w:sz="0" w:space="0"/>
          <w:shd w:val="clear" w:fill="FFFFFF"/>
        </w:rPr>
        <w:t>12345</w:t>
      </w:r>
      <w:r>
        <w:rPr>
          <w:rFonts w:hint="eastAsia" w:ascii="仿宋" w:hAnsi="仿宋" w:eastAsia="仿宋" w:cs="仿宋"/>
          <w:i w:val="0"/>
          <w:caps w:val="0"/>
          <w:color w:val="3D3D3D"/>
          <w:spacing w:val="0"/>
          <w:sz w:val="31"/>
          <w:szCs w:val="31"/>
          <w:bdr w:val="none" w:color="auto" w:sz="0" w:space="0"/>
          <w:shd w:val="clear" w:fill="FFFFFF"/>
        </w:rPr>
        <w:t>政务服务热线网民留言</w:t>
      </w:r>
      <w:r>
        <w:rPr>
          <w:rFonts w:hint="default" w:ascii="Times New Roman" w:hAnsi="Times New Roman" w:eastAsia="微软雅黑" w:cs="Times New Roman"/>
          <w:i w:val="0"/>
          <w:caps w:val="0"/>
          <w:color w:val="3D3D3D"/>
          <w:spacing w:val="0"/>
          <w:sz w:val="31"/>
          <w:szCs w:val="31"/>
          <w:bdr w:val="none" w:color="auto" w:sz="0" w:space="0"/>
          <w:shd w:val="clear" w:fill="FFFFFF"/>
        </w:rPr>
        <w:t>91</w:t>
      </w:r>
      <w:r>
        <w:rPr>
          <w:rFonts w:hint="eastAsia" w:ascii="仿宋" w:hAnsi="仿宋" w:eastAsia="仿宋" w:cs="仿宋"/>
          <w:i w:val="0"/>
          <w:caps w:val="0"/>
          <w:color w:val="3D3D3D"/>
          <w:spacing w:val="0"/>
          <w:sz w:val="31"/>
          <w:szCs w:val="31"/>
          <w:bdr w:val="none" w:color="auto" w:sz="0" w:space="0"/>
          <w:shd w:val="clear" w:fill="FFFFFF"/>
        </w:rPr>
        <w:t>件，收到济宁新闻网问政平台网民留言</w:t>
      </w:r>
      <w:r>
        <w:rPr>
          <w:rFonts w:hint="default" w:ascii="Times New Roman" w:hAnsi="Times New Roman" w:eastAsia="微软雅黑" w:cs="Times New Roman"/>
          <w:i w:val="0"/>
          <w:caps w:val="0"/>
          <w:color w:val="3D3D3D"/>
          <w:spacing w:val="0"/>
          <w:sz w:val="31"/>
          <w:szCs w:val="31"/>
          <w:bdr w:val="none" w:color="auto" w:sz="0" w:space="0"/>
          <w:shd w:val="clear" w:fill="FFFFFF"/>
        </w:rPr>
        <w:t>15</w:t>
      </w:r>
      <w:r>
        <w:rPr>
          <w:rFonts w:hint="eastAsia" w:ascii="仿宋" w:hAnsi="仿宋" w:eastAsia="仿宋" w:cs="仿宋"/>
          <w:i w:val="0"/>
          <w:caps w:val="0"/>
          <w:color w:val="3D3D3D"/>
          <w:spacing w:val="0"/>
          <w:sz w:val="31"/>
          <w:szCs w:val="31"/>
          <w:bdr w:val="none" w:color="auto" w:sz="0" w:space="0"/>
          <w:shd w:val="clear" w:fill="FFFFFF"/>
        </w:rPr>
        <w:t>条，均全部按时答复。在网站设立</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公众参与</w:t>
      </w:r>
      <w:r>
        <w:rPr>
          <w:rFonts w:hint="default" w:ascii="Times New Roman" w:hAnsi="Times New Roman" w:eastAsia="微软雅黑" w:cs="Times New Roman"/>
          <w:i w:val="0"/>
          <w:caps w:val="0"/>
          <w:color w:val="3D3D3D"/>
          <w:spacing w:val="0"/>
          <w:sz w:val="31"/>
          <w:szCs w:val="31"/>
          <w:bdr w:val="none" w:color="auto" w:sz="0" w:space="0"/>
          <w:shd w:val="clear" w:fill="FFFFFF"/>
        </w:rPr>
        <w:t>"</w:t>
      </w:r>
      <w:r>
        <w:rPr>
          <w:rFonts w:hint="eastAsia" w:ascii="仿宋" w:hAnsi="仿宋" w:eastAsia="仿宋" w:cs="仿宋"/>
          <w:i w:val="0"/>
          <w:caps w:val="0"/>
          <w:color w:val="3D3D3D"/>
          <w:spacing w:val="0"/>
          <w:sz w:val="31"/>
          <w:szCs w:val="31"/>
          <w:bdr w:val="none" w:color="auto" w:sz="0" w:space="0"/>
          <w:shd w:val="clear" w:fill="FFFFFF"/>
        </w:rPr>
        <w:t>专栏，及时回复社会公众在涉水方面的意见建议和诉求。通过开展上街宣传、发放宣传手册、宣传材料、微信、短信等多种形式，向社会公众及时发布权威水利信息，及时回应社会对水利工作关切，营造了良好的水利信息公开氛围。</w:t>
      </w:r>
      <w:r>
        <w:rPr>
          <w:rFonts w:hint="default" w:ascii="Times New Roman" w:hAnsi="Times New Roman" w:eastAsia="微软雅黑" w:cs="Times New Roman"/>
          <w:i w:val="0"/>
          <w:caps w:val="0"/>
          <w:color w:val="3D3D3D"/>
          <w:spacing w:val="0"/>
          <w:sz w:val="31"/>
          <w:szCs w:val="31"/>
          <w:bdr w:val="none" w:color="auto" w:sz="0" w:space="0"/>
          <w:shd w:val="clear" w:fill="FFFFFF"/>
        </w:rPr>
        <w:t>201</w:t>
      </w:r>
      <w:r>
        <w:rPr>
          <w:rFonts w:hint="eastAsia" w:ascii="仿宋" w:hAnsi="仿宋" w:eastAsia="仿宋" w:cs="仿宋"/>
          <w:i w:val="0"/>
          <w:caps w:val="0"/>
          <w:color w:val="3D3D3D"/>
          <w:spacing w:val="0"/>
          <w:sz w:val="31"/>
          <w:szCs w:val="31"/>
          <w:bdr w:val="none" w:color="auto" w:sz="0" w:space="0"/>
          <w:shd w:val="clear" w:fill="FFFFFF"/>
        </w:rPr>
        <w:t>9年共办理市人大建议和政协提案</w:t>
      </w:r>
      <w:r>
        <w:rPr>
          <w:rFonts w:hint="default" w:ascii="Times New Roman" w:hAnsi="Times New Roman" w:eastAsia="微软雅黑" w:cs="Times New Roman"/>
          <w:i w:val="0"/>
          <w:caps w:val="0"/>
          <w:color w:val="3D3D3D"/>
          <w:spacing w:val="0"/>
          <w:sz w:val="31"/>
          <w:szCs w:val="31"/>
          <w:bdr w:val="none" w:color="auto" w:sz="0" w:space="0"/>
          <w:shd w:val="clear" w:fill="FFFFFF"/>
        </w:rPr>
        <w:t>2</w:t>
      </w:r>
      <w:r>
        <w:rPr>
          <w:rFonts w:hint="eastAsia" w:ascii="仿宋" w:hAnsi="仿宋" w:eastAsia="仿宋" w:cs="仿宋"/>
          <w:i w:val="0"/>
          <w:caps w:val="0"/>
          <w:color w:val="3D3D3D"/>
          <w:spacing w:val="0"/>
          <w:sz w:val="31"/>
          <w:szCs w:val="31"/>
          <w:bdr w:val="none" w:color="auto" w:sz="0" w:space="0"/>
          <w:shd w:val="clear" w:fill="FFFFFF"/>
        </w:rPr>
        <w:t>7件，其中建议16件，提案</w:t>
      </w:r>
      <w:r>
        <w:rPr>
          <w:rFonts w:hint="default" w:ascii="Times New Roman" w:hAnsi="Times New Roman" w:eastAsia="仿宋" w:cs="Times New Roman"/>
          <w:i w:val="0"/>
          <w:caps w:val="0"/>
          <w:color w:val="3D3D3D"/>
          <w:spacing w:val="0"/>
          <w:sz w:val="31"/>
          <w:szCs w:val="31"/>
          <w:bdr w:val="none" w:color="auto" w:sz="0" w:space="0"/>
          <w:shd w:val="clear" w:fill="FFFFFF"/>
        </w:rPr>
        <w:t>11</w:t>
      </w:r>
      <w:r>
        <w:rPr>
          <w:rFonts w:hint="eastAsia" w:ascii="仿宋" w:hAnsi="仿宋" w:eastAsia="仿宋" w:cs="仿宋"/>
          <w:i w:val="0"/>
          <w:caps w:val="0"/>
          <w:color w:val="3D3D3D"/>
          <w:spacing w:val="0"/>
          <w:sz w:val="31"/>
          <w:szCs w:val="31"/>
          <w:bdr w:val="none" w:color="auto" w:sz="0" w:space="0"/>
          <w:shd w:val="clear" w:fill="FFFFFF"/>
        </w:rPr>
        <w:t>件，均认真及时办理答复，代表委员全部表示满意。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Style w:val="7"/>
          <w:rFonts w:hint="eastAsia" w:ascii="黑体" w:hAnsi="宋体" w:eastAsia="黑体" w:cs="黑体"/>
          <w:b/>
          <w:i w:val="0"/>
          <w:caps w:val="0"/>
          <w:color w:val="3D3D3D"/>
          <w:spacing w:val="0"/>
          <w:sz w:val="31"/>
          <w:szCs w:val="31"/>
          <w:bdr w:val="none" w:color="auto" w:sz="0" w:space="0"/>
          <w:shd w:val="clear" w:fill="FFFFFF"/>
        </w:rPr>
        <w:t>二、主动公开政府信息情况</w:t>
      </w:r>
    </w:p>
    <w:tbl>
      <w:tblPr>
        <w:tblW w:w="8145" w:type="dxa"/>
        <w:jc w:val="center"/>
        <w:shd w:val="clear"/>
        <w:tblLayout w:type="autofit"/>
        <w:tblCellMar>
          <w:top w:w="0" w:type="dxa"/>
          <w:left w:w="0" w:type="dxa"/>
          <w:bottom w:w="0" w:type="dxa"/>
          <w:right w:w="0" w:type="dxa"/>
        </w:tblCellMar>
      </w:tblPr>
      <w:tblGrid>
        <w:gridCol w:w="3120"/>
        <w:gridCol w:w="1875"/>
        <w:gridCol w:w="1275"/>
        <w:gridCol w:w="1875"/>
      </w:tblGrid>
      <w:tr>
        <w:tblPrEx>
          <w:shd w:val="clear"/>
          <w:tblCellMar>
            <w:top w:w="0" w:type="dxa"/>
            <w:left w:w="0" w:type="dxa"/>
            <w:bottom w:w="0" w:type="dxa"/>
            <w:right w:w="0" w:type="dxa"/>
          </w:tblCellMar>
        </w:tblPrEx>
        <w:trPr>
          <w:trHeight w:val="495"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第二十条第（一）项</w:t>
            </w:r>
          </w:p>
        </w:tc>
      </w:tr>
      <w:tr>
        <w:tblPrEx>
          <w:tblCellMar>
            <w:top w:w="0" w:type="dxa"/>
            <w:left w:w="0" w:type="dxa"/>
            <w:bottom w:w="0" w:type="dxa"/>
            <w:right w:w="0" w:type="dxa"/>
          </w:tblCellMar>
        </w:tblPrEx>
        <w:trPr>
          <w:trHeight w:val="88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本年新</w:t>
            </w:r>
            <w:r>
              <w:rPr>
                <w:rFonts w:hint="default" w:ascii="Times New Roman" w:hAnsi="Times New Roman" w:cs="Times New Roman"/>
                <w:sz w:val="19"/>
                <w:szCs w:val="19"/>
                <w:bdr w:val="none" w:color="auto" w:sz="0" w:space="0"/>
              </w:rPr>
              <w:br w:type="textWrapping"/>
            </w:r>
            <w:r>
              <w:rPr>
                <w:rFonts w:hint="default" w:ascii="Times New Roman" w:hAnsi="Times New Roman" w:cs="Times New Roman"/>
                <w:sz w:val="19"/>
                <w:szCs w:val="19"/>
                <w:bdr w:val="none" w:color="auto" w:sz="0" w:space="0"/>
              </w:rPr>
              <w:t>制作数量</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本年新</w:t>
            </w:r>
            <w:r>
              <w:rPr>
                <w:rFonts w:hint="default" w:ascii="Times New Roman" w:hAnsi="Times New Roman" w:cs="Times New Roman"/>
                <w:sz w:val="19"/>
                <w:szCs w:val="19"/>
                <w:bdr w:val="none" w:color="auto" w:sz="0" w:space="0"/>
              </w:rPr>
              <w:br w:type="textWrapping"/>
            </w:r>
            <w:r>
              <w:rPr>
                <w:rFonts w:hint="default" w:ascii="Times New Roman" w:hAnsi="Times New Roman" w:cs="Times New Roman"/>
                <w:sz w:val="19"/>
                <w:szCs w:val="19"/>
                <w:bdr w:val="none" w:color="auto" w:sz="0" w:space="0"/>
              </w:rPr>
              <w:t>公开数量</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对外公开总数量</w:t>
            </w:r>
          </w:p>
        </w:tc>
      </w:tr>
      <w:tr>
        <w:tblPrEx>
          <w:tblCellMar>
            <w:top w:w="0" w:type="dxa"/>
            <w:left w:w="0" w:type="dxa"/>
            <w:bottom w:w="0" w:type="dxa"/>
            <w:right w:w="0"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规章</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无</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 无</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无</w:t>
            </w:r>
          </w:p>
        </w:tc>
      </w:tr>
      <w:tr>
        <w:tblPrEx>
          <w:tblCellMar>
            <w:top w:w="0" w:type="dxa"/>
            <w:left w:w="0" w:type="dxa"/>
            <w:bottom w:w="0" w:type="dxa"/>
            <w:right w:w="0" w:type="dxa"/>
          </w:tblCellMar>
        </w:tblPrEx>
        <w:trPr>
          <w:trHeight w:val="46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规范性文件</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6</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 </w:t>
            </w:r>
            <w:r>
              <w:rPr>
                <w:rFonts w:hint="eastAsia" w:ascii="宋体" w:hAnsi="宋体" w:eastAsia="宋体" w:cs="宋体"/>
                <w:sz w:val="19"/>
                <w:szCs w:val="19"/>
                <w:bdr w:val="none" w:color="auto" w:sz="0" w:space="0"/>
              </w:rPr>
              <w:t>1</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13</w:t>
            </w:r>
          </w:p>
        </w:tc>
      </w:tr>
      <w:tr>
        <w:tblPrEx>
          <w:tblCellMar>
            <w:top w:w="0" w:type="dxa"/>
            <w:left w:w="0" w:type="dxa"/>
            <w:bottom w:w="0" w:type="dxa"/>
            <w:right w:w="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第二十条第（五）项</w:t>
            </w:r>
          </w:p>
        </w:tc>
      </w:tr>
      <w:tr>
        <w:tblPrEx>
          <w:tblCellMar>
            <w:top w:w="0" w:type="dxa"/>
            <w:left w:w="0" w:type="dxa"/>
            <w:bottom w:w="0" w:type="dxa"/>
            <w:right w:w="0"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本年增/</w:t>
            </w:r>
            <w:r>
              <w:rPr>
                <w:rFonts w:hint="eastAsia" w:ascii="宋体" w:hAnsi="宋体" w:eastAsia="宋体" w:cs="宋体"/>
                <w:sz w:val="19"/>
                <w:szCs w:val="19"/>
                <w:bdr w:val="none" w:color="auto" w:sz="0" w:space="0"/>
              </w:rPr>
              <w:t>减</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处理决定数量</w:t>
            </w:r>
          </w:p>
        </w:tc>
      </w:tr>
      <w:tr>
        <w:tblPrEx>
          <w:tblCellMar>
            <w:top w:w="0" w:type="dxa"/>
            <w:left w:w="0" w:type="dxa"/>
            <w:bottom w:w="0" w:type="dxa"/>
            <w:right w:w="0"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行政许可</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80项</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eastAsia" w:ascii="宋体" w:hAnsi="宋体" w:eastAsia="宋体" w:cs="宋体"/>
                <w:sz w:val="19"/>
                <w:szCs w:val="19"/>
                <w:bdr w:val="none" w:color="auto" w:sz="0" w:space="0"/>
              </w:rPr>
              <w:t>减少80项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无</w:t>
            </w:r>
          </w:p>
        </w:tc>
      </w:tr>
      <w:tr>
        <w:tblPrEx>
          <w:tblCellMar>
            <w:top w:w="0" w:type="dxa"/>
            <w:left w:w="0" w:type="dxa"/>
            <w:bottom w:w="0" w:type="dxa"/>
            <w:right w:w="0"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其他对外管理服务事项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5</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1</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default" w:ascii="Times New Roman" w:hAnsi="Times New Roman" w:cs="Times New Roman"/>
                <w:sz w:val="19"/>
                <w:szCs w:val="19"/>
                <w:bdr w:val="none" w:color="auto" w:sz="0" w:space="0"/>
              </w:rPr>
              <w:t>6</w:t>
            </w:r>
          </w:p>
        </w:tc>
      </w:tr>
      <w:tr>
        <w:tblPrEx>
          <w:tblCellMar>
            <w:top w:w="0" w:type="dxa"/>
            <w:left w:w="0" w:type="dxa"/>
            <w:bottom w:w="0" w:type="dxa"/>
            <w:right w:w="0" w:type="dxa"/>
          </w:tblCellMar>
        </w:tblPrEx>
        <w:trPr>
          <w:trHeight w:val="405"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第二十条第（六）项</w:t>
            </w:r>
          </w:p>
        </w:tc>
      </w:tr>
      <w:tr>
        <w:tblPrEx>
          <w:tblCellMar>
            <w:top w:w="0" w:type="dxa"/>
            <w:left w:w="0" w:type="dxa"/>
            <w:bottom w:w="0" w:type="dxa"/>
            <w:right w:w="0"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本年增/</w:t>
            </w:r>
            <w:r>
              <w:rPr>
                <w:rFonts w:hint="eastAsia" w:ascii="宋体" w:hAnsi="宋体" w:eastAsia="宋体" w:cs="宋体"/>
                <w:sz w:val="19"/>
                <w:szCs w:val="19"/>
                <w:bdr w:val="none" w:color="auto" w:sz="0" w:space="0"/>
              </w:rPr>
              <w:t>减</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处理决定数量</w:t>
            </w:r>
          </w:p>
        </w:tc>
      </w:tr>
      <w:tr>
        <w:tblPrEx>
          <w:tblCellMar>
            <w:top w:w="0" w:type="dxa"/>
            <w:left w:w="0" w:type="dxa"/>
            <w:bottom w:w="0" w:type="dxa"/>
            <w:right w:w="0" w:type="dxa"/>
          </w:tblCellMar>
        </w:tblPrEx>
        <w:trPr>
          <w:trHeight w:val="43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行政处罚</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2项</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增加1项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3</w:t>
            </w:r>
          </w:p>
        </w:tc>
      </w:tr>
      <w:tr>
        <w:tblPrEx>
          <w:tblCellMar>
            <w:top w:w="0" w:type="dxa"/>
            <w:left w:w="0" w:type="dxa"/>
            <w:bottom w:w="0" w:type="dxa"/>
            <w:right w:w="0" w:type="dxa"/>
          </w:tblCellMar>
        </w:tblPrEx>
        <w:trPr>
          <w:trHeight w:val="40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行政强制</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 无</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无</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无</w:t>
            </w:r>
          </w:p>
        </w:tc>
      </w:tr>
      <w:tr>
        <w:tblPrEx>
          <w:tblCellMar>
            <w:top w:w="0" w:type="dxa"/>
            <w:left w:w="0" w:type="dxa"/>
            <w:bottom w:w="0" w:type="dxa"/>
            <w:right w:w="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第二十条第（八）项</w:t>
            </w:r>
          </w:p>
        </w:tc>
      </w:tr>
      <w:tr>
        <w:tblPrEx>
          <w:tblCellMar>
            <w:top w:w="0" w:type="dxa"/>
            <w:left w:w="0" w:type="dxa"/>
            <w:bottom w:w="0" w:type="dxa"/>
            <w:right w:w="0" w:type="dxa"/>
          </w:tblCellMar>
        </w:tblPrEx>
        <w:trPr>
          <w:trHeight w:val="270"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信息内容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上一年项目数量</w:t>
            </w:r>
          </w:p>
        </w:tc>
        <w:tc>
          <w:tcPr>
            <w:tcW w:w="3150"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本年增/</w:t>
            </w:r>
            <w:r>
              <w:rPr>
                <w:rFonts w:hint="eastAsia" w:ascii="宋体" w:hAnsi="宋体" w:eastAsia="宋体" w:cs="宋体"/>
                <w:sz w:val="19"/>
                <w:szCs w:val="19"/>
                <w:bdr w:val="none" w:color="auto" w:sz="0" w:space="0"/>
              </w:rPr>
              <w:t>减</w:t>
            </w:r>
          </w:p>
        </w:tc>
      </w:tr>
      <w:tr>
        <w:tblPrEx>
          <w:tblCellMar>
            <w:top w:w="0" w:type="dxa"/>
            <w:left w:w="0" w:type="dxa"/>
            <w:bottom w:w="0" w:type="dxa"/>
            <w:right w:w="0"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行政事业性收费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1项</w:t>
            </w:r>
          </w:p>
        </w:tc>
        <w:tc>
          <w:tcPr>
            <w:tcW w:w="3150"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21"/>
                <w:szCs w:val="21"/>
                <w:bdr w:val="none" w:color="auto" w:sz="0" w:space="0"/>
              </w:rPr>
              <w:t>增加</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项</w:t>
            </w:r>
          </w:p>
        </w:tc>
      </w:tr>
      <w:tr>
        <w:tblPrEx>
          <w:tblCellMar>
            <w:top w:w="0" w:type="dxa"/>
            <w:left w:w="0" w:type="dxa"/>
            <w:bottom w:w="0" w:type="dxa"/>
            <w:right w:w="0"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第二十条第（九）项</w:t>
            </w:r>
          </w:p>
        </w:tc>
      </w:tr>
      <w:tr>
        <w:tblPrEx>
          <w:tblCellMar>
            <w:top w:w="0" w:type="dxa"/>
            <w:left w:w="0" w:type="dxa"/>
            <w:bottom w:w="0" w:type="dxa"/>
            <w:right w:w="0" w:type="dxa"/>
          </w:tblCellMar>
        </w:tblPrEx>
        <w:trPr>
          <w:trHeight w:val="585"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信息内容</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采购项目数量</w:t>
            </w:r>
          </w:p>
        </w:tc>
        <w:tc>
          <w:tcPr>
            <w:tcW w:w="3150"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采购总金额</w:t>
            </w:r>
          </w:p>
        </w:tc>
      </w:tr>
      <w:tr>
        <w:tblPrEx>
          <w:tblCellMar>
            <w:top w:w="0" w:type="dxa"/>
            <w:left w:w="0" w:type="dxa"/>
            <w:bottom w:w="0" w:type="dxa"/>
            <w:right w:w="0" w:type="dxa"/>
          </w:tblCellMar>
        </w:tblPrEx>
        <w:trPr>
          <w:trHeight w:val="540" w:hRule="atLeast"/>
          <w:jc w:val="center"/>
        </w:trPr>
        <w:tc>
          <w:tcPr>
            <w:tcW w:w="31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政府集中采购</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sz w:val="21"/>
                <w:szCs w:val="21"/>
                <w:bdr w:val="none" w:color="auto" w:sz="0" w:space="0"/>
              </w:rPr>
              <w:t>　</w:t>
            </w:r>
            <w:r>
              <w:rPr>
                <w:rFonts w:hint="eastAsia" w:ascii="宋体" w:hAnsi="宋体" w:eastAsia="宋体" w:cs="宋体"/>
                <w:sz w:val="19"/>
                <w:szCs w:val="19"/>
                <w:bdr w:val="none" w:color="auto" w:sz="0" w:space="0"/>
              </w:rPr>
              <w:t>15项</w:t>
            </w:r>
          </w:p>
        </w:tc>
        <w:tc>
          <w:tcPr>
            <w:tcW w:w="3150" w:type="dxa"/>
            <w:gridSpan w:val="2"/>
            <w:tcBorders>
              <w:top w:val="nil"/>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4"/>
                <w:szCs w:val="24"/>
                <w:bdr w:val="none" w:color="auto" w:sz="0" w:space="0"/>
              </w:rPr>
              <w:t>1628.8万元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Style w:val="7"/>
          <w:rFonts w:hint="eastAsia" w:ascii="黑体" w:hAnsi="宋体" w:eastAsia="黑体" w:cs="黑体"/>
          <w:b/>
          <w:i w:val="0"/>
          <w:caps w:val="0"/>
          <w:color w:val="3D3D3D"/>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bookmarkStart w:id="0" w:name="_GoBack"/>
      <w:bookmarkEnd w:id="0"/>
      <w:r>
        <w:rPr>
          <w:rStyle w:val="7"/>
          <w:rFonts w:hint="eastAsia" w:ascii="黑体" w:hAnsi="宋体" w:eastAsia="黑体" w:cs="黑体"/>
          <w:b/>
          <w:i w:val="0"/>
          <w:caps w:val="0"/>
          <w:color w:val="3D3D3D"/>
          <w:spacing w:val="0"/>
          <w:sz w:val="31"/>
          <w:szCs w:val="31"/>
          <w:bdr w:val="none" w:color="auto" w:sz="0" w:space="0"/>
          <w:shd w:val="clear" w:fill="FFFFFF"/>
        </w:rPr>
        <w:t>三、收到和处理政府信息公开申请情况</w:t>
      </w:r>
    </w:p>
    <w:tbl>
      <w:tblPr>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4"/>
        <w:gridCol w:w="855"/>
        <w:gridCol w:w="2079"/>
        <w:gridCol w:w="809"/>
        <w:gridCol w:w="749"/>
        <w:gridCol w:w="749"/>
        <w:gridCol w:w="809"/>
        <w:gridCol w:w="973"/>
        <w:gridCol w:w="719"/>
        <w:gridCol w:w="7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5" w:type="dxa"/>
            <w:gridSpan w:val="3"/>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（本列数据的勾稽关系为：第一项加第二项之和，等于第三项加第四项之和）</w:t>
            </w:r>
          </w:p>
        </w:tc>
        <w:tc>
          <w:tcPr>
            <w:tcW w:w="5520"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5"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自然人</w:t>
            </w:r>
          </w:p>
        </w:tc>
        <w:tc>
          <w:tcPr>
            <w:tcW w:w="4005"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法人或其他组织</w:t>
            </w:r>
          </w:p>
        </w:tc>
        <w:tc>
          <w:tcPr>
            <w:tcW w:w="69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5"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商业企业</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科研机构</w:t>
            </w:r>
          </w:p>
        </w:tc>
        <w:tc>
          <w:tcPr>
            <w:tcW w:w="8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社会公益组织</w:t>
            </w:r>
          </w:p>
        </w:tc>
        <w:tc>
          <w:tcPr>
            <w:tcW w:w="9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法律服务机构</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其他</w:t>
            </w:r>
          </w:p>
        </w:tc>
        <w:tc>
          <w:tcPr>
            <w:tcW w:w="69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一、本年新收政府信息公开申请数量</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1</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二、上年结转政府信息公开申请数量</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三、本年度办理结果</w:t>
            </w:r>
          </w:p>
        </w:tc>
        <w:tc>
          <w:tcPr>
            <w:tcW w:w="294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（一）予以公开</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（二）部分公开（区分处理的，只计这一情形，不计其他情形）</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（三）不予公开</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1.</w:t>
            </w:r>
            <w:r>
              <w:rPr>
                <w:rFonts w:ascii="楷体" w:hAnsi="楷体" w:eastAsia="楷体" w:cs="楷体"/>
                <w:sz w:val="19"/>
                <w:szCs w:val="19"/>
                <w:bdr w:val="none" w:color="auto" w:sz="0" w:space="0"/>
              </w:rPr>
              <w:t>属于国家秘密</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2.</w:t>
            </w:r>
            <w:r>
              <w:rPr>
                <w:rFonts w:hint="eastAsia" w:ascii="楷体" w:hAnsi="楷体" w:eastAsia="楷体" w:cs="楷体"/>
                <w:sz w:val="19"/>
                <w:szCs w:val="19"/>
                <w:bdr w:val="none" w:color="auto" w:sz="0" w:space="0"/>
              </w:rPr>
              <w:t>其他法律行政法规禁止公开</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3.</w:t>
            </w:r>
            <w:r>
              <w:rPr>
                <w:rFonts w:hint="eastAsia" w:ascii="楷体" w:hAnsi="楷体" w:eastAsia="楷体" w:cs="楷体"/>
                <w:sz w:val="19"/>
                <w:szCs w:val="19"/>
                <w:bdr w:val="none" w:color="auto" w:sz="0" w:space="0"/>
              </w:rPr>
              <w:t>危及</w:t>
            </w:r>
            <w:r>
              <w:rPr>
                <w:rFonts w:hint="default" w:ascii="Times New Roman" w:hAnsi="Times New Roman" w:cs="Times New Roman"/>
                <w:sz w:val="19"/>
                <w:szCs w:val="19"/>
                <w:bdr w:val="none" w:color="auto" w:sz="0" w:space="0"/>
              </w:rPr>
              <w:t>“</w:t>
            </w:r>
            <w:r>
              <w:rPr>
                <w:rFonts w:hint="eastAsia" w:ascii="楷体" w:hAnsi="楷体" w:eastAsia="楷体" w:cs="楷体"/>
                <w:sz w:val="19"/>
                <w:szCs w:val="19"/>
                <w:bdr w:val="none" w:color="auto" w:sz="0" w:space="0"/>
              </w:rPr>
              <w:t>三安全一稳定</w:t>
            </w:r>
            <w:r>
              <w:rPr>
                <w:rFonts w:hint="default" w:ascii="Times New Roman" w:hAnsi="Times New Roman" w:cs="Times New Roman"/>
                <w:sz w:val="19"/>
                <w:szCs w:val="19"/>
                <w:bdr w:val="none" w:color="auto" w:sz="0" w:space="0"/>
              </w:rPr>
              <w:t>”</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4.</w:t>
            </w:r>
            <w:r>
              <w:rPr>
                <w:rFonts w:hint="eastAsia" w:ascii="楷体" w:hAnsi="楷体" w:eastAsia="楷体" w:cs="楷体"/>
                <w:sz w:val="19"/>
                <w:szCs w:val="19"/>
                <w:bdr w:val="none" w:color="auto" w:sz="0" w:space="0"/>
              </w:rPr>
              <w:t>保护第三方合法权益</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5.</w:t>
            </w:r>
            <w:r>
              <w:rPr>
                <w:rFonts w:hint="eastAsia" w:ascii="楷体" w:hAnsi="楷体" w:eastAsia="楷体" w:cs="楷体"/>
                <w:sz w:val="19"/>
                <w:szCs w:val="19"/>
                <w:bdr w:val="none" w:color="auto" w:sz="0" w:space="0"/>
              </w:rPr>
              <w:t>属于三类内部事务信息</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6.</w:t>
            </w:r>
            <w:r>
              <w:rPr>
                <w:rFonts w:hint="eastAsia" w:ascii="楷体" w:hAnsi="楷体" w:eastAsia="楷体" w:cs="楷体"/>
                <w:sz w:val="19"/>
                <w:szCs w:val="19"/>
                <w:bdr w:val="none" w:color="auto" w:sz="0" w:space="0"/>
              </w:rPr>
              <w:t>属于四类过程性信息</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7.</w:t>
            </w:r>
            <w:r>
              <w:rPr>
                <w:rFonts w:hint="eastAsia" w:ascii="楷体" w:hAnsi="楷体" w:eastAsia="楷体" w:cs="楷体"/>
                <w:sz w:val="19"/>
                <w:szCs w:val="19"/>
                <w:bdr w:val="none" w:color="auto" w:sz="0" w:space="0"/>
              </w:rPr>
              <w:t>属于行政执法案卷</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8.</w:t>
            </w:r>
            <w:r>
              <w:rPr>
                <w:rFonts w:hint="eastAsia" w:ascii="楷体" w:hAnsi="楷体" w:eastAsia="楷体" w:cs="楷体"/>
                <w:sz w:val="19"/>
                <w:szCs w:val="19"/>
                <w:bdr w:val="none" w:color="auto" w:sz="0" w:space="0"/>
              </w:rPr>
              <w:t>属于行政查询事项</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（四）无法提供</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1.</w:t>
            </w:r>
            <w:r>
              <w:rPr>
                <w:rFonts w:hint="eastAsia" w:ascii="楷体" w:hAnsi="楷体" w:eastAsia="楷体" w:cs="楷体"/>
                <w:sz w:val="19"/>
                <w:szCs w:val="19"/>
                <w:bdr w:val="none" w:color="auto" w:sz="0" w:space="0"/>
              </w:rPr>
              <w:t>本机关不掌握相关政府信息</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2.</w:t>
            </w:r>
            <w:r>
              <w:rPr>
                <w:rFonts w:hint="eastAsia" w:ascii="楷体" w:hAnsi="楷体" w:eastAsia="楷体" w:cs="楷体"/>
                <w:sz w:val="19"/>
                <w:szCs w:val="19"/>
                <w:bdr w:val="none" w:color="auto" w:sz="0" w:space="0"/>
              </w:rPr>
              <w:t>没有现成信息需要另行制作</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3.</w:t>
            </w:r>
            <w:r>
              <w:rPr>
                <w:rFonts w:hint="eastAsia" w:ascii="楷体" w:hAnsi="楷体" w:eastAsia="楷体" w:cs="楷体"/>
                <w:sz w:val="19"/>
                <w:szCs w:val="19"/>
                <w:bdr w:val="none" w:color="auto" w:sz="0" w:space="0"/>
              </w:rPr>
              <w:t>补正后申请内容仍不明确</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（五）不予处理</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1.</w:t>
            </w:r>
            <w:r>
              <w:rPr>
                <w:rFonts w:hint="eastAsia" w:ascii="楷体" w:hAnsi="楷体" w:eastAsia="楷体" w:cs="楷体"/>
                <w:sz w:val="19"/>
                <w:szCs w:val="19"/>
                <w:bdr w:val="none" w:color="auto" w:sz="0" w:space="0"/>
              </w:rPr>
              <w:t>信访举报投诉类申请</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2.</w:t>
            </w:r>
            <w:r>
              <w:rPr>
                <w:rFonts w:hint="eastAsia" w:ascii="楷体" w:hAnsi="楷体" w:eastAsia="楷体" w:cs="楷体"/>
                <w:sz w:val="19"/>
                <w:szCs w:val="19"/>
                <w:bdr w:val="none" w:color="auto" w:sz="0" w:space="0"/>
              </w:rPr>
              <w:t>重复申请</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3.</w:t>
            </w:r>
            <w:r>
              <w:rPr>
                <w:rFonts w:hint="eastAsia" w:ascii="楷体" w:hAnsi="楷体" w:eastAsia="楷体" w:cs="楷体"/>
                <w:sz w:val="19"/>
                <w:szCs w:val="19"/>
                <w:bdr w:val="none" w:color="auto" w:sz="0" w:space="0"/>
              </w:rPr>
              <w:t>要求提供公开出版物</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4.</w:t>
            </w:r>
            <w:r>
              <w:rPr>
                <w:rFonts w:hint="eastAsia" w:ascii="楷体" w:hAnsi="楷体" w:eastAsia="楷体" w:cs="楷体"/>
                <w:sz w:val="19"/>
                <w:szCs w:val="19"/>
                <w:bdr w:val="none" w:color="auto" w:sz="0" w:space="0"/>
              </w:rPr>
              <w:t>无正当理由大量反复申请</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5.</w:t>
            </w:r>
            <w:r>
              <w:rPr>
                <w:rFonts w:hint="eastAsia" w:ascii="楷体" w:hAnsi="楷体" w:eastAsia="楷体" w:cs="楷体"/>
                <w:sz w:val="19"/>
                <w:szCs w:val="19"/>
                <w:bdr w:val="none" w:color="auto" w:sz="0" w:space="0"/>
              </w:rPr>
              <w:t>要求行政机关确认或重新出具已获取信息</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（六）其他处理</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1</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4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（七）总计</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2 </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1 </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21"/>
                <w:szCs w:val="21"/>
              </w:rPr>
            </w:pPr>
            <w:r>
              <w:rPr>
                <w:rFonts w:hint="default" w:ascii="Times New Roman" w:hAnsi="Times New Roman" w:cs="Times New Roman"/>
                <w:sz w:val="19"/>
                <w:szCs w:val="19"/>
                <w:bdr w:val="none" w:color="auto" w:sz="0" w:space="0"/>
              </w:rPr>
              <w:t>四、结转下年度继续办理</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 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8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无</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Times New Roman" w:hAnsi="Times New Roman" w:cs="Times New Roman"/>
                <w:sz w:val="19"/>
                <w:szCs w:val="19"/>
                <w:bdr w:val="none" w:color="auto" w:sz="0" w:space="0"/>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Style w:val="7"/>
          <w:rFonts w:hint="eastAsia" w:ascii="黑体" w:hAnsi="宋体" w:eastAsia="黑体" w:cs="黑体"/>
          <w:b/>
          <w:i w:val="0"/>
          <w:caps w:val="0"/>
          <w:color w:val="3D3D3D"/>
          <w:spacing w:val="0"/>
          <w:sz w:val="31"/>
          <w:szCs w:val="31"/>
          <w:bdr w:val="none" w:color="auto" w:sz="0" w:space="0"/>
          <w:shd w:val="clear" w:fill="FFFFFF"/>
        </w:rPr>
        <w:t>四、政府信息公开行政复议、行政诉讼情况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default" w:ascii="Times New Roman" w:hAnsi="Times New Roman" w:eastAsia="微软雅黑" w:cs="Times New Roman"/>
          <w:i w:val="0"/>
          <w:caps w:val="0"/>
          <w:color w:val="3D3D3D"/>
          <w:spacing w:val="0"/>
          <w:sz w:val="24"/>
          <w:szCs w:val="24"/>
          <w:bdr w:val="none" w:color="auto" w:sz="0" w:space="0"/>
          <w:shd w:val="clear" w:fill="FFFFFF"/>
        </w:rPr>
        <w:t> </w:t>
      </w:r>
    </w:p>
    <w:tbl>
      <w:tblPr>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7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行政复议</w:t>
            </w:r>
          </w:p>
        </w:tc>
        <w:tc>
          <w:tcPr>
            <w:tcW w:w="6000" w:type="dxa"/>
            <w:gridSpan w:val="10"/>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结果维持</w:t>
            </w:r>
          </w:p>
        </w:tc>
        <w:tc>
          <w:tcPr>
            <w:tcW w:w="60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结果纠正</w:t>
            </w:r>
          </w:p>
        </w:tc>
        <w:tc>
          <w:tcPr>
            <w:tcW w:w="6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其他结果</w:t>
            </w:r>
          </w:p>
        </w:tc>
        <w:tc>
          <w:tcPr>
            <w:tcW w:w="6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尚未审结</w:t>
            </w:r>
          </w:p>
        </w:tc>
        <w:tc>
          <w:tcPr>
            <w:tcW w:w="66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总计</w:t>
            </w:r>
          </w:p>
        </w:tc>
        <w:tc>
          <w:tcPr>
            <w:tcW w:w="2970"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未经复议直接起诉</w:t>
            </w:r>
          </w:p>
        </w:tc>
        <w:tc>
          <w:tcPr>
            <w:tcW w:w="3030"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结果维持</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结果纠正</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其他结果</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尚未审结</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总计</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结果维持</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结果纠正</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其他结果</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尚未审结</w:t>
            </w:r>
          </w:p>
        </w:tc>
        <w:tc>
          <w:tcPr>
            <w:tcW w:w="6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default" w:ascii="Times New Roman" w:hAnsi="Times New Roman" w:cs="Times New Roman"/>
                <w:sz w:val="19"/>
                <w:szCs w:val="19"/>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6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3</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3</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1"/>
                <w:szCs w:val="21"/>
              </w:rPr>
            </w:pPr>
            <w:r>
              <w:rPr>
                <w:rFonts w:hint="eastAsia" w:ascii="宋体" w:hAnsi="宋体" w:eastAsia="宋体" w:cs="宋体"/>
                <w:sz w:val="19"/>
                <w:szCs w:val="19"/>
                <w:bdr w:val="none" w:color="auto" w:sz="0" w:space="0"/>
              </w:rPr>
              <w:t>无</w:t>
            </w:r>
          </w:p>
        </w:tc>
        <w:tc>
          <w:tcPr>
            <w:tcW w:w="6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9"/>
                <w:szCs w:val="19"/>
                <w:bdr w:val="none" w:color="auto" w:sz="0" w:space="0"/>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D3D3D"/>
          <w:spacing w:val="0"/>
          <w:sz w:val="21"/>
          <w:szCs w:val="21"/>
        </w:rPr>
      </w:pPr>
      <w:r>
        <w:rPr>
          <w:rFonts w:hint="default" w:ascii="Times New Roman" w:hAnsi="Times New Roman" w:eastAsia="微软雅黑" w:cs="Times New Roman"/>
          <w:i w:val="0"/>
          <w:caps w:val="0"/>
          <w:color w:val="3D3D3D"/>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Style w:val="7"/>
          <w:rFonts w:hint="eastAsia" w:ascii="黑体" w:hAnsi="宋体" w:eastAsia="黑体" w:cs="黑体"/>
          <w:b/>
          <w:i w:val="0"/>
          <w:caps w:val="0"/>
          <w:color w:val="3D3D3D"/>
          <w:spacing w:val="0"/>
          <w:sz w:val="31"/>
          <w:szCs w:val="31"/>
          <w:bdr w:val="none" w:color="auto" w:sz="0" w:space="0"/>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在重大建设项目批准和实施领域需采取更有力的工作举措，做实做细政务公开工作。局下属单位信息公开还有待于进一步提升，局兼职信息联络员专业知识、能力有待于进一步提高。对此，我局将在</w:t>
      </w:r>
      <w:r>
        <w:rPr>
          <w:rFonts w:hint="default" w:ascii="Times New Roman" w:hAnsi="Times New Roman" w:eastAsia="微软雅黑" w:cs="Times New Roman"/>
          <w:i w:val="0"/>
          <w:caps w:val="0"/>
          <w:color w:val="3D3D3D"/>
          <w:spacing w:val="0"/>
          <w:sz w:val="31"/>
          <w:szCs w:val="31"/>
          <w:bdr w:val="none" w:color="auto" w:sz="0" w:space="0"/>
          <w:shd w:val="clear" w:fill="FFFFFF"/>
        </w:rPr>
        <w:t>20</w:t>
      </w:r>
      <w:r>
        <w:rPr>
          <w:rFonts w:hint="eastAsia" w:ascii="仿宋" w:hAnsi="仿宋" w:eastAsia="仿宋" w:cs="仿宋"/>
          <w:i w:val="0"/>
          <w:caps w:val="0"/>
          <w:color w:val="3D3D3D"/>
          <w:spacing w:val="0"/>
          <w:sz w:val="31"/>
          <w:szCs w:val="31"/>
          <w:bdr w:val="none" w:color="auto" w:sz="0" w:space="0"/>
          <w:shd w:val="clear" w:fill="FFFFFF"/>
        </w:rPr>
        <w:t>20年加强从事政务公开人员队伍的培训，提升整体工作能力和水平。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Style w:val="7"/>
          <w:rFonts w:hint="eastAsia" w:ascii="黑体" w:hAnsi="宋体" w:eastAsia="黑体" w:cs="黑体"/>
          <w:b/>
          <w:i w:val="0"/>
          <w:caps w:val="0"/>
          <w:color w:val="3D3D3D"/>
          <w:spacing w:val="0"/>
          <w:sz w:val="31"/>
          <w:szCs w:val="31"/>
          <w:bdr w:val="none" w:color="auto" w:sz="0" w:space="0"/>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无</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A0290"/>
    <w:rsid w:val="1D1943FD"/>
    <w:rsid w:val="6EAA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主动公开信息737条</c:v>
                </c:pt>
              </c:strCache>
            </c:strRef>
          </c:tx>
          <c:explosion val="0"/>
          <c:dPt>
            <c:idx val="0"/>
            <c:bubble3D val="0"/>
          </c:dPt>
          <c:dPt>
            <c:idx val="1"/>
            <c:bubble3D val="0"/>
          </c:dPt>
          <c:dPt>
            <c:idx val="2"/>
            <c:bubble3D val="0"/>
          </c:dPt>
          <c:dLbls>
            <c:delete val="1"/>
          </c:dLbls>
          <c:cat>
            <c:strRef>
              <c:f>Sheet1!$A$2:$A$4</c:f>
              <c:strCache>
                <c:ptCount val="3"/>
                <c:pt idx="0">
                  <c:v>政府网站公开</c:v>
                </c:pt>
                <c:pt idx="1">
                  <c:v>政务微博公开</c:v>
                </c:pt>
                <c:pt idx="2">
                  <c:v>政务微信公开</c:v>
                </c:pt>
              </c:strCache>
            </c:strRef>
          </c:cat>
          <c:val>
            <c:numRef>
              <c:f>Sheet1!$B$2:$B$4</c:f>
              <c:numCache>
                <c:formatCode>General</c:formatCode>
                <c:ptCount val="3"/>
                <c:pt idx="0">
                  <c:v>530</c:v>
                </c:pt>
                <c:pt idx="1">
                  <c:v>185</c:v>
                </c:pt>
                <c:pt idx="2">
                  <c:v>22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济宁市网络问政平台和12345政务服务热线回复工作</c:v>
                </c:pt>
              </c:strCache>
            </c:strRef>
          </c:tx>
          <c:explosion val="0"/>
          <c:dPt>
            <c:idx val="0"/>
            <c:bubble3D val="0"/>
          </c:dPt>
          <c:dPt>
            <c:idx val="1"/>
            <c:bubble3D val="0"/>
          </c:dPt>
          <c:dLbls>
            <c:delete val="1"/>
          </c:dLbls>
          <c:cat>
            <c:strRef>
              <c:f>Sheet1!$A$2:$A$3</c:f>
              <c:strCache>
                <c:ptCount val="2"/>
                <c:pt idx="0">
                  <c:v>政务服务热线</c:v>
                </c:pt>
                <c:pt idx="1">
                  <c:v>网络问政平台</c:v>
                </c:pt>
              </c:strCache>
            </c:strRef>
          </c:cat>
          <c:val>
            <c:numRef>
              <c:f>Sheet1!$B$2:$B$3</c:f>
              <c:numCache>
                <c:formatCode>General</c:formatCode>
                <c:ptCount val="2"/>
                <c:pt idx="0">
                  <c:v>91</c:v>
                </c:pt>
                <c:pt idx="1">
                  <c:v>15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2020-06-22T09:52:00Z</dcterms:created>
  <dc:creator>中都侯</dc:creator>
  <cp:lastModifiedBy>中都侯</cp:lastModifiedBy>
  <dcterms:modified xsi:type="dcterms:W3CDTF">2020-06-22T09:54:57Z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