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333333"/>
          <w:spacing w:val="-17"/>
          <w:sz w:val="44"/>
          <w:szCs w:val="44"/>
          <w:highlight w:val="none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333333"/>
          <w:spacing w:val="0"/>
          <w:sz w:val="44"/>
          <w:szCs w:val="44"/>
          <w:highlight w:val="none"/>
          <w:shd w:val="clear" w:fill="FFFFFF"/>
          <w:lang w:eastAsia="zh-CN"/>
        </w:rPr>
        <w:t>济宁市</w: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333333"/>
          <w:spacing w:val="0"/>
          <w:sz w:val="44"/>
          <w:szCs w:val="44"/>
          <w:highlight w:val="none"/>
          <w:shd w:val="clear" w:fill="FFFFFF"/>
          <w:lang w:val="en-US" w:eastAsia="zh-CN"/>
        </w:rPr>
        <w:t>城市管理</w: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333333"/>
          <w:spacing w:val="-17"/>
          <w:sz w:val="44"/>
          <w:szCs w:val="44"/>
          <w:highlight w:val="none"/>
          <w:shd w:val="clear" w:fill="FFFFFF"/>
          <w:lang w:val="en-US" w:eastAsia="zh-CN"/>
        </w:rPr>
        <w:t>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333333"/>
          <w:spacing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333333"/>
          <w:spacing w:val="-17"/>
          <w:sz w:val="44"/>
          <w:szCs w:val="44"/>
          <w:highlight w:val="none"/>
          <w:shd w:val="clear" w:fill="FFFFFF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333333"/>
          <w:spacing w:val="-17"/>
          <w:sz w:val="44"/>
          <w:szCs w:val="44"/>
          <w:highlight w:val="none"/>
          <w:shd w:val="clear" w:fill="FFFFFF"/>
        </w:rPr>
        <w:t>政府信息公开工作</w: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333333"/>
          <w:spacing w:val="0"/>
          <w:sz w:val="44"/>
          <w:szCs w:val="44"/>
          <w:highlight w:val="none"/>
          <w:shd w:val="clear" w:fill="FFFFFF"/>
        </w:rPr>
        <w:t>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05" w:rightChars="-50" w:firstLine="642" w:firstLineChars="200"/>
        <w:textAlignment w:val="auto"/>
        <w:rPr>
          <w:rFonts w:hint="eastAsia" w:ascii="方正仿宋简体" w:eastAsia="方正仿宋简体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02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pacing w:val="0"/>
          <w:sz w:val="30"/>
          <w:szCs w:val="30"/>
          <w:highlight w:val="none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0"/>
          <w:szCs w:val="30"/>
          <w:highlight w:val="none"/>
        </w:rPr>
        <w:t>本报告由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0"/>
          <w:szCs w:val="30"/>
          <w:highlight w:val="none"/>
          <w:lang w:val="en-US" w:eastAsia="zh-CN"/>
        </w:rPr>
        <w:t>济宁市城市管理局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0"/>
          <w:szCs w:val="30"/>
          <w:highlight w:val="none"/>
        </w:rPr>
        <w:t>按照《中华人民共和国政府信息公开条例》（以下简称《条例》）和《中华人民共和国政府信息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pacing w:val="0"/>
          <w:sz w:val="30"/>
          <w:szCs w:val="30"/>
          <w:highlight w:val="none"/>
        </w:rPr>
        <w:t>公开工作年度报告格式》（国办公开办函〔2021〕30号）要求编制。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05" w:rightChars="-50" w:firstLine="602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0"/>
          <w:szCs w:val="30"/>
          <w:highlight w:val="none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0"/>
          <w:szCs w:val="30"/>
          <w:highlight w:val="none"/>
        </w:rPr>
        <w:t>本报告内容包括总体情况、主动公开政府信息情况、收到和处理政府信息公开申请情况、政府信息公开行政复议和行政诉讼情况、存在的主要问题及改进情况、其他需要报告的事项等六部分内容。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05" w:rightChars="-50" w:firstLine="602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0"/>
          <w:szCs w:val="30"/>
          <w:highlight w:val="none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0"/>
          <w:szCs w:val="30"/>
          <w:highlight w:val="none"/>
        </w:rPr>
        <w:t>本报告所列数据的统计期限自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0"/>
          <w:szCs w:val="30"/>
          <w:highlight w:val="none"/>
          <w:lang w:val="en-US" w:eastAsia="zh-CN"/>
        </w:rPr>
        <w:t>2023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0"/>
          <w:szCs w:val="30"/>
          <w:highlight w:val="none"/>
        </w:rPr>
        <w:t>年1月1日起至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0"/>
          <w:szCs w:val="30"/>
          <w:highlight w:val="none"/>
          <w:lang w:val="en-US" w:eastAsia="zh-CN"/>
        </w:rPr>
        <w:t>2023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0"/>
          <w:szCs w:val="30"/>
          <w:highlight w:val="none"/>
        </w:rPr>
        <w:t>年12月31日止。本报告电子版可在“中国·济宁”政府门户网站（http://www.jining.gov.cn/</w:t>
      </w:r>
      <w:bookmarkStart w:id="10" w:name="_GoBack"/>
      <w:bookmarkEnd w:id="10"/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0"/>
          <w:szCs w:val="30"/>
          <w:highlight w:val="none"/>
        </w:rPr>
        <w:t>）查阅或下载。如对本报告有疑问，请与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0"/>
          <w:szCs w:val="30"/>
          <w:highlight w:val="none"/>
          <w:lang w:val="en-US" w:eastAsia="zh-CN"/>
        </w:rPr>
        <w:t>济宁市城市管理局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0"/>
          <w:szCs w:val="30"/>
          <w:highlight w:val="none"/>
        </w:rPr>
        <w:t>联系（地址：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auto"/>
          <w:spacing w:val="0"/>
          <w:sz w:val="30"/>
          <w:szCs w:val="30"/>
          <w:highlight w:val="none"/>
          <w:shd w:val="clear"/>
        </w:rPr>
        <w:t>济宁市任城区洸河路16号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0"/>
          <w:szCs w:val="30"/>
          <w:highlight w:val="none"/>
        </w:rPr>
        <w:t>，联系电话：0537—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0"/>
          <w:szCs w:val="30"/>
          <w:highlight w:val="none"/>
          <w:lang w:val="en-US" w:eastAsia="zh-CN"/>
        </w:rPr>
        <w:t>3160011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0"/>
          <w:szCs w:val="30"/>
          <w:highlight w:val="none"/>
        </w:rPr>
        <w:t>）。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02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一、总体情况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02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2023年济宁市城市管理局深入贯彻落实党中央、省、市关于政务公开工作的决策部署，着力提升信息公开质量，加强信息公开发布的力度和时效，政策解读形式不断丰富，政务公开工作标准化、规范化不断提升。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02" w:firstLineChars="200"/>
        <w:jc w:val="both"/>
        <w:textAlignment w:val="auto"/>
        <w:rPr>
          <w:rFonts w:hint="eastAsia" w:ascii="方正楷体简体" w:hAnsi="方正楷体简体" w:eastAsia="方正楷体简体" w:cs="方正楷体简体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（一）主动公开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02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1、2023年，济宁市城市管理局修订了《2023年政务公开工作实施方案》，通过网站、“济宁城市运行管理”微信公众号主动公开政府信息1921条。其中，网站共发布各类信息1249条，公众号发布信息672条，订阅人数达到了7020余人次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02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2、归集展示《济宁市城市绿化条例》（修正）草案全文、草案说明、决策背景、公众意见建议收集和采纳情况等全过程。会议公开30件（全体会议4件，专题会议16件，部门会议10件）。持续做好政策解读工作，采用主要负责人解读、媒体解读、专家解读多种角度和图文、音频视频等多种形式开展解读，2023年发布政策解读11件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Fonts w:hint="default" w:ascii="方正仿宋简体" w:hAnsi="方正仿宋简体" w:eastAsia="方正仿宋简体" w:cs="方正仿宋简体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highlight w:val="none"/>
        </w:rPr>
        <w:drawing>
          <wp:inline distT="0" distB="0" distL="114300" distR="114300">
            <wp:extent cx="4531995" cy="2724150"/>
            <wp:effectExtent l="0" t="0" r="1905" b="0"/>
            <wp:docPr id="3" name="图片 1" descr="/home/user/Desktop/图片2.png图片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/home/user/Desktop/图片2.png图片2"/>
                    <pic:cNvPicPr>
                      <a:picLocks noChangeAspect="true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199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02" w:firstLineChars="200"/>
        <w:jc w:val="both"/>
        <w:textAlignment w:val="auto"/>
        <w:rPr>
          <w:rFonts w:hint="eastAsia" w:eastAsiaTheme="minorEastAsia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3、做好</w:t>
      </w:r>
      <w:r>
        <w:rPr>
          <w:rFonts w:hint="default" w:ascii="Times New Roman" w:hAnsi="Times New Roman" w:eastAsia="楷体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城建重点项目建设</w:t>
      </w:r>
      <w:r>
        <w:rPr>
          <w:rFonts w:hint="eastAsia" w:ascii="Times New Roman" w:hAnsi="Times New Roman" w:eastAsia="楷体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方正楷体简体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中心城区网格化管理</w:t>
      </w:r>
      <w:r>
        <w:rPr>
          <w:rFonts w:hint="eastAsia" w:ascii="Times New Roman" w:hAnsi="Times New Roman" w:eastAsia="方正楷体简体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方正楷体简体" w:cs="Times New Roman"/>
          <w:b/>
          <w:bCs/>
          <w:color w:val="000000"/>
          <w:sz w:val="32"/>
          <w:szCs w:val="32"/>
          <w:highlight w:val="none"/>
          <w:lang w:val="en-US" w:eastAsia="zh-CN" w:bidi="ar-SA"/>
        </w:rPr>
        <w:t>市容秩序整</w:t>
      </w:r>
      <w:r>
        <w:rPr>
          <w:rFonts w:hint="eastAsia" w:ascii="Times New Roman" w:hAnsi="Times New Roman" w:eastAsia="方正楷体简体" w:cs="Times New Roman"/>
          <w:b/>
          <w:bCs/>
          <w:color w:val="000000"/>
          <w:sz w:val="32"/>
          <w:szCs w:val="32"/>
          <w:highlight w:val="none"/>
          <w:lang w:val="en-US" w:eastAsia="zh-CN" w:bidi="ar-SA"/>
        </w:rPr>
        <w:t>治</w:t>
      </w:r>
      <w:r>
        <w:rPr>
          <w:rFonts w:hint="default" w:ascii="Times New Roman" w:hAnsi="Times New Roman" w:eastAsia="方正楷体简体" w:cs="Times New Roman"/>
          <w:b/>
          <w:bCs/>
          <w:color w:val="000000"/>
          <w:sz w:val="32"/>
          <w:szCs w:val="32"/>
          <w:highlight w:val="none"/>
          <w:lang w:val="en-US" w:eastAsia="zh-CN" w:bidi="ar-SA"/>
        </w:rPr>
        <w:t>提升</w:t>
      </w:r>
      <w:r>
        <w:rPr>
          <w:rFonts w:hint="eastAsia" w:ascii="Times New Roman" w:hAnsi="Times New Roman" w:eastAsia="方正楷体简体" w:cs="Times New Roman"/>
          <w:b/>
          <w:bCs/>
          <w:color w:val="000000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方正楷体简体" w:cs="Times New Roman"/>
          <w:b/>
          <w:bCs/>
          <w:kern w:val="0"/>
          <w:sz w:val="32"/>
          <w:szCs w:val="32"/>
          <w:highlight w:val="none"/>
        </w:rPr>
        <w:t>园林绿化精细管理</w:t>
      </w:r>
      <w:r>
        <w:rPr>
          <w:rFonts w:hint="eastAsia" w:ascii="Times New Roman" w:hAnsi="Times New Roman" w:eastAsia="方正楷体简体" w:cs="Times New Roman"/>
          <w:b/>
          <w:bCs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楷体简体" w:cs="Times New Roman"/>
          <w:b/>
          <w:bCs/>
          <w:kern w:val="0"/>
          <w:sz w:val="32"/>
          <w:szCs w:val="32"/>
          <w:highlight w:val="none"/>
          <w:lang w:val="en-US" w:eastAsia="zh-CN"/>
        </w:rPr>
        <w:t>城市安全度汛</w:t>
      </w:r>
      <w:r>
        <w:rPr>
          <w:rFonts w:hint="eastAsia" w:ascii="Times New Roman" w:hAnsi="Times New Roman" w:eastAsia="方正楷体简体" w:cs="Times New Roman"/>
          <w:b/>
          <w:bCs/>
          <w:kern w:val="0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方正楷体简体" w:cs="Times New Roman"/>
          <w:b/>
          <w:bCs/>
          <w:kern w:val="0"/>
          <w:sz w:val="32"/>
          <w:szCs w:val="32"/>
          <w:highlight w:val="none"/>
        </w:rPr>
        <w:t>环境卫生精细化</w:t>
      </w:r>
      <w:r>
        <w:rPr>
          <w:rFonts w:hint="eastAsia" w:ascii="Times New Roman" w:hAnsi="Times New Roman" w:eastAsia="方正楷体简体" w:cs="Times New Roman"/>
          <w:b/>
          <w:bCs/>
          <w:kern w:val="0"/>
          <w:sz w:val="32"/>
          <w:szCs w:val="32"/>
          <w:highlight w:val="none"/>
          <w:lang w:val="en-US" w:eastAsia="zh-CN"/>
        </w:rPr>
        <w:t>管理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等工作的宣传，今年在省及以上媒体发稿1000余篇。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Chars="0" w:firstLine="602" w:firstLineChars="200"/>
        <w:textAlignment w:val="auto"/>
        <w:rPr>
          <w:rFonts w:hint="eastAsia" w:ascii="方正楷体简体" w:hAnsi="方正楷体简体" w:eastAsia="方正楷体简体" w:cs="方正楷体简体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0"/>
          <w:szCs w:val="30"/>
          <w:highlight w:val="none"/>
          <w:lang w:val="en-US" w:eastAsia="zh-CN"/>
        </w:rPr>
        <w:t>（二）依申请公开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本年度共收到信息公开申请14件，均已按时办理完毕。其中，中基双城名都三期绿化测绘报告、鸿顺观邸小区一期绿化验收备案等6件予以公开，另外8件本机关不掌握相关政府信息。我局依申请公开不涉及收费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方正仿宋简体" w:hAnsi="方正仿宋简体" w:eastAsia="方正仿宋简体" w:cs="方正仿宋简体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default" w:ascii="方正仿宋简体" w:hAnsi="方正仿宋简体" w:eastAsia="方正仿宋简体" w:cs="方正仿宋简体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drawing>
          <wp:inline distT="0" distB="0" distL="114300" distR="114300">
            <wp:extent cx="3849370" cy="2191385"/>
            <wp:effectExtent l="0" t="0" r="17780" b="18415"/>
            <wp:docPr id="4" name="图片 4" descr="图片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1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9370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jc w:val="center"/>
        <w:rPr>
          <w:rFonts w:hint="eastAsia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/>
          <w:color w:val="auto"/>
          <w:sz w:val="30"/>
          <w:szCs w:val="30"/>
          <w:highlight w:val="none"/>
          <w:lang w:val="en-US" w:eastAsia="zh-CN"/>
        </w:rPr>
        <w:drawing>
          <wp:inline distT="0" distB="0" distL="114300" distR="114300">
            <wp:extent cx="4581525" cy="2755265"/>
            <wp:effectExtent l="0" t="0" r="9525" b="6985"/>
            <wp:docPr id="16" name="图片 16" descr="/home/user/Desktop/全年收到依申请公开数量2018-2023.png全年收到依申请公开数量2018-202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/home/user/Desktop/全年收到依申请公开数量2018-2023.png全年收到依申请公开数量2018-2023"/>
                    <pic:cNvPicPr>
                      <a:picLocks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Chars="0" w:firstLine="602" w:firstLineChars="200"/>
        <w:textAlignment w:val="auto"/>
        <w:rPr>
          <w:rFonts w:hint="eastAsia" w:ascii="方正楷体简体" w:hAnsi="方正楷体简体" w:eastAsia="方正楷体简体" w:cs="方正楷体简体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0"/>
          <w:szCs w:val="30"/>
          <w:highlight w:val="none"/>
          <w:lang w:val="en-US" w:eastAsia="zh-CN"/>
        </w:rPr>
        <w:t>（三）政府信息管理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制定了《济宁市城市管理局信息发布“三审三校”制度》，严格落实信息发布审核制度。建立健全信息管理动态调整机制，做好规范性文件的动态管理。积极推进“互联网+”和政务新媒体建设，全链条加强政府信息管理，在集成发布、精准推送、管理利用等方面探索创新，</w:t>
      </w:r>
      <w:r>
        <w:rPr>
          <w:rFonts w:hint="default" w:ascii="方正仿宋简体" w:hAnsi="方正仿宋简体" w:eastAsia="方正仿宋简体" w:cs="方正仿宋简体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以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政府开放日</w:t>
      </w:r>
      <w:r>
        <w:rPr>
          <w:rFonts w:hint="default" w:ascii="方正仿宋简体" w:hAnsi="方正仿宋简体" w:eastAsia="方正仿宋简体" w:cs="方正仿宋简体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的形式创新解读《济宁市城市绿化条例（2023年修正版）》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，努力建设人民满意的服务型政府部门。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Chars="0" w:firstLine="642" w:firstLineChars="200"/>
        <w:textAlignment w:val="auto"/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highlight w:val="none"/>
          <w:lang w:val="en-US" w:eastAsia="zh-CN"/>
        </w:rPr>
        <w:t>（四）政府信息公开平台建设</w:t>
      </w:r>
    </w:p>
    <w:p>
      <w:pPr>
        <w:keepNext w:val="0"/>
        <w:keepLines w:val="0"/>
        <w:pageBreakBefore w:val="0"/>
        <w:widowControl w:val="0"/>
        <w:tabs>
          <w:tab w:val="left" w:pos="15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jc w:val="left"/>
        <w:textAlignment w:val="auto"/>
        <w:rPr>
          <w:rFonts w:hint="eastAsia" w:ascii="方正仿宋简体" w:hAnsi="方正仿宋_GBK" w:eastAsia="方正仿宋简体" w:cs="方正仿宋简体"/>
          <w:b/>
          <w:bCs/>
          <w:color w:val="auto"/>
          <w:spacing w:val="0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市城市管理局网站共设有发布矩阵、工作动态等19个专栏，</w:t>
      </w:r>
      <w:r>
        <w:rPr>
          <w:rFonts w:hint="eastAsia" w:ascii="方正仿宋简体" w:hAnsi="方正仿宋_GBK" w:eastAsia="方正仿宋简体" w:cs="方正仿宋简体"/>
          <w:b/>
          <w:bCs/>
          <w:color w:val="auto"/>
          <w:spacing w:val="0"/>
          <w:kern w:val="0"/>
          <w:sz w:val="30"/>
          <w:szCs w:val="30"/>
          <w:highlight w:val="none"/>
          <w:lang w:val="en-US" w:eastAsia="zh-CN" w:bidi="ar-SA"/>
        </w:rPr>
        <w:t>微信公众号“城市运行管理”及时发布济宁城市管理最新动态。依托政务公开专区和政策咨询窗口开展政策现场解读、办事流程演示工作。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02" w:firstLineChars="200"/>
        <w:jc w:val="both"/>
        <w:textAlignment w:val="auto"/>
        <w:rPr>
          <w:rFonts w:hint="eastAsia" w:ascii="方正楷体简体" w:hAnsi="方正楷体简体" w:eastAsia="方正楷体简体" w:cs="方正楷体简体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0"/>
          <w:szCs w:val="30"/>
          <w:highlight w:val="none"/>
          <w:lang w:val="en-US" w:eastAsia="zh-CN"/>
        </w:rPr>
        <w:t>（五）监督保障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602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发挥市城市管理局政务公开领导小组作用，将政府信息公开工作纳入各科室、所属各单位绩效目标考核。制定《2023年政务公开工作实施方案》、《2023年政务公开培训计划》，将《条例》纳入培训计划。</w:t>
      </w:r>
    </w:p>
    <w:p>
      <w:pPr>
        <w:pStyle w:val="7"/>
        <w:ind w:left="0" w:leftChars="0" w:firstLine="0" w:firstLineChars="0"/>
        <w:jc w:val="center"/>
        <w:rPr>
          <w:highlight w:val="none"/>
        </w:rPr>
      </w:pPr>
      <w:r>
        <w:rPr>
          <w:highlight w:val="none"/>
        </w:rPr>
        <w:drawing>
          <wp:inline distT="0" distB="0" distL="114300" distR="114300">
            <wp:extent cx="1699895" cy="2422525"/>
            <wp:effectExtent l="0" t="0" r="14605" b="15875"/>
            <wp:docPr id="17" name="图片 17" descr="/home/user/Desktop/screenshot-www.jining.gov.cn-2023.12.19-14_34_20.pngscreenshot-www.jining.gov.cn-2023.12.19-14_34_2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/home/user/Desktop/screenshot-www.jining.gov.cn-2023.12.19-14_34_20.pngscreenshot-www.jining.gov.cn-2023.12.19-14_34_20"/>
                    <pic:cNvPicPr>
                      <a:picLocks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242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highlight w:val="none"/>
        </w:rPr>
        <w:drawing>
          <wp:inline distT="0" distB="0" distL="114300" distR="114300">
            <wp:extent cx="1746885" cy="2478405"/>
            <wp:effectExtent l="0" t="0" r="5715" b="17145"/>
            <wp:docPr id="9" name="图片 4" descr="/home/user/Desktop/screenshot-www.jining.gov.cn-2023.12.19-14_35_25.pngscreenshot-www.jining.gov.cn-2023.12.19-14_35_2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 descr="/home/user/Desktop/screenshot-www.jining.gov.cn-2023.12.19-14_35_25.pngscreenshot-www.jining.gov.cn-2023.12.19-14_35_25"/>
                    <pic:cNvPicPr>
                      <a:picLocks noChangeAspect="true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02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二、主动公开政府信息情况</w:t>
      </w:r>
    </w:p>
    <w:tbl>
      <w:tblPr>
        <w:tblStyle w:val="8"/>
        <w:tblW w:w="88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206"/>
        <w:gridCol w:w="2206"/>
        <w:gridCol w:w="2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highlight w:val="none"/>
              </w:rPr>
              <w:t>第二十条第（一）项</w:t>
            </w:r>
          </w:p>
        </w:tc>
      </w:tr>
      <w:tr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本年制发件数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本年废止件数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第二十条第（五）项</w:t>
            </w:r>
          </w:p>
        </w:tc>
      </w:tr>
      <w:tr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行政许可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本年处理决定数量</w:t>
            </w:r>
          </w:p>
        </w:tc>
      </w:tr>
      <w:tr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行政处罚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Calibri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highlight w:val="none"/>
                <w:lang w:val="en-US" w:eastAsia="zh-CN"/>
              </w:rPr>
              <w:t>350（一般程序）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行政强制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本年收费金额（单位：万元）</w:t>
            </w:r>
          </w:p>
        </w:tc>
      </w:tr>
      <w:tr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行政事业性收费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02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02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三、收到和处理政府信息公开申请情况</w:t>
      </w:r>
    </w:p>
    <w:tbl>
      <w:tblPr>
        <w:tblStyle w:val="8"/>
        <w:tblW w:w="95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742"/>
        <w:gridCol w:w="545"/>
        <w:gridCol w:w="5"/>
        <w:gridCol w:w="535"/>
        <w:gridCol w:w="720"/>
        <w:gridCol w:w="675"/>
        <w:gridCol w:w="525"/>
        <w:gridCol w:w="1"/>
        <w:gridCol w:w="7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/>
                <w:kern w:val="0"/>
                <w:szCs w:val="21"/>
                <w:highlight w:val="none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  <w:highlight w:val="none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  <w:highlight w:val="none"/>
              </w:rPr>
              <w:t>等于第三项加第四项之和）</w:t>
            </w:r>
          </w:p>
        </w:tc>
        <w:tc>
          <w:tcPr>
            <w:tcW w:w="4448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highlight w:val="none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  <w:highlight w:val="none"/>
              </w:rPr>
            </w:pPr>
          </w:p>
        </w:tc>
        <w:tc>
          <w:tcPr>
            <w:tcW w:w="74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highlight w:val="none"/>
              </w:rPr>
              <w:t>自然人</w:t>
            </w:r>
          </w:p>
        </w:tc>
        <w:tc>
          <w:tcPr>
            <w:tcW w:w="3005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highlight w:val="none"/>
              </w:rPr>
              <w:t>法人或其他组织</w:t>
            </w:r>
          </w:p>
        </w:tc>
        <w:tc>
          <w:tcPr>
            <w:tcW w:w="701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highlight w:val="none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  <w:highlight w:val="none"/>
              </w:rPr>
            </w:pPr>
          </w:p>
        </w:tc>
        <w:tc>
          <w:tcPr>
            <w:tcW w:w="74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highlight w:val="none"/>
              </w:rPr>
              <w:t>商业企业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highlight w:val="none"/>
              </w:rPr>
              <w:t>科研机构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highlight w:val="none"/>
              </w:rPr>
              <w:t>社会公益组织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highlight w:val="none"/>
              </w:rPr>
              <w:t>法律服务机构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highlight w:val="none"/>
              </w:rPr>
              <w:t>其他</w:t>
            </w:r>
          </w:p>
        </w:tc>
        <w:tc>
          <w:tcPr>
            <w:tcW w:w="701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highlight w:val="none"/>
              </w:rPr>
              <w:t>一、</w:t>
            </w:r>
            <w:bookmarkStart w:id="0" w:name="_Hlk66973412"/>
            <w:r>
              <w:rPr>
                <w:rFonts w:hint="eastAsia" w:ascii="黑体" w:hAnsi="黑体" w:eastAsia="黑体"/>
                <w:kern w:val="0"/>
                <w:szCs w:val="21"/>
                <w:highlight w:val="none"/>
              </w:rPr>
              <w:t>本年新收政府信息公开申请数量</w:t>
            </w:r>
            <w:bookmarkEnd w:id="0"/>
          </w:p>
        </w:tc>
        <w:tc>
          <w:tcPr>
            <w:tcW w:w="7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highlight w:val="none"/>
              </w:rPr>
              <w:t>二、上年结转政府信息公开申请数量</w:t>
            </w:r>
          </w:p>
        </w:tc>
        <w:tc>
          <w:tcPr>
            <w:tcW w:w="7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highlight w:val="none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highlight w:val="none"/>
              </w:rPr>
              <w:t>（一）予以公开</w:t>
            </w:r>
          </w:p>
        </w:tc>
        <w:tc>
          <w:tcPr>
            <w:tcW w:w="7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55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highlight w:val="none"/>
              </w:rPr>
              <w:t>（二）部分公开（</w:t>
            </w:r>
            <w:bookmarkStart w:id="1" w:name="_Hlk66973981"/>
            <w:r>
              <w:rPr>
                <w:rFonts w:hint="eastAsia" w:ascii="黑体" w:hAnsi="黑体" w:eastAsia="黑体"/>
                <w:kern w:val="0"/>
                <w:szCs w:val="21"/>
                <w:highlight w:val="none"/>
              </w:rPr>
              <w:t>区分处理的，只计这一情形，不计其他情形</w:t>
            </w:r>
            <w:bookmarkEnd w:id="1"/>
            <w:r>
              <w:rPr>
                <w:rFonts w:hint="eastAsia" w:ascii="黑体" w:hAnsi="黑体" w:eastAsia="黑体"/>
                <w:kern w:val="0"/>
                <w:szCs w:val="21"/>
                <w:highlight w:val="none"/>
              </w:rPr>
              <w:t>）</w:t>
            </w:r>
          </w:p>
        </w:tc>
        <w:tc>
          <w:tcPr>
            <w:tcW w:w="7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highlight w:val="none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  <w:highlight w:val="none"/>
              </w:rPr>
              <w:t>1.属于国家秘密</w:t>
            </w:r>
          </w:p>
        </w:tc>
        <w:tc>
          <w:tcPr>
            <w:tcW w:w="7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  <w:highlight w:val="none"/>
              </w:rPr>
              <w:t>2.</w:t>
            </w:r>
            <w:bookmarkStart w:id="2" w:name="_Hlk66974104"/>
            <w:r>
              <w:rPr>
                <w:rFonts w:hint="eastAsia" w:ascii="仿宋_GB2312" w:hAnsi="黑体" w:eastAsia="仿宋_GB2312"/>
                <w:kern w:val="0"/>
                <w:szCs w:val="21"/>
                <w:highlight w:val="none"/>
              </w:rPr>
              <w:t>其他法律行政法规禁止公开</w:t>
            </w:r>
            <w:bookmarkEnd w:id="2"/>
          </w:p>
        </w:tc>
        <w:tc>
          <w:tcPr>
            <w:tcW w:w="7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  <w:highlight w:val="none"/>
              </w:rPr>
              <w:t>3.危及“三安全一稳定”</w:t>
            </w:r>
          </w:p>
        </w:tc>
        <w:tc>
          <w:tcPr>
            <w:tcW w:w="7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  <w:highlight w:val="none"/>
              </w:rPr>
              <w:t>4.</w:t>
            </w:r>
            <w:bookmarkStart w:id="3" w:name="_Hlk66974290"/>
            <w:r>
              <w:rPr>
                <w:rFonts w:hint="eastAsia" w:ascii="仿宋_GB2312" w:hAnsi="黑体" w:eastAsia="仿宋_GB2312"/>
                <w:kern w:val="0"/>
                <w:szCs w:val="21"/>
                <w:highlight w:val="none"/>
              </w:rPr>
              <w:t>保护第三方合法权益</w:t>
            </w:r>
            <w:bookmarkEnd w:id="3"/>
          </w:p>
        </w:tc>
        <w:tc>
          <w:tcPr>
            <w:tcW w:w="7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  <w:highlight w:val="none"/>
              </w:rPr>
              <w:t>5.属于三类内部事务信息</w:t>
            </w:r>
          </w:p>
        </w:tc>
        <w:tc>
          <w:tcPr>
            <w:tcW w:w="7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  <w:highlight w:val="none"/>
              </w:rPr>
              <w:t>6.</w:t>
            </w:r>
            <w:bookmarkStart w:id="4" w:name="_Hlk66974555"/>
            <w:r>
              <w:rPr>
                <w:rFonts w:hint="eastAsia" w:ascii="仿宋_GB2312" w:hAnsi="黑体" w:eastAsia="仿宋_GB2312"/>
                <w:kern w:val="0"/>
                <w:szCs w:val="21"/>
                <w:highlight w:val="none"/>
              </w:rPr>
              <w:t>属于四类过程性信息</w:t>
            </w:r>
            <w:bookmarkEnd w:id="4"/>
          </w:p>
        </w:tc>
        <w:tc>
          <w:tcPr>
            <w:tcW w:w="7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  <w:highlight w:val="none"/>
              </w:rPr>
              <w:t>7.属于行政执法案卷</w:t>
            </w:r>
          </w:p>
        </w:tc>
        <w:tc>
          <w:tcPr>
            <w:tcW w:w="7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  <w:highlight w:val="none"/>
              </w:rPr>
              <w:t>8.</w:t>
            </w:r>
            <w:bookmarkStart w:id="5" w:name="_Hlk66975211"/>
            <w:r>
              <w:rPr>
                <w:rFonts w:hint="eastAsia" w:ascii="仿宋_GB2312" w:hAnsi="黑体" w:eastAsia="仿宋_GB2312"/>
                <w:kern w:val="0"/>
                <w:szCs w:val="21"/>
                <w:highlight w:val="none"/>
              </w:rPr>
              <w:t>属于行政查询事项</w:t>
            </w:r>
            <w:bookmarkEnd w:id="5"/>
          </w:p>
        </w:tc>
        <w:tc>
          <w:tcPr>
            <w:tcW w:w="7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highlight w:val="none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  <w:highlight w:val="none"/>
              </w:rPr>
              <w:t>1.本机关不掌握相关政府信息</w:t>
            </w:r>
          </w:p>
        </w:tc>
        <w:tc>
          <w:tcPr>
            <w:tcW w:w="7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  <w:highlight w:val="none"/>
              </w:rPr>
              <w:t>2.</w:t>
            </w:r>
            <w:bookmarkStart w:id="6" w:name="_Hlk66975392"/>
            <w:r>
              <w:rPr>
                <w:rFonts w:hint="eastAsia" w:ascii="仿宋_GB2312" w:hAnsi="黑体" w:eastAsia="仿宋_GB2312"/>
                <w:kern w:val="0"/>
                <w:szCs w:val="21"/>
                <w:highlight w:val="none"/>
              </w:rPr>
              <w:t>没有现成信息需要另行制作</w:t>
            </w:r>
            <w:bookmarkEnd w:id="6"/>
          </w:p>
        </w:tc>
        <w:tc>
          <w:tcPr>
            <w:tcW w:w="7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  <w:highlight w:val="none"/>
              </w:rPr>
              <w:t>3.</w:t>
            </w:r>
            <w:bookmarkStart w:id="7" w:name="_Hlk66975466"/>
            <w:r>
              <w:rPr>
                <w:rFonts w:hint="eastAsia" w:ascii="仿宋_GB2312" w:hAnsi="黑体" w:eastAsia="仿宋_GB2312"/>
                <w:kern w:val="0"/>
                <w:szCs w:val="21"/>
                <w:highlight w:val="none"/>
              </w:rPr>
              <w:t>补正后申请内容仍不明确</w:t>
            </w:r>
            <w:bookmarkEnd w:id="7"/>
          </w:p>
        </w:tc>
        <w:tc>
          <w:tcPr>
            <w:tcW w:w="7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highlight w:val="none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  <w:highlight w:val="none"/>
              </w:rPr>
              <w:t>1.</w:t>
            </w:r>
            <w:bookmarkStart w:id="8" w:name="_Hlk66975537"/>
            <w:r>
              <w:rPr>
                <w:rFonts w:hint="eastAsia" w:ascii="仿宋_GB2312" w:hAnsi="黑体" w:eastAsia="仿宋_GB2312"/>
                <w:kern w:val="0"/>
                <w:szCs w:val="21"/>
                <w:highlight w:val="none"/>
              </w:rPr>
              <w:t>信访举报投诉类申请</w:t>
            </w:r>
            <w:bookmarkEnd w:id="8"/>
          </w:p>
        </w:tc>
        <w:tc>
          <w:tcPr>
            <w:tcW w:w="7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  <w:highlight w:val="none"/>
              </w:rPr>
              <w:t>2.重复申请</w:t>
            </w:r>
          </w:p>
        </w:tc>
        <w:tc>
          <w:tcPr>
            <w:tcW w:w="7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  <w:highlight w:val="none"/>
              </w:rPr>
              <w:t>3.要求提供公开出版物</w:t>
            </w:r>
          </w:p>
        </w:tc>
        <w:tc>
          <w:tcPr>
            <w:tcW w:w="7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  <w:highlight w:val="none"/>
              </w:rPr>
              <w:t>4.无正当理由大量反复申请</w:t>
            </w:r>
          </w:p>
        </w:tc>
        <w:tc>
          <w:tcPr>
            <w:tcW w:w="7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  <w:highlight w:val="none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210" w:firstLineChars="100"/>
              <w:rPr>
                <w:rFonts w:ascii="仿宋_GB2312" w:hAnsi="黑体" w:eastAsia="仿宋_GB2312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  <w:highlight w:val="none"/>
              </w:rPr>
              <w:t>出具已获取信息</w:t>
            </w:r>
          </w:p>
        </w:tc>
        <w:tc>
          <w:tcPr>
            <w:tcW w:w="7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highlight w:val="none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/>
                <w:highlight w:val="none"/>
              </w:rPr>
            </w:pPr>
            <w:r>
              <w:rPr>
                <w:rFonts w:hint="eastAsia" w:ascii="仿宋_GB2312" w:hAnsi="楷体" w:eastAsia="仿宋_GB2312"/>
                <w:highlight w:val="none"/>
              </w:rPr>
              <w:t>1.申请人无正当理由逾期不补正、行政机关不再处理其政府信息公开申请</w:t>
            </w:r>
          </w:p>
        </w:tc>
        <w:tc>
          <w:tcPr>
            <w:tcW w:w="7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  <w:highlight w:val="non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楷体" w:eastAsia="仿宋_GB2312"/>
                <w:highlight w:val="none"/>
              </w:rPr>
              <w:t>2.申请人逾期未按收费通知要求缴纳费用、行政机关不再处理其政府信息公开申请</w:t>
            </w:r>
          </w:p>
        </w:tc>
        <w:tc>
          <w:tcPr>
            <w:tcW w:w="7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FF0000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FF0000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FF0000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  <w:highlight w:val="non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楷体" w:eastAsia="仿宋_GB2312"/>
                <w:highlight w:val="none"/>
              </w:rPr>
              <w:t>3.其他</w:t>
            </w:r>
          </w:p>
        </w:tc>
        <w:tc>
          <w:tcPr>
            <w:tcW w:w="7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FF0000"/>
                <w:szCs w:val="21"/>
                <w:highlight w:val="none"/>
                <w:lang w:val="en-US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highlight w:val="none"/>
              </w:rPr>
              <w:t>（七）总计</w:t>
            </w:r>
          </w:p>
        </w:tc>
        <w:tc>
          <w:tcPr>
            <w:tcW w:w="7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highlight w:val="none"/>
                <w:lang w:val="en-US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highlight w:val="none"/>
                <w:lang w:val="en-US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highlight w:val="none"/>
              </w:rPr>
              <w:t>四、结转下年度继续办理</w:t>
            </w:r>
          </w:p>
        </w:tc>
        <w:tc>
          <w:tcPr>
            <w:tcW w:w="7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FF0000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FF0000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FF0000"/>
                <w:szCs w:val="21"/>
                <w:highlight w:val="none"/>
                <w:lang w:val="en-US"/>
              </w:rPr>
            </w:pPr>
            <w:r>
              <w:rPr>
                <w:rFonts w:hint="eastAsia" w:ascii="仿宋_GB2312" w:hAnsi="Times New Roman" w:eastAsia="仿宋_GB2312"/>
                <w:szCs w:val="21"/>
                <w:highlight w:val="none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02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四、政府信息公开行政复议、行政诉讼情况</w:t>
      </w:r>
    </w:p>
    <w:tbl>
      <w:tblPr>
        <w:tblStyle w:val="8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highlight w:val="none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  <w:highlight w:val="none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highlight w:val="none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  <w:highlight w:val="none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  <w:kern w:val="0"/>
                <w:sz w:val="20"/>
                <w:szCs w:val="20"/>
                <w:highlight w:val="none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  <w:highlight w:val="none"/>
              </w:rPr>
              <w:t>结果</w:t>
            </w:r>
          </w:p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  <w:highlight w:val="none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  <w:highlight w:val="none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3" w:leftChars="-21" w:right="-132" w:rightChars="-63" w:hanging="1"/>
              <w:jc w:val="center"/>
              <w:rPr>
                <w:rFonts w:ascii="黑体" w:hAnsi="黑体" w:eastAsia="黑体"/>
                <w:highlight w:val="none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  <w:highlight w:val="none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39" w:right="-97" w:rightChars="-46"/>
              <w:jc w:val="center"/>
              <w:rPr>
                <w:rFonts w:ascii="黑体" w:hAnsi="黑体" w:eastAsia="黑体"/>
                <w:highlight w:val="none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  <w:highlight w:val="none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  <w:kern w:val="0"/>
                <w:sz w:val="20"/>
                <w:szCs w:val="20"/>
                <w:highlight w:val="none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  <w:highlight w:val="none"/>
              </w:rPr>
              <w:t>尚未</w:t>
            </w:r>
          </w:p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  <w:highlight w:val="none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  <w:highlight w:val="none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  <w:highlight w:val="none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  <w:highlight w:val="none"/>
              </w:rPr>
              <w:t>总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highlight w:val="none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  <w:highlight w:val="none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highlight w:val="none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  <w:highlight w:val="none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highlight w:val="none"/>
              </w:rPr>
            </w:pPr>
            <w:bookmarkStart w:id="9" w:name="_Hlk67039688"/>
            <w:r>
              <w:rPr>
                <w:rFonts w:ascii="黑体" w:hAnsi="黑体" w:eastAsia="黑体"/>
                <w:kern w:val="0"/>
                <w:sz w:val="20"/>
                <w:szCs w:val="20"/>
                <w:highlight w:val="none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  <w:highlight w:val="none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  <w:highlight w:val="none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  <w:highlight w:val="none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  <w:highlight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  <w:highlight w:val="no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5" w:leftChars="-50" w:right="-126" w:rightChars="-60"/>
              <w:jc w:val="center"/>
              <w:rPr>
                <w:rFonts w:ascii="黑体" w:hAnsi="黑体" w:eastAsia="黑体"/>
                <w:highlight w:val="none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  <w:highlight w:val="none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6" w:leftChars="-41" w:right="-88" w:rightChars="-42"/>
              <w:jc w:val="center"/>
              <w:rPr>
                <w:rFonts w:ascii="黑体" w:hAnsi="黑体" w:eastAsia="黑体"/>
                <w:highlight w:val="none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  <w:highlight w:val="none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  <w:kern w:val="0"/>
                <w:sz w:val="20"/>
                <w:szCs w:val="20"/>
                <w:highlight w:val="none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  <w:highlight w:val="none"/>
              </w:rPr>
              <w:t>其他</w:t>
            </w:r>
          </w:p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  <w:highlight w:val="none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  <w:highlight w:val="none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  <w:kern w:val="0"/>
                <w:sz w:val="20"/>
                <w:szCs w:val="20"/>
                <w:highlight w:val="none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  <w:highlight w:val="none"/>
              </w:rPr>
              <w:t>尚未</w:t>
            </w:r>
          </w:p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  <w:highlight w:val="none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  <w:highlight w:val="none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highlight w:val="none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  <w:highlight w:val="none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9" w:leftChars="-47" w:right="-78" w:rightChars="-37"/>
              <w:jc w:val="center"/>
              <w:rPr>
                <w:rFonts w:ascii="黑体" w:hAnsi="黑体" w:eastAsia="黑体"/>
                <w:highlight w:val="none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  <w:highlight w:val="none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  <w:kern w:val="0"/>
                <w:sz w:val="20"/>
                <w:szCs w:val="20"/>
                <w:highlight w:val="none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  <w:highlight w:val="none"/>
              </w:rPr>
              <w:t>结果</w:t>
            </w:r>
          </w:p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  <w:highlight w:val="none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  <w:highlight w:val="none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  <w:kern w:val="0"/>
                <w:sz w:val="20"/>
                <w:szCs w:val="20"/>
                <w:highlight w:val="none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  <w:highlight w:val="none"/>
              </w:rPr>
              <w:t>其他</w:t>
            </w:r>
          </w:p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  <w:highlight w:val="none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  <w:highlight w:val="none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7" w:leftChars="-33" w:right="-105" w:rightChars="-50" w:hanging="2" w:hangingChars="1"/>
              <w:jc w:val="center"/>
              <w:rPr>
                <w:rFonts w:ascii="黑体" w:hAnsi="黑体" w:eastAsia="黑体"/>
                <w:highlight w:val="none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  <w:highlight w:val="none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highlight w:val="none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  <w:highlight w:val="none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仿宋_GB2312" w:hAnsi="Calibri" w:eastAsia="仿宋_GB2312" w:cs="Calibri"/>
          <w:color w:val="FF0000"/>
          <w:kern w:val="0"/>
          <w:szCs w:val="21"/>
          <w:highlight w:val="no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02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五、存在的主要问题及改进情况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2023年，我局信息公开工作虽然取得了一定成绩，还存在一些问题需要改进：公开内容的深度、广度不够；群众对政务公开的参与度不够。下步工作中，我们将从以下方面切实改进: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（一） 完善制度建设。制定更加完善的政务公开制度，明确政务公开的内容、形式、时间和程序等，使政务公开工作有章可循、有据可查。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（二） 加强监督检查。建立健全政务公开工作的考核和奖惩机制，对政务公开工作做得好的单位和个人给予表彰和奖励，对工作不到位的进行通报批评和惩戒。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（三） 提高工作人员素质。加强对政务公开工作人员的培训和教育，提高政治素质和业务水平，增强工作责任心和使命感。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（四） 拓展政务公开渠道。除了传统的渠道外，还要充分利用现代信息技术手段，拓宽政务公开的覆盖面和影响力。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02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tabs>
          <w:tab w:val="left" w:pos="15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jc w:val="left"/>
        <w:textAlignment w:val="auto"/>
        <w:rPr>
          <w:rStyle w:val="10"/>
          <w:rFonts w:hint="default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  <w:lang w:val="en-US" w:eastAsia="zh-CN"/>
        </w:rPr>
      </w:pPr>
      <w:r>
        <w:rPr>
          <w:rStyle w:val="10"/>
          <w:rFonts w:hint="eastAsia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  <w:lang w:val="en-US" w:eastAsia="zh-CN"/>
        </w:rPr>
        <w:t>（一）依据《政府信息公开信息处理费管理办法》中的收费标准，济宁市城市管理局2023年度没有产生信息公开处理费。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hint="eastAsia" w:ascii="方正仿宋简体" w:eastAsia="方正仿宋简体"/>
          <w:b/>
          <w:sz w:val="24"/>
          <w:szCs w:val="24"/>
          <w:highlight w:val="none"/>
          <w:lang w:eastAsia="zh-CN"/>
        </w:rPr>
      </w:pPr>
      <w:r>
        <w:rPr>
          <w:rStyle w:val="10"/>
          <w:rFonts w:hint="eastAsia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  <w:lang w:val="en-US" w:eastAsia="zh-CN"/>
        </w:rPr>
        <w:t>（二）</w:t>
      </w:r>
      <w:r>
        <w:rPr>
          <w:rStyle w:val="10"/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kern w:val="2"/>
          <w:sz w:val="30"/>
          <w:szCs w:val="30"/>
          <w:highlight w:val="none"/>
          <w:u w:val="none"/>
          <w:lang w:val="en-US" w:eastAsia="zh-CN" w:bidi="ar-SA"/>
        </w:rPr>
        <w:t>市城市管理局落实上级年度政务公开工作要点情况：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针对2022年年度报告中提到相关问题，2023年，我局严格按照有关规定，规范我局公开内容，强化政策解读质量，运用多种解读形式进行解读。不断完善我局政务公开制度，制定了《济宁市城市管理局2023年政务公开工作实施方案》，同时做好三校三审工作，严格做好政务公开保密审查工作。组织了政务公开工作专项培训，邀请政务公开工作专家进行了题为《新时代政务公开工作的挑战与机遇》的专题讲座，不断提升队伍专业化水平。及时发布济宁城市管理工作的最新动态，</w:t>
      </w:r>
      <w:r>
        <w:rPr>
          <w:rFonts w:hint="default" w:ascii="方正仿宋简体" w:hAnsi="方正仿宋简体" w:eastAsia="方正仿宋简体" w:cs="方正仿宋简体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多措并举推进依申请公开的标准化规范化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，在中央级媒体人民日报客户端发表《</w:t>
      </w:r>
      <w:r>
        <w:rPr>
          <w:rFonts w:hint="default" w:ascii="方正仿宋简体" w:hAnsi="方正仿宋简体" w:eastAsia="方正仿宋简体" w:cs="方正仿宋简体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济宁市城市管理局多措并举推进依申请公开的标准化规范化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》文章，不断提高政府工作的透明度和公信力，促进与公民之间的沟通和互动。</w:t>
      </w:r>
    </w:p>
    <w:p>
      <w:pPr>
        <w:keepNext w:val="0"/>
        <w:keepLines w:val="0"/>
        <w:pageBreakBefore w:val="0"/>
        <w:tabs>
          <w:tab w:val="left" w:pos="15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jc w:val="left"/>
        <w:textAlignment w:val="auto"/>
        <w:rPr>
          <w:rStyle w:val="10"/>
          <w:rFonts w:hint="eastAsia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  <w:lang w:val="en-US" w:eastAsia="zh-CN"/>
        </w:rPr>
      </w:pPr>
      <w:r>
        <w:rPr>
          <w:rStyle w:val="10"/>
          <w:rFonts w:hint="eastAsia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  <w:lang w:val="en-US" w:eastAsia="zh-CN"/>
        </w:rPr>
        <w:t>（三）</w:t>
      </w:r>
      <w:r>
        <w:rPr>
          <w:rStyle w:val="10"/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kern w:val="2"/>
          <w:sz w:val="30"/>
          <w:szCs w:val="30"/>
          <w:highlight w:val="none"/>
          <w:u w:val="none"/>
          <w:lang w:val="en-US" w:eastAsia="zh-CN" w:bidi="ar-SA"/>
        </w:rPr>
        <w:t>市城市管理局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人大代表建议和政协提案办理结果公开情况：</w:t>
      </w:r>
    </w:p>
    <w:p>
      <w:pPr>
        <w:keepNext w:val="0"/>
        <w:keepLines w:val="0"/>
        <w:pageBreakBefore w:val="0"/>
        <w:tabs>
          <w:tab w:val="left" w:pos="15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jc w:val="left"/>
        <w:textAlignment w:val="auto"/>
        <w:rPr>
          <w:rStyle w:val="10"/>
          <w:rFonts w:hint="default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  <w:lang w:val="en-US" w:eastAsia="zh-CN"/>
        </w:rPr>
      </w:pPr>
      <w:r>
        <w:rPr>
          <w:rStyle w:val="10"/>
          <w:rFonts w:hint="eastAsia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  <w:lang w:val="en-US" w:eastAsia="zh-CN"/>
        </w:rPr>
        <w:t>2023年，济宁</w:t>
      </w:r>
      <w:r>
        <w:rPr>
          <w:rStyle w:val="10"/>
          <w:rFonts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</w:rPr>
        <w:t>市城市管理局承办</w:t>
      </w:r>
      <w:r>
        <w:rPr>
          <w:rStyle w:val="10"/>
          <w:rFonts w:hint="eastAsia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</w:rPr>
        <w:t>人大代表建议</w:t>
      </w:r>
      <w:r>
        <w:rPr>
          <w:rStyle w:val="10"/>
          <w:rFonts w:hint="eastAsia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  <w:lang w:val="en-US" w:eastAsia="zh-CN"/>
        </w:rPr>
        <w:t>1</w:t>
      </w:r>
      <w:r>
        <w:rPr>
          <w:rStyle w:val="10"/>
          <w:rFonts w:hint="eastAsia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</w:rPr>
        <w:t>件</w:t>
      </w:r>
      <w:r>
        <w:rPr>
          <w:rStyle w:val="10"/>
          <w:rFonts w:hint="eastAsia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  <w:lang w:eastAsia="zh-CN"/>
        </w:rPr>
        <w:t>，</w:t>
      </w:r>
      <w:r>
        <w:rPr>
          <w:rStyle w:val="10"/>
          <w:rFonts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</w:rPr>
        <w:t>承办政协提案</w:t>
      </w:r>
      <w:r>
        <w:rPr>
          <w:rStyle w:val="10"/>
          <w:rFonts w:hint="eastAsia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  <w:lang w:val="en-US" w:eastAsia="zh-CN"/>
        </w:rPr>
        <w:t>16</w:t>
      </w:r>
      <w:r>
        <w:rPr>
          <w:rStyle w:val="10"/>
          <w:rFonts w:hint="eastAsia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</w:rPr>
        <w:t>件</w:t>
      </w:r>
      <w:r>
        <w:rPr>
          <w:rStyle w:val="10"/>
          <w:rFonts w:hint="eastAsia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  <w:lang w:eastAsia="zh-CN"/>
        </w:rPr>
        <w:t>，</w:t>
      </w:r>
      <w:r>
        <w:rPr>
          <w:rStyle w:val="10"/>
          <w:rFonts w:hint="eastAsia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  <w:lang w:val="en-US" w:eastAsia="zh-CN"/>
        </w:rPr>
        <w:t>均已按时答复，满意率高达100%。我局</w:t>
      </w:r>
      <w:r>
        <w:rPr>
          <w:rStyle w:val="10"/>
          <w:rFonts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</w:rPr>
        <w:t>历来高度重视</w:t>
      </w:r>
      <w:r>
        <w:rPr>
          <w:rStyle w:val="10"/>
          <w:rFonts w:hint="eastAsia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  <w:lang w:val="en-US" w:eastAsia="zh-CN"/>
        </w:rPr>
        <w:t>人大建议和</w:t>
      </w:r>
      <w:r>
        <w:rPr>
          <w:rStyle w:val="10"/>
          <w:rFonts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</w:rPr>
        <w:t>政协提案办理工作，</w:t>
      </w:r>
      <w:r>
        <w:rPr>
          <w:rStyle w:val="10"/>
          <w:rFonts w:hint="eastAsia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</w:rPr>
        <w:t>由主要领导负总责，分管领导靠上抓落实，局党组成员加强分管领域提案</w:t>
      </w:r>
      <w:r>
        <w:rPr>
          <w:rStyle w:val="10"/>
          <w:rFonts w:hint="eastAsia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  <w:lang w:val="en-US" w:eastAsia="zh-CN"/>
        </w:rPr>
        <w:t>建议</w:t>
      </w:r>
      <w:r>
        <w:rPr>
          <w:rStyle w:val="10"/>
          <w:rFonts w:hint="eastAsia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</w:rPr>
        <w:t>办理工作的指导。</w:t>
      </w:r>
      <w:r>
        <w:rPr>
          <w:rStyle w:val="10"/>
          <w:rFonts w:hint="eastAsia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  <w:lang w:eastAsia="zh-CN"/>
        </w:rPr>
        <w:t>遵循公开、透明、及时的原则，</w:t>
      </w:r>
      <w:r>
        <w:rPr>
          <w:rStyle w:val="10"/>
          <w:rFonts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</w:rPr>
        <w:t>在办理过程中，加强与</w:t>
      </w:r>
      <w:r>
        <w:rPr>
          <w:rStyle w:val="10"/>
          <w:rFonts w:hint="eastAsia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  <w:lang w:val="en-US" w:eastAsia="zh-CN"/>
        </w:rPr>
        <w:t>委员和</w:t>
      </w:r>
      <w:r>
        <w:rPr>
          <w:rStyle w:val="10"/>
          <w:rFonts w:hint="eastAsia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</w:rPr>
        <w:t>代表的沟通，充分听取</w:t>
      </w:r>
      <w:r>
        <w:rPr>
          <w:rStyle w:val="10"/>
          <w:rFonts w:hint="eastAsia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  <w:lang w:val="en-US" w:eastAsia="zh-CN"/>
        </w:rPr>
        <w:t>委员和</w:t>
      </w:r>
      <w:r>
        <w:rPr>
          <w:rStyle w:val="10"/>
          <w:rFonts w:hint="eastAsia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</w:rPr>
        <w:t>代表对拟答复意见的反馈，提案办结后，及时向</w:t>
      </w:r>
      <w:r>
        <w:rPr>
          <w:rStyle w:val="10"/>
          <w:rFonts w:hint="eastAsia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  <w:lang w:val="en-US" w:eastAsia="zh-CN"/>
        </w:rPr>
        <w:t>委员和代表</w:t>
      </w:r>
      <w:r>
        <w:rPr>
          <w:rStyle w:val="10"/>
          <w:rFonts w:hint="eastAsia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</w:rPr>
        <w:t>报告、解释复文内容，进一步听取反馈意见。</w:t>
      </w:r>
    </w:p>
    <w:p>
      <w:pPr>
        <w:keepNext w:val="0"/>
        <w:keepLines w:val="0"/>
        <w:pageBreakBefore w:val="0"/>
        <w:tabs>
          <w:tab w:val="left" w:pos="15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jc w:val="left"/>
        <w:textAlignment w:val="auto"/>
        <w:rPr>
          <w:rStyle w:val="10"/>
          <w:rFonts w:hint="eastAsia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  <w:lang w:val="en-US" w:eastAsia="zh-CN"/>
        </w:rPr>
      </w:pPr>
      <w:r>
        <w:rPr>
          <w:rStyle w:val="10"/>
          <w:rFonts w:hint="eastAsia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  <w:lang w:val="en-US" w:eastAsia="zh-CN"/>
        </w:rPr>
        <w:t>（四）创新举措：</w:t>
      </w:r>
    </w:p>
    <w:p>
      <w:pPr>
        <w:keepNext w:val="0"/>
        <w:keepLines w:val="0"/>
        <w:pageBreakBefore w:val="0"/>
        <w:tabs>
          <w:tab w:val="left" w:pos="15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jc w:val="left"/>
        <w:textAlignment w:val="auto"/>
        <w:rPr>
          <w:rStyle w:val="10"/>
          <w:rFonts w:hint="default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  <w:lang w:val="en-US" w:eastAsia="zh-CN"/>
        </w:rPr>
      </w:pPr>
      <w:r>
        <w:rPr>
          <w:rStyle w:val="10"/>
          <w:rFonts w:hint="default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  <w:lang w:val="en-US" w:eastAsia="zh-CN"/>
        </w:rPr>
        <w:t>《济宁市城市绿化条例（2023年修正版）》以</w:t>
      </w:r>
      <w:r>
        <w:rPr>
          <w:rStyle w:val="10"/>
          <w:rFonts w:hint="eastAsia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  <w:lang w:val="en-US" w:eastAsia="zh-CN"/>
        </w:rPr>
        <w:t>政府开放日</w:t>
      </w:r>
      <w:r>
        <w:rPr>
          <w:rStyle w:val="10"/>
          <w:rFonts w:hint="default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  <w:lang w:val="en-US" w:eastAsia="zh-CN"/>
        </w:rPr>
        <w:t>的形式做过创新形式解读。</w:t>
      </w:r>
    </w:p>
    <w:p>
      <w:pPr>
        <w:keepNext w:val="0"/>
        <w:keepLines w:val="0"/>
        <w:pageBreakBefore w:val="0"/>
        <w:tabs>
          <w:tab w:val="left" w:pos="15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jc w:val="left"/>
        <w:textAlignment w:val="auto"/>
        <w:rPr>
          <w:rStyle w:val="10"/>
          <w:rFonts w:hint="eastAsia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</w:rPr>
      </w:pPr>
      <w:r>
        <w:rPr>
          <w:rStyle w:val="10"/>
          <w:rFonts w:hint="default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  <w:lang w:val="en-US" w:eastAsia="zh-CN"/>
        </w:rPr>
        <w:t>11月16日，市城市管理局在百花公园开展新《条例》政府开放日活动，向市民群众发放宣传单和调查问卷，宣传讲解新</w:t>
      </w:r>
      <w:r>
        <w:rPr>
          <w:rStyle w:val="10"/>
          <w:rFonts w:hint="default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</w:rPr>
        <w:t>《条例》</w:t>
      </w:r>
      <w:r>
        <w:rPr>
          <w:rStyle w:val="10"/>
          <w:rFonts w:hint="default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  <w:lang w:val="en-US" w:eastAsia="zh-CN"/>
        </w:rPr>
        <w:t>修正主要内容和城市绿化管理的新规定，宣传城市绿化相关政策知识，解答市民群众疑问。召开专题座谈会，征求市民群众对新</w:t>
      </w:r>
      <w:r>
        <w:rPr>
          <w:rStyle w:val="10"/>
          <w:rFonts w:hint="default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</w:rPr>
        <w:t>《条例》</w:t>
      </w:r>
      <w:r>
        <w:rPr>
          <w:rStyle w:val="10"/>
          <w:rFonts w:hint="default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  <w:lang w:val="en-US" w:eastAsia="zh-CN"/>
        </w:rPr>
        <w:t>实施情况的意见建议。园林行业主管部门、公园管理、绿化养护企业、市民群众、新闻媒体等各方面代表20余人参加座谈，对园林废弃物处置、居住区绿化养护管理、树木砍伐、过度修剪、绿地占用、绿地禁止行为等新</w:t>
      </w:r>
      <w:r>
        <w:rPr>
          <w:rStyle w:val="10"/>
          <w:rFonts w:hint="default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</w:rPr>
        <w:t>《条例》</w:t>
      </w:r>
      <w:r>
        <w:rPr>
          <w:rStyle w:val="10"/>
          <w:rFonts w:hint="default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  <w:lang w:val="en-US" w:eastAsia="zh-CN"/>
        </w:rPr>
        <w:t>规定事项进行了充分讨论，对新</w:t>
      </w:r>
      <w:r>
        <w:rPr>
          <w:rStyle w:val="10"/>
          <w:rFonts w:hint="default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</w:rPr>
        <w:t>《条例》</w:t>
      </w:r>
      <w:r>
        <w:rPr>
          <w:rStyle w:val="10"/>
          <w:rFonts w:hint="default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  <w:lang w:val="en-US" w:eastAsia="zh-CN"/>
        </w:rPr>
        <w:t>实施情况进行了客观评价，就新</w:t>
      </w:r>
      <w:r>
        <w:rPr>
          <w:rStyle w:val="10"/>
          <w:rFonts w:hint="default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</w:rPr>
        <w:t>《条例》</w:t>
      </w:r>
      <w:r>
        <w:rPr>
          <w:rStyle w:val="10"/>
          <w:rFonts w:hint="default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0"/>
          <w:szCs w:val="30"/>
          <w:highlight w:val="none"/>
          <w:u w:val="none"/>
          <w:lang w:val="en-US" w:eastAsia="zh-CN"/>
        </w:rPr>
        <w:t>各项规定的落实提出了意见建议。</w:t>
      </w:r>
    </w:p>
    <w:sectPr>
      <w:headerReference r:id="rId3" w:type="default"/>
      <w:footerReference r:id="rId4" w:type="default"/>
      <w:pgSz w:w="11906" w:h="16838"/>
      <w:pgMar w:top="1440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Theme="minorEastAsia" w:hAnsiTheme="minorEastAsia" w:eastAsiaTheme="minorEastAsia" w:cstheme="minorEastAsia"/>
        <w:sz w:val="28"/>
        <w:szCs w:val="28"/>
      </w:rPr>
    </w:pPr>
    <w:r>
      <w:rPr>
        <w:rFonts w:hint="eastAsia" w:asciiTheme="minorEastAsia" w:hAnsiTheme="minorEastAsia" w:eastAsiaTheme="minorEastAsia" w:cstheme="minorEastAsia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5MTNjN2QyN2QyZGEyYjA4OWRlMmY0ZjFhMmI3ZDQifQ=="/>
  </w:docVars>
  <w:rsids>
    <w:rsidRoot w:val="00000000"/>
    <w:rsid w:val="00375761"/>
    <w:rsid w:val="005A2D64"/>
    <w:rsid w:val="00CF635A"/>
    <w:rsid w:val="03991DF6"/>
    <w:rsid w:val="0BDA7B09"/>
    <w:rsid w:val="0D97A407"/>
    <w:rsid w:val="14281D83"/>
    <w:rsid w:val="17AF1416"/>
    <w:rsid w:val="1FBF453A"/>
    <w:rsid w:val="230A758A"/>
    <w:rsid w:val="234C3A3A"/>
    <w:rsid w:val="279D566D"/>
    <w:rsid w:val="2B5C443E"/>
    <w:rsid w:val="2B5D4BE5"/>
    <w:rsid w:val="2E530C6F"/>
    <w:rsid w:val="30DA5FB3"/>
    <w:rsid w:val="34B43864"/>
    <w:rsid w:val="39555104"/>
    <w:rsid w:val="3B7E2BAF"/>
    <w:rsid w:val="3E2A1B7B"/>
    <w:rsid w:val="44881A99"/>
    <w:rsid w:val="475578CD"/>
    <w:rsid w:val="48E1458E"/>
    <w:rsid w:val="4FE07AD2"/>
    <w:rsid w:val="51C922DC"/>
    <w:rsid w:val="52C65078"/>
    <w:rsid w:val="5ADB4CD7"/>
    <w:rsid w:val="5F7FED70"/>
    <w:rsid w:val="608F1AF0"/>
    <w:rsid w:val="60AA0540"/>
    <w:rsid w:val="60C61220"/>
    <w:rsid w:val="61851232"/>
    <w:rsid w:val="627D7201"/>
    <w:rsid w:val="6A0840EA"/>
    <w:rsid w:val="6BA24D19"/>
    <w:rsid w:val="6BBFF873"/>
    <w:rsid w:val="6BF670AD"/>
    <w:rsid w:val="6C455A99"/>
    <w:rsid w:val="6FFD045F"/>
    <w:rsid w:val="70447EF8"/>
    <w:rsid w:val="7059091C"/>
    <w:rsid w:val="72E20C3A"/>
    <w:rsid w:val="7A0F2E64"/>
    <w:rsid w:val="B7DFCE35"/>
    <w:rsid w:val="D2DAA82F"/>
    <w:rsid w:val="DFFF5816"/>
    <w:rsid w:val="EFFD8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95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2023-02-02T04:13:00Z</dcterms:created>
  <dc:creator>cgjjz</dc:creator>
  <cp:lastModifiedBy>user</cp:lastModifiedBy>
  <cp:lastPrinted>2023-02-15T07:06:00Z</cp:lastPrinted>
  <dcterms:modified xsi:type="dcterms:W3CDTF">2024-01-25T11:04:12Z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FFF13783F1AA41D395FB0C7317F725FC_13</vt:lpwstr>
  </property>
</Properties>
</file>