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outlineLvl w:val="0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</w:pPr>
    </w:p>
    <w:p>
      <w:pPr>
        <w:spacing w:line="590" w:lineRule="exact"/>
        <w:ind w:right="-100" w:rightChars="-50"/>
        <w:jc w:val="center"/>
        <w:outlineLvl w:val="0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</w:pPr>
    </w:p>
    <w:p>
      <w:pPr>
        <w:spacing w:line="590" w:lineRule="exact"/>
        <w:ind w:right="-100" w:rightChars="-50"/>
        <w:jc w:val="center"/>
        <w:outlineLvl w:val="0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  <w:t>济宁市畜牧兽医事业发展中心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202</w:t>
      </w:r>
      <w:r>
        <w:rPr>
          <w:rFonts w:hint="eastAsia" w:eastAsia="方正小标宋简体" w:cs="Times New Roman"/>
          <w:b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年</w:t>
      </w:r>
    </w:p>
    <w:p>
      <w:pPr>
        <w:spacing w:line="590" w:lineRule="exact"/>
        <w:ind w:right="-100" w:rightChars="-50"/>
        <w:jc w:val="center"/>
        <w:outlineLvl w:val="0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政府信息公开工作年度报告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pacing w:val="-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济宁市畜牧兽医事业发展中心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按照《中华人民共和国政府信息公开条例》（以下简称《条例》）和《中华人民共和国政府信息</w:t>
      </w:r>
      <w:r>
        <w:rPr>
          <w:rFonts w:hint="default" w:ascii="Times New Roman" w:hAnsi="Times New Roman" w:eastAsia="方正仿宋简体" w:cs="Times New Roman"/>
          <w:b/>
          <w:color w:val="000000"/>
          <w:spacing w:val="-11"/>
          <w:sz w:val="32"/>
          <w:szCs w:val="32"/>
        </w:rPr>
        <w:t>公开工作年度报告格式》（国办公开办函〔2021〕30号）要求编制。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本报告所列数据的统计期限自202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年1月1日起至202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年12月31日止。本报告电子版可在“中国·济宁”政府门户网站（</w:t>
      </w:r>
      <w:r>
        <w:rPr>
          <w:rStyle w:val="8"/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1"/>
          <w:szCs w:val="31"/>
        </w:rPr>
        <w:t>http://www.jining.gov.cn/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济宁市畜牧兽医事业发展中心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联系（地址：</w:t>
      </w:r>
      <w:r>
        <w:rPr>
          <w:rStyle w:val="8"/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山东省第</w:t>
      </w:r>
      <w:r>
        <w:rPr>
          <w:rStyle w:val="8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23</w:t>
      </w:r>
      <w:r>
        <w:rPr>
          <w:rStyle w:val="8"/>
          <w:rFonts w:hint="default" w:ascii="Times New Roman" w:hAnsi="Times New Roman" w:eastAsia="方正仿宋简体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届省运会指挥中心</w:t>
      </w:r>
      <w:r>
        <w:rPr>
          <w:rStyle w:val="8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F0303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，联系电话：</w:t>
      </w:r>
      <w:r>
        <w:rPr>
          <w:rStyle w:val="8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0537-2966776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）。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一、总体情况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202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，济宁市畜牧兽医事业发展中心</w:t>
      </w:r>
      <w:r>
        <w:rPr>
          <w:rFonts w:hint="eastAsia" w:eastAsia="方正仿宋简体" w:cs="Times New Roman"/>
          <w:b/>
          <w:bCs/>
          <w:kern w:val="2"/>
          <w:sz w:val="32"/>
          <w:szCs w:val="32"/>
          <w:lang w:val="en-US" w:eastAsia="zh-CN" w:bidi="ar"/>
        </w:rPr>
        <w:t>认真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贯彻落实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省、市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政务公开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工作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部署，紧紧围绕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群众关心关切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拓宽信息公开渠道，细化公开内容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创新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工作方式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，着力提升政务公开质量和实效，保障人民群众知情权、参与权、表达权和监督权。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（一）主动公开情况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 xml:space="preserve"> 202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年度，市畜牧兽医事业发展中心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共发布政务公开信息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327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条，其中：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通过市政府网站政府信息公开平台发布各类公开信息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126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条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；</w:t>
      </w:r>
      <w:r>
        <w:rPr>
          <w:rFonts w:hint="eastAsia" w:eastAsia="方正仿宋简体" w:cs="Times New Roman"/>
          <w:b/>
          <w:color w:val="000000"/>
          <w:sz w:val="32"/>
          <w:szCs w:val="32"/>
          <w:lang w:eastAsia="zh-CN"/>
        </w:rPr>
        <w:t>通过门户网站发布公开信息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131条；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通过“济宁畜牧”微信公众号发布各类公开信息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条。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（二）依申请公开情况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202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年度，市畜牧兽医事业发展中心未收到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政府信息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公开申请。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default" w:ascii="Times New Roman" w:hAnsi="Times New Roman" w:eastAsia="方正仿宋简体" w:cs="Times New Roman"/>
          <w:b/>
          <w:color w:val="000000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</w:rPr>
        <w:t>严格政务信息公开审核程序</w:t>
      </w:r>
      <w:r>
        <w:rPr>
          <w:rFonts w:hint="eastAsia" w:eastAsia="方正仿宋简体" w:cs="Times New Roman"/>
          <w:b/>
          <w:color w:val="000000"/>
          <w:sz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</w:rPr>
        <w:t>按照“谁制定、谁审查、谁公开、谁负责”原则，做到一事一审、先审后发，提升公开质量，严把信息安全，确保公开内容合法规范。</w:t>
      </w:r>
      <w:r>
        <w:rPr>
          <w:rFonts w:hint="default" w:ascii="Times New Roman" w:hAnsi="Times New Roman" w:eastAsia="方正仿宋简体" w:cs="Times New Roman"/>
          <w:b/>
          <w:color w:val="000000"/>
          <w:spacing w:val="-8"/>
          <w:sz w:val="32"/>
          <w:szCs w:val="32"/>
          <w:lang w:val="en-US" w:eastAsia="zh-CN"/>
        </w:rPr>
        <w:t>202</w:t>
      </w:r>
      <w:r>
        <w:rPr>
          <w:rFonts w:hint="eastAsia" w:eastAsia="方正仿宋简体" w:cs="Times New Roman"/>
          <w:b/>
          <w:color w:val="000000"/>
          <w:spacing w:val="-8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color w:val="000000"/>
          <w:spacing w:val="-8"/>
          <w:sz w:val="32"/>
          <w:szCs w:val="32"/>
          <w:lang w:val="en-US" w:eastAsia="zh-CN"/>
        </w:rPr>
        <w:t>年，市畜牧兽医事业发展中心新出台规范性文件0件，废止0件，现行有效0件。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（四）政府信息公开平台建设情况</w:t>
      </w:r>
    </w:p>
    <w:p>
      <w:pPr>
        <w:spacing w:line="590" w:lineRule="exact"/>
        <w:ind w:right="-100" w:rightChars="-50" w:firstLine="642" w:firstLineChars="200"/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优化门户网站信息公开专栏设置和内容展示形式，在政务公开板块下设置职能机构、人事信息、行政通知、公告公示等栏目，完善检索、查阅、下载等功能。充分发挥微信公众号传播快、受众广、互动强的</w:t>
      </w: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优势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，积极发布</w:t>
      </w: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图文并茂的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服务事项办理指南、畜牧相关政策法规</w:t>
      </w: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、畜产品质量安全科普视频等内容，直观形象的将内容推送给受众，让群众“看得见、读得懂”。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color w:val="000000"/>
          <w:sz w:val="32"/>
          <w:szCs w:val="32"/>
        </w:rPr>
        <w:t>（五）监督保障情况</w:t>
      </w:r>
    </w:p>
    <w:p>
      <w:pPr>
        <w:spacing w:line="590" w:lineRule="exact"/>
        <w:ind w:right="-100" w:rightChars="-50" w:firstLine="642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定期召开会议，听取政务公开工作最新要求和工作进展情况汇报，</w:t>
      </w:r>
      <w:r>
        <w:rPr>
          <w:rFonts w:hint="eastAsia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安排部署重点工作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val="en-US" w:eastAsia="zh-CN"/>
        </w:rPr>
        <w:t>优化调整政务公开工作领导小组，明确领导小组职责，指定一名同志专职、两名同志兼职负责政务公开日常工作</w:t>
      </w: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；制定年度培训计划，定期开展政务公开工作培训，增强政务公开意识，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提升业务水平。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color w:val="000000"/>
          <w:sz w:val="32"/>
          <w:szCs w:val="32"/>
        </w:rPr>
        <w:t>二、主动公开政府信息情况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　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 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　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 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lang w:val="en-US" w:eastAsia="zh-CN"/>
              </w:rPr>
              <w:t xml:space="preserve">  0</w:t>
            </w:r>
          </w:p>
        </w:tc>
      </w:tr>
    </w:tbl>
    <w:p>
      <w:pPr>
        <w:spacing w:before="62" w:beforeLines="10" w:after="62" w:afterLines="10" w:line="600" w:lineRule="exact"/>
        <w:ind w:firstLine="642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 w:bidi="ar"/>
              </w:rPr>
              <w:tab/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0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46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42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650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5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  <w:tc>
          <w:tcPr>
            <w:tcW w:w="407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sz w:val="21"/>
                <w:szCs w:val="21"/>
                <w:lang w:bidi="ar"/>
              </w:rPr>
              <w:t> </w:t>
            </w:r>
          </w:p>
        </w:tc>
      </w:tr>
    </w:tbl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spacing w:line="240" w:lineRule="auto"/>
        <w:ind w:right="0" w:rightChars="0" w:firstLine="642" w:firstLineChars="200"/>
        <w:jc w:val="lef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市畜牧兽医事业发展中心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政府信息公开工作扎实推进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，但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面对新形势、新要求，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仍存在以下不足：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一是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政策解读形式较为单一，解读深度不够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；二是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公开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信息的时效性有待提升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 xml:space="preserve">        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lang w:eastAsia="zh-CN"/>
        </w:rPr>
        <w:t>下步，中心将着重做好以下工作：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是健全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文件解读工作机制。坚持“谁起草、谁解读”的原则，认真落实政策文件与解读方案、解读材料同步组织、同步审签、同步部署的工作机制，提高政策解读的质量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是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提升公开信息时效性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。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需要公开的信息审核无误后，第一时间公开，定期审查已公开信息，已过有效期的第一时间标注或删除，确保公开信息准确、有效。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（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）收取信息处理费的情况</w:t>
      </w:r>
    </w:p>
    <w:p>
      <w:pPr>
        <w:spacing w:line="590" w:lineRule="exact"/>
        <w:ind w:left="640" w:leftChars="320" w:right="-100" w:rightChars="-50" w:firstLine="0" w:firstLineChars="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202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年，市畜牧兽医事业发展中心未收取信息处理费。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落实上级年度政务公开工作要点情况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2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color w:val="000000"/>
          <w:sz w:val="32"/>
          <w:szCs w:val="32"/>
          <w:lang w:val="en-US" w:eastAsia="zh-CN"/>
        </w:rPr>
        <w:t>制定年度政务公开工作实施方案，压实主体责任，细化任务分工，推进政务公开工作任务落实落地；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定期更新政府信息公开指南、主动公开基本目录，完善政务公开工作制度，规范依申请公开办理流程，确保政务公开各项任务落到实处。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default" w:ascii="Times New Roman" w:hAnsi="Times New Roman" w:cs="Times New Roman"/>
        </w:rPr>
      </w:pPr>
      <w:bookmarkStart w:id="0" w:name="_GoBack"/>
      <w:r>
        <w:rPr>
          <w:rStyle w:val="8"/>
          <w:rFonts w:hint="default" w:ascii="Times New Roman" w:hAnsi="Times New Roman" w:eastAsia="方正仿宋简体" w:cs="Times New Roman"/>
          <w:b/>
          <w:kern w:val="0"/>
          <w:sz w:val="31"/>
          <w:szCs w:val="31"/>
          <w:lang w:val="en-US" w:eastAsia="zh-CN" w:bidi="ar"/>
        </w:rPr>
        <w:t>（三）人大代表建议和政协提案办理结果公开情况：2023年度，市畜牧兽医事业发展中心办理人大代表建议1件，已在规定时间内办理完毕并公开办理情况。2023年度，市畜牧兽医事业发展中心未收到政协提案。</w:t>
      </w:r>
    </w:p>
    <w:bookmarkEnd w:id="0"/>
    <w:p>
      <w:pPr>
        <w:spacing w:line="590" w:lineRule="exact"/>
        <w:ind w:right="-100" w:rightChars="-50" w:firstLine="642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Yu Mincho Light">
    <w:altName w:val="方正书宋_GBK"/>
    <w:panose1 w:val="00000000000000000000"/>
    <w:charset w:val="00"/>
    <w:family w:val="roman"/>
    <w:pitch w:val="default"/>
    <w:sig w:usb0="00000000" w:usb1="00000000" w:usb2="00000012" w:usb3="00000000" w:csb0="0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jRlOGM2ZGY4NWFkN2YzMzI4MzRmN2MwNjE4MjUifQ=="/>
  </w:docVars>
  <w:rsids>
    <w:rsidRoot w:val="6C2D1409"/>
    <w:rsid w:val="0EFFCCB2"/>
    <w:rsid w:val="3F89DBBE"/>
    <w:rsid w:val="5FDE34B1"/>
    <w:rsid w:val="5FFF0D64"/>
    <w:rsid w:val="65B595A2"/>
    <w:rsid w:val="6C2D1409"/>
    <w:rsid w:val="6D9E843C"/>
    <w:rsid w:val="77B7C85C"/>
    <w:rsid w:val="79FFF756"/>
    <w:rsid w:val="7EED6C50"/>
    <w:rsid w:val="7F7FDBCF"/>
    <w:rsid w:val="7FFBFEEE"/>
    <w:rsid w:val="7FFF10A6"/>
    <w:rsid w:val="AFFF9B4F"/>
    <w:rsid w:val="CC7FC59F"/>
    <w:rsid w:val="D7FF1625"/>
    <w:rsid w:val="F3AFDD39"/>
    <w:rsid w:val="F73A5653"/>
    <w:rsid w:val="F9EC62AE"/>
    <w:rsid w:val="FF5F44D8"/>
    <w:rsid w:val="FFB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20" w:after="120"/>
      <w:outlineLvl w:val="0"/>
    </w:pPr>
    <w:rPr>
      <w:rFonts w:ascii="黑体" w:hAnsi="黑体" w:eastAsia="黑体" w:cs="黑体"/>
      <w:bCs/>
      <w:kern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ascii="Yu Mincho Light" w:hAnsi="Yu Mincho Light" w:cs="Yu Mincho Light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400" b="0" i="0" u="none" strike="noStrike" kern="1200" spc="0" baseline="0">
              <a:ln w="12700" cmpd="sng">
                <a:noFill/>
                <a:prstDash val="solid"/>
              </a:ln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济宁市畜牧兽医事业发展中心
2023年度政府信息公开数量</c:v>
                </c:pt>
              </c:strCache>
            </c:strRef>
          </c:tx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true"/>
          </c:dLbls>
          <c:cat>
            <c:strRef>
              <c:f>Sheet1!$A$2:$A$4</c:f>
              <c:strCache>
                <c:ptCount val="3"/>
                <c:pt idx="0">
                  <c:v>政府信息公开平台</c:v>
                </c:pt>
                <c:pt idx="1">
                  <c:v>部门门户网站</c:v>
                </c:pt>
                <c:pt idx="2">
                  <c:v>“济宁畜牧”微信公众号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126</c:v>
                </c:pt>
                <c:pt idx="1">
                  <c:v>131</c:v>
                </c:pt>
                <c:pt idx="2">
                  <c:v>70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2023-01-21T07:42:00Z</dcterms:created>
  <dc:creator>董真</dc:creator>
  <cp:lastModifiedBy>user</cp:lastModifiedBy>
  <dcterms:modified xsi:type="dcterms:W3CDTF">2024-03-01T14:20:35Z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6E26D451836E44A6B8E6BA70E6EFACBC</vt:lpwstr>
  </property>
</Properties>
</file>