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outlineLvl w:val="0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济宁市知识产权事业发展中心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</w:t>
      </w:r>
    </w:p>
    <w:p>
      <w:pPr>
        <w:spacing w:line="590" w:lineRule="exact"/>
        <w:ind w:right="-100" w:rightChars="-50"/>
        <w:jc w:val="center"/>
        <w:outlineLvl w:val="0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政府信息公开工作年度报告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pacing w:val="-11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济宁市知识产权事业发展中心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按照《中华人民共和国政府信息公开条</w:t>
      </w:r>
      <w:bookmarkStart w:id="10" w:name="_GoBack"/>
      <w:bookmarkEnd w:id="10"/>
      <w:r>
        <w:rPr>
          <w:rFonts w:hint="eastAsia" w:ascii="方正仿宋简体" w:eastAsia="方正仿宋简体"/>
          <w:b/>
          <w:color w:val="000000"/>
          <w:sz w:val="32"/>
          <w:szCs w:val="32"/>
        </w:rPr>
        <w:t>例》（以下简称《条例》）和《中华人民共和国政府信息</w:t>
      </w:r>
      <w:r>
        <w:rPr>
          <w:rFonts w:hint="eastAsia" w:ascii="方正仿宋简体" w:eastAsia="方正仿宋简体"/>
          <w:b/>
          <w:color w:val="000000"/>
          <w:spacing w:val="-11"/>
          <w:sz w:val="32"/>
          <w:szCs w:val="32"/>
        </w:rPr>
        <w:t>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年1月1日起至202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年12月31日止。本报告电子版可在“中国·济宁”政府门户网站（http://www.jining.gov.cn/col/col61618/index.html）查阅或下载。如对本报告有疑问，请与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济宁市知识产权事业发展中心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联系（地址：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省运会指挥中心F区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，联系电话：0537—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2272086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）。</w:t>
      </w:r>
    </w:p>
    <w:p>
      <w:pPr>
        <w:numPr>
          <w:ilvl w:val="0"/>
          <w:numId w:val="1"/>
        </w:numPr>
        <w:spacing w:line="590" w:lineRule="exact"/>
        <w:ind w:right="-100" w:rightChars="-50" w:firstLine="643" w:firstLineChars="200"/>
        <w:rPr>
          <w:rFonts w:hint="eastAsia"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总体情况</w:t>
      </w:r>
    </w:p>
    <w:p>
      <w:pPr>
        <w:numPr>
          <w:ilvl w:val="0"/>
          <w:numId w:val="0"/>
        </w:num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政府信息公开工作按照市政府要求，除法律、法规规定不宜公开和必须保密的外，中心主动公开与公民、法人、企业和有关单位密切相关的事项，与人民群众利益直接相关的公共事务。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2023年度，市知识产权事业发展中心主动公开政府信息34条，重点公开领域包括部门文件7条；政策解读8条，其中主要负责人解读4条、视频解读1条、新闻媒体解读1条、图文解读2条；部门会议9条，并为会议配发了解读和回放资料；人事信息、预算和决算信息各1条。进一步丰富了解读的形式和角度，强化了政策解读的质量，激发知识产权“助企攀登”新动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jc w:val="center"/>
        <w:textAlignment w:val="auto"/>
        <w:rPr>
          <w:rFonts w:hint="default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29225" cy="2743200"/>
            <wp:effectExtent l="4445" t="4445" r="5080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default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2023年度市知识产权事业发展中心保持依申请公开渠道畅通，进一步建立健全依申请公开工作机制，明确登记、审核、办理、答复、归档等工作流程。全年收到政府信息公开申请0条，无信息公开举报、复议和诉讼等情形，未产生信息处理收费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健全政府信息发布审查机制，梳理信息公开目录和事项清单，建立政务信息公开台账，根据“编审分离”原则完善政府信息审查发布流程，对各科室在门户网站公开的政府信息进行内容审核和保密审查，确保公开信息依法、及时、全面、准确和合理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（四）政府信息公开平台建设情况</w:t>
      </w:r>
    </w:p>
    <w:p>
      <w:pPr>
        <w:spacing w:after="0" w:line="580" w:lineRule="exact"/>
        <w:ind w:firstLine="643" w:firstLineChars="200"/>
        <w:jc w:val="both"/>
        <w:rPr>
          <w:rStyle w:val="4"/>
          <w:rFonts w:ascii="方正仿宋简体" w:hAnsi="Times New Roman" w:eastAsia="方正仿宋简体" w:cs="Times New Roman"/>
          <w:color w:val="auto"/>
          <w:sz w:val="32"/>
          <w:szCs w:val="32"/>
        </w:rPr>
      </w:pPr>
      <w:r>
        <w:rPr>
          <w:rStyle w:val="4"/>
          <w:rFonts w:hint="eastAsia" w:ascii="方正仿宋简体" w:eastAsia="方正仿宋简体" w:cs="Times New Roman"/>
          <w:color w:val="auto"/>
          <w:sz w:val="32"/>
          <w:szCs w:val="32"/>
          <w:lang w:val="en-US" w:eastAsia="zh-CN"/>
        </w:rPr>
        <w:t>围绕年度重点工作，实行“互联网+知识产权”公开模式，依托济宁市知识产权信息服务平台，拓展知识产权领域政务公开新阵地。利用平台注册用户多、内容针对性强、企业关注度高的优势，将知识产权领域政策法规与解读文件归集发布并保持动态更新，设置专利导航、维权援助等专题模块，实现政策文件的精准检索。建立起由政府门户网站面向社会大众，知识产权信息服务平台精于服务企业的线上公开双通道</w:t>
      </w:r>
      <w:r>
        <w:rPr>
          <w:rStyle w:val="4"/>
          <w:rFonts w:hint="eastAsia" w:ascii="方正仿宋简体" w:hAnsi="Times New Roman" w:eastAsia="方正仿宋简体" w:cs="Times New Roman"/>
          <w:color w:val="auto"/>
          <w:sz w:val="32"/>
          <w:szCs w:val="32"/>
        </w:rPr>
        <w:t>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严格按照《条例》中信息公开的范围、公开方式和程序开展政府信息公开工作。严格执行政府信息公开保密审查制度。对涉密信息和不宜公开信息做到妥善处置。全年未发生因政府信息公开引起的失密泄密事件。及时调整政务公开工作领导小组架构，明确责任领导和责任人，进一步完善政务公开协调运行机制。加强政务公开培训，年内开展了2次集中培训，进一步提高了公开规范性、准确性。</w:t>
      </w:r>
    </w:p>
    <w:p>
      <w:pPr>
        <w:numPr>
          <w:ilvl w:val="0"/>
          <w:numId w:val="1"/>
        </w:numPr>
        <w:spacing w:line="590" w:lineRule="exact"/>
        <w:ind w:left="0" w:leftChars="0" w:right="-100" w:rightChars="-50" w:firstLine="643" w:firstLineChars="200"/>
        <w:rPr>
          <w:rFonts w:hint="eastAsia"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主动公开政府信息情况</w:t>
      </w:r>
    </w:p>
    <w:tbl>
      <w:tblPr>
        <w:tblStyle w:val="2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Times New Roman" w:eastAsia="方正黑体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hint="eastAsia" w:ascii="方正仿宋简体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before="62" w:beforeLines="10" w:after="62" w:afterLines="10" w:line="600" w:lineRule="exact"/>
        <w:ind w:left="0" w:leftChars="0" w:firstLine="643" w:firstLineChars="200"/>
        <w:rPr>
          <w:rFonts w:hint="eastAsia"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收到和处理政府信息公开申请情况</w:t>
      </w:r>
    </w:p>
    <w:tbl>
      <w:tblPr>
        <w:tblStyle w:val="2"/>
        <w:tblW w:w="99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 w:val="21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 w:val="21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1" w:leftChars="-51" w:right="-102" w:rightChars="-51" w:hanging="1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2" w:leftChars="-51" w:right="-102" w:rightChars="-51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2" w:leftChars="-51" w:right="-102" w:rightChars="-51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1" w:leftChars="-51" w:right="-102" w:rightChars="-51" w:hanging="1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0" w:leftChars="-30" w:right="-128" w:rightChars="-64"/>
              <w:jc w:val="center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2" w:leftChars="-51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2" w:leftChars="-51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2" w:leftChars="-51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2" w:leftChars="-51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2" w:leftChars="-51"/>
              <w:textAlignment w:val="auto"/>
              <w:rPr>
                <w:rFonts w:ascii="黑体" w:hAnsi="黑体" w:eastAsia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rPr>
                <w:rFonts w:ascii="仿宋_GB2312" w:hAnsi="黑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楷体" w:eastAsia="仿宋_GB2312"/>
                <w:kern w:val="2"/>
                <w:sz w:val="21"/>
                <w:szCs w:val="22"/>
              </w:rPr>
            </w:pPr>
            <w:r>
              <w:rPr>
                <w:rFonts w:hint="eastAsia" w:ascii="仿宋_GB2312" w:hAnsi="楷体" w:eastAsia="仿宋_GB2312"/>
                <w:kern w:val="2"/>
                <w:sz w:val="21"/>
                <w:szCs w:val="2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eastAsia="仿宋_GB2312"/>
                <w:kern w:val="2"/>
                <w:sz w:val="21"/>
                <w:szCs w:val="2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黑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eastAsia="仿宋_GB2312"/>
                <w:kern w:val="2"/>
                <w:sz w:val="21"/>
                <w:szCs w:val="2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2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2" w:leftChars="-71" w:right="-162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2" w:leftChars="-71" w:right="-162" w:rightChars="-81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1" w:leftChars="-21" w:right="-126" w:rightChars="-63" w:hanging="1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78" w:leftChars="-39" w:right="-92" w:rightChars="-46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2" w:leftChars="-56" w:right="-112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2" w:leftChars="-56" w:right="-112" w:rightChars="-56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2"/>
                <w:sz w:val="24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0" w:leftChars="-50" w:right="-120" w:rightChars="-60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41" w:right="-84" w:rightChars="-42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0" w:leftChars="-60" w:right="-130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0" w:leftChars="-60" w:right="-130" w:rightChars="-65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56" w:leftChars="-78" w:right="-146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56" w:leftChars="-78" w:right="-146" w:rightChars="-73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4" w:leftChars="-47" w:right="-74" w:rightChars="-37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0" w:leftChars="-65" w:right="-118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0" w:leftChars="-65" w:right="-118" w:rightChars="-59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5" w:leftChars="-83" w:right="-128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65" w:leftChars="-83" w:right="-128" w:rightChars="-64" w:hanging="1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4" w:leftChars="-33" w:right="-100" w:rightChars="-50" w:hanging="2" w:hangingChars="1"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2"/>
                <w:sz w:val="21"/>
                <w:szCs w:val="22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等线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eastAsia="等线"/>
                <w:kern w:val="2"/>
                <w:sz w:val="21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现阶段仅初步实现了部门办公会议的“一图速读”式解读和议题议定事项（文件）及有关解读材料的关联，但解读深度和丰富性还有待提高，缺乏会议回放的有效手段。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针对上述问题和不足，中心将在接下来的政务公开工作中按照《中华人民共和国政府信息公开条例》和省、市政务公开工作要求，采取针对性提升措施。一是广泛征求意见，增加利益相关方、公众代表或企业法人的参与度，邀请其列席相关议题。二是进一步加强政务公开工作重视程度。将政务公开意识融入业务工作和部门运转的方方面面，为会议公开、会议解读创造良好的日常条件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（一）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2023年度济宁市知识产权事业发展中心无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收取信息处理费的情况;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（二）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2023年中心根据上级政务公开要求，制定了《市知识产权事业发展中心2023年度政务公开工作安排》，大力加强政务公开解读回应工作，及时总结经验提高政务公开深度和广度，为创新创造主体提供更加便捷的服务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；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pacing w:val="-1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（三）</w:t>
      </w:r>
      <w:r>
        <w:rPr>
          <w:rFonts w:hint="default" w:ascii="Times New Roman" w:hAnsi="Times New Roman" w:eastAsia="方正仿宋简体" w:cs="Times New Roman"/>
          <w:b/>
          <w:spacing w:val="-11"/>
          <w:sz w:val="32"/>
          <w:szCs w:val="32"/>
          <w:lang w:val="en-US" w:eastAsia="zh-CN"/>
        </w:rPr>
        <w:t>2023年度中心未收到</w:t>
      </w:r>
      <w:r>
        <w:rPr>
          <w:rFonts w:hint="default" w:ascii="Times New Roman" w:hAnsi="Times New Roman" w:eastAsia="方正仿宋简体" w:cs="Times New Roman"/>
          <w:b/>
          <w:spacing w:val="-11"/>
          <w:sz w:val="32"/>
          <w:szCs w:val="32"/>
        </w:rPr>
        <w:t>人大代表建议和政协提案；</w:t>
      </w:r>
    </w:p>
    <w:p>
      <w:pPr>
        <w:numPr>
          <w:ilvl w:val="0"/>
          <w:numId w:val="2"/>
        </w:num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市知识产权事业发展中心加大政务公开力度，通过“济宁市知识产权公共服务平台”，重点围绕专利检索、专利导航、专利预警、知识产权分析评议、知识产权交易运营、知识产权线上培训等功能，对相关政策进行进一步解读，实行“互联网+知识产权”服务模式，向社会提供线上线下相结合的知识产权便利化专业服务。</w:t>
      </w:r>
    </w:p>
    <w:p>
      <w:pPr>
        <w:numPr>
          <w:numId w:val="0"/>
        </w:num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numPr>
          <w:numId w:val="0"/>
        </w:num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numPr>
          <w:numId w:val="0"/>
        </w:numPr>
        <w:wordWrap w:val="0"/>
        <w:spacing w:line="590" w:lineRule="exact"/>
        <w:ind w:right="-100" w:rightChars="-50"/>
        <w:jc w:val="right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济宁市知识产权事业发展中心  </w:t>
      </w:r>
    </w:p>
    <w:p>
      <w:pPr>
        <w:numPr>
          <w:numId w:val="0"/>
        </w:numPr>
        <w:wordWrap w:val="0"/>
        <w:spacing w:line="590" w:lineRule="exact"/>
        <w:ind w:right="-100" w:rightChars="-50"/>
        <w:jc w:val="right"/>
        <w:rPr>
          <w:rFonts w:hint="default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2024年1月30日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F6C26"/>
    <w:multiLevelType w:val="singleLevel"/>
    <w:tmpl w:val="D28F6C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844F7C"/>
    <w:multiLevelType w:val="singleLevel"/>
    <w:tmpl w:val="DD844F7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YzdmOGMxNzg2ZDdhNTE5MTA5Nzk1MDkwMGJkOWUifQ=="/>
  </w:docVars>
  <w:rsids>
    <w:rsidRoot w:val="00000000"/>
    <w:rsid w:val="08365675"/>
    <w:rsid w:val="0FE97D09"/>
    <w:rsid w:val="15F37283"/>
    <w:rsid w:val="1AA93762"/>
    <w:rsid w:val="257E1D9D"/>
    <w:rsid w:val="4C4725A4"/>
    <w:rsid w:val="4FB20538"/>
    <w:rsid w:val="5316508C"/>
    <w:rsid w:val="57B96474"/>
    <w:rsid w:val="595C5890"/>
    <w:rsid w:val="5EDE471E"/>
    <w:rsid w:val="6C186F6F"/>
    <w:rsid w:val="718F470E"/>
    <w:rsid w:val="737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jscx-4\Desktop\&#25919;&#21153;&#20844;&#24320;\2022&#25919;&#21153;&#20844;&#24320;\&#25919;&#21153;&#20449;&#24687;&#20844;&#24320;&#24180;&#25253;\&#39292;&#2936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主动公开信息占比饼状图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[饼状图.xlsx]Sheet1!$I$7:$N$7</c:f>
              <c:strCache>
                <c:ptCount val="6"/>
                <c:pt idx="0">
                  <c:v>部门文件</c:v>
                </c:pt>
                <c:pt idx="1">
                  <c:v>政策解读</c:v>
                </c:pt>
                <c:pt idx="2">
                  <c:v>部门会议</c:v>
                </c:pt>
                <c:pt idx="3">
                  <c:v>人事财务信息</c:v>
                </c:pt>
                <c:pt idx="5">
                  <c:v>其他</c:v>
                </c:pt>
              </c:strCache>
            </c:strRef>
          </c:cat>
          <c:val>
            <c:numRef>
              <c:f>[饼状图.xlsx]Sheet1!$I$8:$N$8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2925</Words>
  <Characters>3040</Characters>
  <Lines>0</Lines>
  <Paragraphs>0</Paragraphs>
  <TotalTime>20</TotalTime>
  <ScaleCrop>false</ScaleCrop>
  <LinksUpToDate>false</LinksUpToDate>
  <CharactersWithSpaces>3040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2023-01-18T07:09:00Z</dcterms:created>
  <dc:creator>jscx-4</dc:creator>
  <cp:lastModifiedBy>赵子硕</cp:lastModifiedBy>
  <dcterms:modified xsi:type="dcterms:W3CDTF">2024-01-30T01:25:54Z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3C1701BE5E7E481DA24856D6242268C7</vt:lpwstr>
  </property>
</Properties>
</file>