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0" w:rightChars="-50"/>
        <w:jc w:val="center"/>
        <w:rPr>
          <w:rFonts w:hint="eastAsia" w:ascii="方正小标宋简体" w:eastAsia="方正小标宋简体"/>
          <w:b/>
          <w:color w:val="000000" w:themeColor="text1"/>
          <w:sz w:val="44"/>
          <w:szCs w:val="44"/>
          <w14:textFill>
            <w14:solidFill>
              <w14:schemeClr w14:val="tx1"/>
            </w14:solidFill>
          </w14:textFill>
        </w:rPr>
      </w:pPr>
      <w:bookmarkStart w:id="0" w:name="_GoBack"/>
      <w:bookmarkEnd w:id="0"/>
      <w:r>
        <w:rPr>
          <w:rFonts w:hint="eastAsia" w:ascii="方正小标宋简体" w:eastAsia="方正小标宋简体"/>
          <w:b/>
          <w:color w:val="000000" w:themeColor="text1"/>
          <w:sz w:val="44"/>
          <w:szCs w:val="44"/>
          <w:lang w:val="en-US" w:eastAsia="zh-CN"/>
          <w14:textFill>
            <w14:solidFill>
              <w14:schemeClr w14:val="tx1"/>
            </w14:solidFill>
          </w14:textFill>
        </w:rPr>
        <w:t>市行政审批服务局</w:t>
      </w:r>
      <w:r>
        <w:rPr>
          <w:rFonts w:hint="eastAsia" w:ascii="方正小标宋简体" w:eastAsia="方正小标宋简体"/>
          <w:b/>
          <w:color w:val="000000" w:themeColor="text1"/>
          <w:sz w:val="44"/>
          <w:szCs w:val="44"/>
          <w14:textFill>
            <w14:solidFill>
              <w14:schemeClr w14:val="tx1"/>
            </w14:solidFill>
          </w14:textFill>
        </w:rPr>
        <w:t>2021年政府信息公开</w:t>
      </w:r>
    </w:p>
    <w:p>
      <w:pPr>
        <w:spacing w:line="590" w:lineRule="exact"/>
        <w:ind w:right="-100" w:rightChars="-50"/>
        <w:jc w:val="center"/>
        <w:rPr>
          <w:rFonts w:ascii="方正小标宋简体" w:eastAsia="方正小标宋简体"/>
          <w:b/>
          <w:color w:val="000000" w:themeColor="text1"/>
          <w:sz w:val="44"/>
          <w:szCs w:val="44"/>
          <w14:textFill>
            <w14:solidFill>
              <w14:schemeClr w14:val="tx1"/>
            </w14:solidFill>
          </w14:textFill>
        </w:rPr>
      </w:pPr>
      <w:r>
        <w:rPr>
          <w:rFonts w:hint="eastAsia" w:ascii="方正小标宋简体" w:eastAsia="方正小标宋简体"/>
          <w:b/>
          <w:color w:val="000000" w:themeColor="text1"/>
          <w:sz w:val="44"/>
          <w:szCs w:val="44"/>
          <w14:textFill>
            <w14:solidFill>
              <w14:schemeClr w14:val="tx1"/>
            </w14:solidFill>
          </w14:textFill>
        </w:rPr>
        <w:t>工作年度报告</w:t>
      </w:r>
    </w:p>
    <w:p>
      <w:pPr>
        <w:spacing w:line="590" w:lineRule="exact"/>
        <w:ind w:right="-100" w:rightChars="-50" w:firstLine="643" w:firstLineChars="200"/>
        <w:rPr>
          <w:rFonts w:ascii="方正仿宋简体" w:eastAsia="方正仿宋简体"/>
          <w:b/>
          <w:color w:val="000000" w:themeColor="text1"/>
          <w:sz w:val="32"/>
          <w:szCs w:val="32"/>
          <w14:textFill>
            <w14:solidFill>
              <w14:schemeClr w14:val="tx1"/>
            </w14:solidFill>
          </w14:textFill>
        </w:rPr>
      </w:pPr>
    </w:p>
    <w:p>
      <w:pPr>
        <w:spacing w:line="590" w:lineRule="exact"/>
        <w:ind w:right="-100" w:rightChars="-50" w:firstLine="643" w:firstLineChars="200"/>
        <w:rPr>
          <w:rFonts w:ascii="方正仿宋简体" w:eastAsia="方正仿宋简体"/>
          <w:b/>
          <w:color w:val="000000" w:themeColor="text1"/>
          <w:sz w:val="32"/>
          <w:szCs w:val="32"/>
          <w14:textFill>
            <w14:solidFill>
              <w14:schemeClr w14:val="tx1"/>
            </w14:solidFill>
          </w14:textFill>
        </w:rPr>
      </w:pPr>
      <w:r>
        <w:rPr>
          <w:rFonts w:hint="eastAsia" w:ascii="方正仿宋简体" w:eastAsia="方正仿宋简体"/>
          <w:b/>
          <w:color w:val="000000" w:themeColor="text1"/>
          <w:sz w:val="32"/>
          <w:szCs w:val="32"/>
          <w14:textFill>
            <w14:solidFill>
              <w14:schemeClr w14:val="tx1"/>
            </w14:solidFill>
          </w14:textFill>
        </w:rPr>
        <w:t>本报告由</w:t>
      </w:r>
      <w:r>
        <w:rPr>
          <w:rFonts w:hint="eastAsia" w:ascii="方正仿宋简体" w:eastAsia="方正仿宋简体"/>
          <w:b/>
          <w:color w:val="000000" w:themeColor="text1"/>
          <w:sz w:val="32"/>
          <w:szCs w:val="32"/>
          <w:lang w:val="en-US" w:eastAsia="zh-CN"/>
          <w14:textFill>
            <w14:solidFill>
              <w14:schemeClr w14:val="tx1"/>
            </w14:solidFill>
          </w14:textFill>
        </w:rPr>
        <w:t>市行政审批服务局</w:t>
      </w:r>
      <w:r>
        <w:rPr>
          <w:rFonts w:hint="eastAsia" w:ascii="方正仿宋简体" w:eastAsia="方正仿宋简体"/>
          <w:b/>
          <w:color w:val="000000" w:themeColor="text1"/>
          <w:sz w:val="32"/>
          <w:szCs w:val="32"/>
          <w14:textFill>
            <w14:solidFill>
              <w14:schemeClr w14:val="tx1"/>
            </w14:solidFill>
          </w14:textFill>
        </w:rPr>
        <w:t>按照《中华人民共和国政府信息公开条例》（以下简称《条例》）和《中华人民共和国政府信息公开工作年度报告格式》（国办公开办函〔2021〕30号）要求编制。</w:t>
      </w:r>
    </w:p>
    <w:p>
      <w:pPr>
        <w:spacing w:line="590" w:lineRule="exact"/>
        <w:ind w:right="-100" w:rightChars="-50" w:firstLine="643" w:firstLineChars="200"/>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pP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本报告内容包括总体情况、主动公开政府信息情况、收到和处理政府信息公开申请情况、政府信息公开行政复议和行政诉讼情况、存在的主要问题及改进情况、其他需要报告的事项等六部分内容。</w:t>
      </w:r>
    </w:p>
    <w:p>
      <w:pPr>
        <w:spacing w:line="590" w:lineRule="exact"/>
        <w:ind w:right="-100" w:rightChars="-50" w:firstLine="643" w:firstLineChars="200"/>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pP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本报告所列数据的统计期限自2021年1月1日起至2021年12月31日止。本报告电子版可在“中国·济宁”政府门户网站（</w:t>
      </w:r>
      <w:r>
        <w:rPr>
          <w:rFonts w:hint="default" w:ascii="方正仿宋简体" w:hAnsi="Times New Roman" w:eastAsia="方正仿宋简体" w:cs="Times New Roman"/>
          <w:b/>
          <w:color w:val="000000" w:themeColor="text1"/>
          <w:sz w:val="32"/>
          <w:szCs w:val="32"/>
          <w:lang w:val="en-US" w:eastAsia="zh-CN"/>
          <w14:textFill>
            <w14:solidFill>
              <w14:schemeClr w14:val="tx1"/>
            </w14:solidFill>
          </w14:textFill>
        </w:rPr>
        <w:t>http://www.jining.gov.cn/</w:t>
      </w: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）查阅或下载。如对本报告有疑问，请与市行政审批服务局联系（地址：济宁市太白湖新区圣贤路7号，联系电话：0537-2367828）。</w:t>
      </w:r>
    </w:p>
    <w:p>
      <w:pPr>
        <w:spacing w:line="590" w:lineRule="exact"/>
        <w:ind w:right="-100" w:rightChars="-50" w:firstLine="643" w:firstLineChars="200"/>
        <w:rPr>
          <w:rFonts w:ascii="方正黑体简体" w:eastAsia="方正黑体简体"/>
          <w:b/>
          <w:color w:val="000000" w:themeColor="text1"/>
          <w:sz w:val="32"/>
          <w:szCs w:val="32"/>
          <w14:textFill>
            <w14:solidFill>
              <w14:schemeClr w14:val="tx1"/>
            </w14:solidFill>
          </w14:textFill>
        </w:rPr>
      </w:pPr>
      <w:r>
        <w:rPr>
          <w:rFonts w:hint="eastAsia" w:ascii="方正黑体简体" w:eastAsia="方正黑体简体"/>
          <w:b/>
          <w:color w:val="000000" w:themeColor="text1"/>
          <w:sz w:val="32"/>
          <w:szCs w:val="32"/>
          <w14:textFill>
            <w14:solidFill>
              <w14:schemeClr w14:val="tx1"/>
            </w14:solidFill>
          </w14:textFill>
        </w:rPr>
        <w:t>一、总体情况</w:t>
      </w:r>
    </w:p>
    <w:p>
      <w:pPr>
        <w:spacing w:line="590" w:lineRule="exact"/>
        <w:ind w:right="-100" w:rightChars="-50" w:firstLine="643" w:firstLineChars="200"/>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pP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2021年，市行政审批服务局按照《中华人民共和国政府信息公开条例》和国家及省、市政府信息公开工作部署要求，着力推进政府信息公开，积极回应社会关切，工作取得了明显成效。在市政府信息公开办公室的帮助指导下，进一步健全信息公开工作机制，修订完善《济宁市行政审批服务局信息公开指南》和《济宁市行政审批服务局政府信息主动公开目录》，切实加强对信息公开工作的自查自纠，确保各项准备工作和措施落实到位，政务公开质量稳步提升。</w:t>
      </w:r>
    </w:p>
    <w:p>
      <w:pPr>
        <w:spacing w:line="590" w:lineRule="exact"/>
        <w:ind w:right="-100" w:rightChars="-50" w:firstLine="643" w:firstLineChars="200"/>
        <w:rPr>
          <w:rFonts w:ascii="方正楷体简体" w:eastAsia="方正楷体简体"/>
          <w:b/>
          <w:color w:val="000000" w:themeColor="text1"/>
          <w:sz w:val="32"/>
          <w:szCs w:val="32"/>
          <w14:textFill>
            <w14:solidFill>
              <w14:schemeClr w14:val="tx1"/>
            </w14:solidFill>
          </w14:textFill>
        </w:rPr>
      </w:pPr>
      <w:r>
        <w:rPr>
          <w:rFonts w:hint="eastAsia" w:ascii="方正楷体简体" w:eastAsia="方正楷体简体"/>
          <w:b/>
          <w:color w:val="000000" w:themeColor="text1"/>
          <w:sz w:val="32"/>
          <w:szCs w:val="32"/>
          <w14:textFill>
            <w14:solidFill>
              <w14:schemeClr w14:val="tx1"/>
            </w14:solidFill>
          </w14:textFill>
        </w:rPr>
        <w:t>（一）主动公开情况</w:t>
      </w:r>
    </w:p>
    <w:p>
      <w:pPr>
        <w:spacing w:line="590" w:lineRule="exact"/>
        <w:ind w:right="-100" w:rightChars="-50" w:firstLine="643" w:firstLineChars="200"/>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pP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2021年，我局按照信息公开为常态、不公开为例外的要求，主动公开我局的机构职能、规划计划、权责清单、财务预决算、行政执法、重大建设项目、工作动态等政府信息，完成2021年重点任务公开承诺事项，积极主动回应社会关切，做好行政审批服务事项信息公开。通过局门户网站、市政府政务公开网站，面向社会发布政府公开信息1156条，“济宁政务服务”微信公众号发文382篇，订阅数22000。落实主要负责同志“第一解读人和责任人”制度，进一步拓宽解读渠道，通过媒体解读、音频解读、图表解读、文字解读等多种方式进行解读，及时准确传递政策信息。</w:t>
      </w:r>
    </w:p>
    <w:p>
      <w:pPr>
        <w:pStyle w:val="2"/>
        <w:rPr>
          <w:rFonts w:hint="eastAsia"/>
        </w:rPr>
      </w:pPr>
      <w:r>
        <w:rPr>
          <w:rFonts w:hint="eastAsia" w:ascii="方正仿宋简体" w:hAnsi="方正仿宋简体" w:eastAsia="方正仿宋简体" w:cs="方正仿宋简体"/>
          <w:b/>
          <w:sz w:val="32"/>
          <w:szCs w:val="32"/>
          <w:lang w:val="en-US" w:eastAsia="zh-CN"/>
        </w:rPr>
        <w:drawing>
          <wp:anchor distT="0" distB="0" distL="114300" distR="114300" simplePos="0" relativeHeight="251659264" behindDoc="0" locked="0" layoutInCell="1" allowOverlap="1">
            <wp:simplePos x="0" y="0"/>
            <wp:positionH relativeFrom="column">
              <wp:posOffset>-92710</wp:posOffset>
            </wp:positionH>
            <wp:positionV relativeFrom="paragraph">
              <wp:posOffset>218440</wp:posOffset>
            </wp:positionV>
            <wp:extent cx="5542280" cy="3304540"/>
            <wp:effectExtent l="0" t="0" r="1270" b="10160"/>
            <wp:wrapTopAndBottom/>
            <wp:docPr id="1" name="图片 2" descr="1640156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40156196"/>
                    <pic:cNvPicPr>
                      <a:picLocks noChangeAspect="1"/>
                    </pic:cNvPicPr>
                  </pic:nvPicPr>
                  <pic:blipFill>
                    <a:blip r:embed="rId4"/>
                    <a:stretch>
                      <a:fillRect/>
                    </a:stretch>
                  </pic:blipFill>
                  <pic:spPr>
                    <a:xfrm>
                      <a:off x="0" y="0"/>
                      <a:ext cx="5542280" cy="3304540"/>
                    </a:xfrm>
                    <a:prstGeom prst="rect">
                      <a:avLst/>
                    </a:prstGeom>
                    <a:noFill/>
                    <a:ln>
                      <a:noFill/>
                    </a:ln>
                  </pic:spPr>
                </pic:pic>
              </a:graphicData>
            </a:graphic>
          </wp:anchor>
        </w:drawing>
      </w:r>
    </w:p>
    <w:p>
      <w:pPr>
        <w:spacing w:line="590" w:lineRule="exact"/>
        <w:ind w:right="-100" w:rightChars="-50" w:firstLine="643" w:firstLineChars="200"/>
        <w:rPr>
          <w:rFonts w:ascii="方正楷体简体" w:eastAsia="方正楷体简体"/>
          <w:b/>
          <w:color w:val="000000" w:themeColor="text1"/>
          <w:sz w:val="32"/>
          <w:szCs w:val="32"/>
          <w14:textFill>
            <w14:solidFill>
              <w14:schemeClr w14:val="tx1"/>
            </w14:solidFill>
          </w14:textFill>
        </w:rPr>
      </w:pPr>
      <w:r>
        <w:rPr>
          <w:rFonts w:hint="eastAsia" w:ascii="方正楷体简体" w:eastAsia="方正楷体简体"/>
          <w:b/>
          <w:color w:val="000000" w:themeColor="text1"/>
          <w:sz w:val="32"/>
          <w:szCs w:val="32"/>
          <w14:textFill>
            <w14:solidFill>
              <w14:schemeClr w14:val="tx1"/>
            </w14:solidFill>
          </w14:textFill>
        </w:rPr>
        <w:t>（二）依申请公开情况</w:t>
      </w:r>
    </w:p>
    <w:p>
      <w:pPr>
        <w:spacing w:line="590" w:lineRule="exact"/>
        <w:ind w:right="-100" w:rightChars="-50" w:firstLine="643" w:firstLineChars="200"/>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pP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认真落实政务信息公开有关要求，建立依申请公开接收、登记、办理、审核、答复、归档等工作流程。</w:t>
      </w:r>
      <w:r>
        <w:rPr>
          <w:rFonts w:hint="default" w:ascii="方正仿宋简体" w:hAnsi="Times New Roman" w:eastAsia="方正仿宋简体" w:cs="Times New Roman"/>
          <w:b/>
          <w:color w:val="000000" w:themeColor="text1"/>
          <w:sz w:val="32"/>
          <w:szCs w:val="32"/>
          <w:lang w:val="en-US" w:eastAsia="zh-CN"/>
          <w14:textFill>
            <w14:solidFill>
              <w14:schemeClr w14:val="tx1"/>
            </w14:solidFill>
          </w14:textFill>
        </w:rPr>
        <w:t>2021</w:t>
      </w: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年，我局受理依申请公开2件，内容涉及到本单位行政许可审批情况，均按照申请人要求的形式在规定时间内答复，未收取相关费用。</w:t>
      </w:r>
    </w:p>
    <w:p>
      <w:pPr>
        <w:spacing w:line="590" w:lineRule="exact"/>
        <w:ind w:right="-100" w:rightChars="-50" w:firstLine="643" w:firstLineChars="200"/>
        <w:rPr>
          <w:rFonts w:ascii="方正楷体简体" w:eastAsia="方正楷体简体"/>
          <w:b/>
          <w:color w:val="000000" w:themeColor="text1"/>
          <w:sz w:val="32"/>
          <w:szCs w:val="32"/>
          <w14:textFill>
            <w14:solidFill>
              <w14:schemeClr w14:val="tx1"/>
            </w14:solidFill>
          </w14:textFill>
        </w:rPr>
      </w:pPr>
      <w:r>
        <w:rPr>
          <w:rFonts w:hint="eastAsia" w:ascii="方正楷体简体" w:eastAsia="方正楷体简体"/>
          <w:b/>
          <w:color w:val="000000" w:themeColor="text1"/>
          <w:sz w:val="32"/>
          <w:szCs w:val="32"/>
          <w14:textFill>
            <w14:solidFill>
              <w14:schemeClr w14:val="tx1"/>
            </w14:solidFill>
          </w14:textFill>
        </w:rPr>
        <w:t>（三）政府信息管理情况</w:t>
      </w:r>
    </w:p>
    <w:p>
      <w:pPr>
        <w:spacing w:line="590" w:lineRule="exact"/>
        <w:ind w:right="-100" w:rightChars="-50" w:firstLine="643" w:firstLineChars="200"/>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pP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依据《中华人民共和国政府信息公开条例》等文件要求，结合我局职能和领导分工，重新修订《济宁市行政审批服务局关于调整政务公开领导小组的通知》，调整了《济宁市行政审批服务局信息公开指南》，为规范信息公开工作，编制《济宁市市行政审批服务局2021年度政务公开工作实施方案》。建立健全政府信息发布审查机制，明确审查程序和责任人，明确网站管理职责，规范操作流程，确保信息公开及时、有效和安全。</w:t>
      </w:r>
    </w:p>
    <w:p>
      <w:pPr>
        <w:numPr>
          <w:ilvl w:val="0"/>
          <w:numId w:val="1"/>
        </w:numPr>
        <w:spacing w:line="590" w:lineRule="exact"/>
        <w:ind w:right="-100" w:rightChars="-50" w:firstLine="643" w:firstLineChars="200"/>
        <w:rPr>
          <w:rFonts w:hint="eastAsia" w:ascii="方正楷体简体" w:eastAsia="方正楷体简体"/>
          <w:b/>
          <w:color w:val="000000" w:themeColor="text1"/>
          <w:sz w:val="32"/>
          <w:szCs w:val="32"/>
          <w14:textFill>
            <w14:solidFill>
              <w14:schemeClr w14:val="tx1"/>
            </w14:solidFill>
          </w14:textFill>
        </w:rPr>
      </w:pPr>
      <w:r>
        <w:rPr>
          <w:rFonts w:hint="eastAsia" w:ascii="方正楷体简体" w:eastAsia="方正楷体简体"/>
          <w:b/>
          <w:color w:val="000000" w:themeColor="text1"/>
          <w:sz w:val="32"/>
          <w:szCs w:val="32"/>
          <w14:textFill>
            <w14:solidFill>
              <w14:schemeClr w14:val="tx1"/>
            </w14:solidFill>
          </w14:textFill>
        </w:rPr>
        <w:t>政府信息公开平台建设情况</w:t>
      </w:r>
    </w:p>
    <w:p>
      <w:pPr>
        <w:spacing w:line="590" w:lineRule="exact"/>
        <w:ind w:right="-100" w:rightChars="-50" w:firstLine="643" w:firstLineChars="200"/>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pP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1.网站建设。在政府信息公开专栏，及时发布信息公开指南、信息公开制度和信息公开年报等，根据政务公开工作最新要求及时调整栏目设置；加强数据联通，在全省率先打通53个国家和省业务系统，完成市、县、乡、村四级服务站点建设，全市14000余项依申请政务服务事项上网运行，网上可办率99.2%，可全程网办率93.7%。</w:t>
      </w:r>
    </w:p>
    <w:p>
      <w:pPr>
        <w:spacing w:line="590" w:lineRule="exact"/>
        <w:ind w:right="-100" w:rightChars="-50" w:firstLine="643" w:firstLineChars="200"/>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pP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2.新媒体建设。“爱山东”APP济宁分厅接入应用2372项，实名注册用户511万人、占</w:t>
      </w:r>
      <w:r>
        <w:rPr>
          <w:rFonts w:hint="eastAsia" w:ascii="方正仿宋简体" w:eastAsia="方正仿宋简体" w:cs="Times New Roman"/>
          <w:b/>
          <w:color w:val="000000" w:themeColor="text1"/>
          <w:sz w:val="32"/>
          <w:szCs w:val="32"/>
          <w:lang w:val="en-US" w:eastAsia="zh-CN"/>
          <w14:textFill>
            <w14:solidFill>
              <w14:schemeClr w14:val="tx1"/>
            </w14:solidFill>
          </w14:textFill>
        </w:rPr>
        <w:t>常住人口</w:t>
      </w: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61.2%，企业群众可使用手机，更方便、更快捷办理审批服务事项。济宁政务服务公众号全年共发布382条新闻信息，通过图文、GIF海报、长图、“晓教程”系列等创意形式传递政务信息，用通俗易懂的方式介绍为民服务事项办理流程，传递市放管服改革工作成果。</w:t>
      </w:r>
    </w:p>
    <w:p>
      <w:pPr>
        <w:pStyle w:val="2"/>
        <w:rPr>
          <w:rFonts w:hint="eastAsia"/>
          <w:lang w:val="en-US" w:eastAsia="zh-CN"/>
        </w:rPr>
      </w:pPr>
      <w:r>
        <w:rPr>
          <w:rFonts w:hint="eastAsia"/>
          <w:lang w:val="en-US" w:eastAsia="zh-CN"/>
        </w:rPr>
        <w:drawing>
          <wp:inline distT="0" distB="0" distL="114300" distR="114300">
            <wp:extent cx="5269230" cy="4091940"/>
            <wp:effectExtent l="0" t="0" r="7620" b="3810"/>
            <wp:docPr id="2" name="图片 2" descr="1642501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2501189(1)"/>
                    <pic:cNvPicPr>
                      <a:picLocks noChangeAspect="1"/>
                    </pic:cNvPicPr>
                  </pic:nvPicPr>
                  <pic:blipFill>
                    <a:blip r:embed="rId5"/>
                    <a:stretch>
                      <a:fillRect/>
                    </a:stretch>
                  </pic:blipFill>
                  <pic:spPr>
                    <a:xfrm>
                      <a:off x="0" y="0"/>
                      <a:ext cx="5269230" cy="4091940"/>
                    </a:xfrm>
                    <a:prstGeom prst="rect">
                      <a:avLst/>
                    </a:prstGeom>
                  </pic:spPr>
                </pic:pic>
              </a:graphicData>
            </a:graphic>
          </wp:inline>
        </w:drawing>
      </w:r>
    </w:p>
    <w:p>
      <w:pPr>
        <w:spacing w:line="590" w:lineRule="exact"/>
        <w:ind w:right="-100" w:rightChars="-50" w:firstLine="643" w:firstLineChars="200"/>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pP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3.政务公开专区建设。在市为民服务中心一楼大厅设立政务公开专区，配备自助查询一体机等政务公开相关设施、设备，摆放政府公报、办事指南等公开材料，供群众自助查阅政府信息。</w:t>
      </w:r>
    </w:p>
    <w:p>
      <w:pPr>
        <w:spacing w:line="590" w:lineRule="exact"/>
        <w:ind w:right="-100" w:rightChars="-50" w:firstLine="643" w:firstLineChars="200"/>
        <w:rPr>
          <w:rFonts w:ascii="方正楷体简体" w:eastAsia="方正楷体简体"/>
          <w:b/>
          <w:color w:val="000000" w:themeColor="text1"/>
          <w:sz w:val="32"/>
          <w:szCs w:val="32"/>
          <w14:textFill>
            <w14:solidFill>
              <w14:schemeClr w14:val="tx1"/>
            </w14:solidFill>
          </w14:textFill>
        </w:rPr>
      </w:pPr>
      <w:r>
        <w:rPr>
          <w:rFonts w:hint="eastAsia" w:ascii="方正楷体简体" w:eastAsia="方正楷体简体"/>
          <w:b/>
          <w:color w:val="000000" w:themeColor="text1"/>
          <w:sz w:val="32"/>
          <w:szCs w:val="32"/>
          <w14:textFill>
            <w14:solidFill>
              <w14:schemeClr w14:val="tx1"/>
            </w14:solidFill>
          </w14:textFill>
        </w:rPr>
        <w:t>（五）监督保障情况</w:t>
      </w:r>
    </w:p>
    <w:p>
      <w:pPr>
        <w:spacing w:line="590" w:lineRule="exact"/>
        <w:ind w:right="-100" w:rightChars="-50" w:firstLine="643" w:firstLineChars="200"/>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pP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成立政务公开领导小组，局主要领导担任组长，分管领导担任副组长，负责落实信息公开工作的方针政策，研究制定落实措施等；下设政务公开领导小组办公室，办公室主任由四级调研员、办公室主任兼任，配备专职人员负责信息公开工作，负责维护、更新、审查公开的政府信息，并编制政府信息公开相关文件；制定年度培训计划，开展政务公开培训，为推进信息公开工作提供了有力保障。</w:t>
      </w:r>
    </w:p>
    <w:p>
      <w:pPr>
        <w:spacing w:line="590" w:lineRule="exact"/>
        <w:ind w:right="-100" w:rightChars="-50" w:firstLine="643" w:firstLineChars="200"/>
        <w:rPr>
          <w:rFonts w:ascii="方正黑体简体" w:eastAsia="方正黑体简体"/>
          <w:b/>
          <w:color w:val="000000" w:themeColor="text1"/>
          <w:sz w:val="32"/>
          <w:szCs w:val="32"/>
          <w14:textFill>
            <w14:solidFill>
              <w14:schemeClr w14:val="tx1"/>
            </w14:solidFill>
          </w14:textFill>
        </w:rPr>
      </w:pPr>
      <w:r>
        <w:rPr>
          <w:rFonts w:hint="eastAsia" w:ascii="方正黑体简体" w:eastAsia="方正黑体简体"/>
          <w:b/>
          <w:color w:val="000000" w:themeColor="text1"/>
          <w:sz w:val="32"/>
          <w:szCs w:val="32"/>
          <w14:textFill>
            <w14:solidFill>
              <w14:schemeClr w14:val="tx1"/>
            </w14:solidFill>
          </w14:textFill>
        </w:rPr>
        <w:t>二、主动公开政府信息情况</w:t>
      </w:r>
    </w:p>
    <w:tbl>
      <w:tblPr>
        <w:tblStyle w:val="7"/>
        <w:tblW w:w="8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ascii="方正黑体简体" w:eastAsia="方正黑体简体"/>
                <w:b/>
                <w:sz w:val="24"/>
                <w:szCs w:val="24"/>
              </w:rPr>
            </w:pPr>
            <w:r>
              <w:rPr>
                <w:rFonts w:hint="eastAsia" w:ascii="方正黑体简体" w:hAnsi="宋体" w:eastAsia="方正黑体简体" w:cs="宋体"/>
                <w:b/>
                <w:sz w:val="24"/>
                <w:szCs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2133"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本年制发件数</w:t>
            </w:r>
          </w:p>
        </w:tc>
        <w:tc>
          <w:tcPr>
            <w:tcW w:w="2216"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本年废止件数</w:t>
            </w:r>
          </w:p>
        </w:tc>
        <w:tc>
          <w:tcPr>
            <w:tcW w:w="1989"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规章</w:t>
            </w:r>
          </w:p>
        </w:tc>
        <w:tc>
          <w:tcPr>
            <w:tcW w:w="2133" w:type="dxa"/>
            <w:shd w:val="clear" w:color="auto" w:fill="FFFFFF" w:themeFill="background1"/>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0</w:t>
            </w:r>
          </w:p>
        </w:tc>
        <w:tc>
          <w:tcPr>
            <w:tcW w:w="2216" w:type="dxa"/>
            <w:shd w:val="clear" w:color="auto" w:fill="FFFFFF" w:themeFill="background1"/>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0</w:t>
            </w:r>
          </w:p>
        </w:tc>
        <w:tc>
          <w:tcPr>
            <w:tcW w:w="1989" w:type="dxa"/>
            <w:shd w:val="clear" w:color="auto" w:fill="FFFFFF" w:themeFill="background1"/>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bidi="ar"/>
              </w:rPr>
              <w:t> </w:t>
            </w:r>
            <w:r>
              <w:rPr>
                <w:rFonts w:hint="eastAsia" w:ascii="方正仿宋简体" w:hAnsi="Calibri" w:eastAsia="方正仿宋简体" w:cs="Calibri"/>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行政规范性文件</w:t>
            </w:r>
          </w:p>
        </w:tc>
        <w:tc>
          <w:tcPr>
            <w:tcW w:w="2133" w:type="dxa"/>
            <w:shd w:val="clear" w:color="auto" w:fill="FFFFFF" w:themeFill="background1"/>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0</w:t>
            </w:r>
          </w:p>
        </w:tc>
        <w:tc>
          <w:tcPr>
            <w:tcW w:w="2216" w:type="dxa"/>
            <w:shd w:val="clear" w:color="auto" w:fill="FFFFFF" w:themeFill="background1"/>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0</w:t>
            </w:r>
          </w:p>
        </w:tc>
        <w:tc>
          <w:tcPr>
            <w:tcW w:w="1989" w:type="dxa"/>
            <w:shd w:val="clear" w:color="auto" w:fill="FFFFFF" w:themeFill="background1"/>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Calibri" w:eastAsia="方正仿宋简体" w:cs="Calibri"/>
                <w:b/>
                <w:sz w:val="24"/>
                <w:szCs w:val="24"/>
                <w:lang w:bidi="ar"/>
              </w:rPr>
              <w:t> </w:t>
            </w:r>
            <w:r>
              <w:rPr>
                <w:rFonts w:hint="eastAsia" w:ascii="方正仿宋简体" w:hAnsi="Calibri" w:eastAsia="方正仿宋简体" w:cs="Calibri"/>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行政许可</w:t>
            </w:r>
          </w:p>
        </w:tc>
        <w:tc>
          <w:tcPr>
            <w:tcW w:w="6338" w:type="dxa"/>
            <w:gridSpan w:val="3"/>
            <w:shd w:val="clear" w:color="auto" w:fill="FFFFFF" w:themeFill="background1"/>
            <w:tcMar>
              <w:left w:w="57" w:type="dxa"/>
              <w:right w:w="57" w:type="dxa"/>
            </w:tcMar>
            <w:vAlign w:val="center"/>
          </w:tcPr>
          <w:p>
            <w:pPr>
              <w:widowControl/>
              <w:spacing w:line="340" w:lineRule="exact"/>
              <w:jc w:val="left"/>
              <w:rPr>
                <w:rFonts w:hint="default" w:ascii="方正仿宋简体" w:eastAsia="方正仿宋简体"/>
                <w:b/>
                <w:sz w:val="24"/>
                <w:szCs w:val="24"/>
                <w:lang w:val="en-US" w:eastAsia="zh-CN"/>
              </w:rPr>
            </w:pPr>
            <w:r>
              <w:rPr>
                <w:rFonts w:hint="eastAsia" w:ascii="方正仿宋简体" w:hAnsi="Calibri" w:eastAsia="方正仿宋简体" w:cs="Calibri"/>
                <w:b/>
                <w:sz w:val="24"/>
                <w:szCs w:val="24"/>
                <w:lang w:bidi="ar"/>
              </w:rPr>
              <w:t> </w:t>
            </w:r>
            <w:r>
              <w:rPr>
                <w:rFonts w:hint="eastAsia" w:ascii="方正仿宋简体" w:hAnsi="Calibri" w:eastAsia="方正仿宋简体" w:cs="Calibri"/>
                <w:b/>
                <w:sz w:val="24"/>
                <w:szCs w:val="24"/>
                <w:lang w:val="en-US" w:eastAsia="zh-CN" w:bidi="ar"/>
              </w:rPr>
              <w:t>14234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行政处罚</w:t>
            </w:r>
          </w:p>
        </w:tc>
        <w:tc>
          <w:tcPr>
            <w:tcW w:w="6338" w:type="dxa"/>
            <w:gridSpan w:val="3"/>
            <w:shd w:val="clear" w:color="auto" w:fill="FFFFFF" w:themeFill="background1"/>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行政强制</w:t>
            </w:r>
          </w:p>
        </w:tc>
        <w:tc>
          <w:tcPr>
            <w:tcW w:w="6338" w:type="dxa"/>
            <w:gridSpan w:val="3"/>
            <w:shd w:val="clear" w:color="auto" w:fill="FFFFFF" w:themeFill="background1"/>
            <w:tcMar>
              <w:left w:w="57" w:type="dxa"/>
              <w:right w:w="57" w:type="dxa"/>
            </w:tcMar>
            <w:vAlign w:val="center"/>
          </w:tcPr>
          <w:p>
            <w:pPr>
              <w:widowControl/>
              <w:spacing w:line="340" w:lineRule="exact"/>
              <w:jc w:val="left"/>
              <w:rPr>
                <w:rFonts w:hint="eastAsia" w:ascii="方正仿宋简体" w:eastAsia="方正仿宋简体"/>
                <w:b/>
                <w:sz w:val="24"/>
                <w:szCs w:val="24"/>
                <w:lang w:val="en-US" w:eastAsia="zh-CN"/>
              </w:rPr>
            </w:pPr>
            <w:r>
              <w:rPr>
                <w:rFonts w:hint="eastAsia" w:ascii="方正仿宋简体" w:hAnsi="宋体" w:eastAsia="方正仿宋简体" w:cs="宋体"/>
                <w:b/>
                <w:sz w:val="24"/>
                <w:szCs w:val="24"/>
                <w:lang w:bidi="ar"/>
              </w:rPr>
              <w:t>　</w:t>
            </w:r>
            <w:r>
              <w:rPr>
                <w:rFonts w:hint="eastAsia" w:ascii="方正仿宋简体" w:hAnsi="宋体" w:eastAsia="方正仿宋简体" w:cs="宋体"/>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黑体简体" w:hAnsi="宋体" w:eastAsia="方正黑体简体" w:cs="宋体"/>
                <w:b/>
                <w:sz w:val="24"/>
                <w:szCs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信息内容</w:t>
            </w:r>
          </w:p>
        </w:tc>
        <w:tc>
          <w:tcPr>
            <w:tcW w:w="6338" w:type="dxa"/>
            <w:gridSpan w:val="3"/>
            <w:shd w:val="clear" w:color="auto" w:fill="FFFFFF" w:themeFill="background1"/>
            <w:tcMar>
              <w:left w:w="57" w:type="dxa"/>
              <w:right w:w="57" w:type="dxa"/>
            </w:tcMar>
            <w:vAlign w:val="center"/>
          </w:tcPr>
          <w:p>
            <w:pPr>
              <w:widowControl/>
              <w:spacing w:line="340" w:lineRule="exact"/>
              <w:jc w:val="center"/>
              <w:rPr>
                <w:rFonts w:ascii="方正仿宋简体" w:eastAsia="方正仿宋简体"/>
                <w:b/>
                <w:sz w:val="24"/>
                <w:szCs w:val="24"/>
              </w:rPr>
            </w:pPr>
            <w:r>
              <w:rPr>
                <w:rFonts w:hint="eastAsia" w:ascii="方正仿宋简体" w:hAnsi="宋体" w:eastAsia="方正仿宋简体" w:cs="宋体"/>
                <w:b/>
                <w:sz w:val="24"/>
                <w:szCs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themeFill="background1"/>
            <w:tcMar>
              <w:left w:w="57" w:type="dxa"/>
              <w:right w:w="57" w:type="dxa"/>
            </w:tcMar>
            <w:vAlign w:val="center"/>
          </w:tcPr>
          <w:p>
            <w:pPr>
              <w:widowControl/>
              <w:spacing w:line="340" w:lineRule="exact"/>
              <w:jc w:val="left"/>
              <w:rPr>
                <w:rFonts w:ascii="方正仿宋简体" w:eastAsia="方正仿宋简体"/>
                <w:b/>
                <w:sz w:val="24"/>
                <w:szCs w:val="24"/>
              </w:rPr>
            </w:pPr>
            <w:r>
              <w:rPr>
                <w:rFonts w:hint="eastAsia" w:ascii="方正仿宋简体" w:hAnsi="宋体" w:eastAsia="方正仿宋简体" w:cs="宋体"/>
                <w:b/>
                <w:sz w:val="24"/>
                <w:szCs w:val="24"/>
                <w:lang w:bidi="ar"/>
              </w:rPr>
              <w:t>行政事业性收费</w:t>
            </w:r>
          </w:p>
        </w:tc>
        <w:tc>
          <w:tcPr>
            <w:tcW w:w="6338" w:type="dxa"/>
            <w:gridSpan w:val="3"/>
            <w:shd w:val="clear" w:color="auto" w:fill="FFFFFF" w:themeFill="background1"/>
            <w:tcMar>
              <w:left w:w="57" w:type="dxa"/>
              <w:right w:w="57" w:type="dxa"/>
            </w:tcMar>
            <w:vAlign w:val="center"/>
          </w:tcPr>
          <w:p>
            <w:pPr>
              <w:spacing w:line="340" w:lineRule="exact"/>
              <w:ind w:firstLine="241" w:firstLineChars="100"/>
              <w:rPr>
                <w:rFonts w:hint="eastAsia" w:ascii="方正仿宋简体" w:eastAsia="方正仿宋简体"/>
                <w:b/>
                <w:sz w:val="24"/>
                <w:szCs w:val="24"/>
                <w:lang w:val="en-US" w:eastAsia="zh-CN"/>
              </w:rPr>
            </w:pPr>
            <w:r>
              <w:rPr>
                <w:rFonts w:hint="eastAsia" w:ascii="方正仿宋简体" w:eastAsia="方正仿宋简体"/>
                <w:b/>
                <w:sz w:val="24"/>
                <w:szCs w:val="24"/>
                <w:lang w:val="en-US" w:eastAsia="zh-CN"/>
              </w:rPr>
              <w:t>0</w:t>
            </w:r>
          </w:p>
        </w:tc>
      </w:tr>
    </w:tbl>
    <w:p>
      <w:pPr>
        <w:spacing w:before="62" w:beforeLines="10" w:after="62" w:afterLines="10" w:line="600" w:lineRule="exact"/>
        <w:ind w:firstLine="643" w:firstLineChars="200"/>
        <w:rPr>
          <w:rFonts w:ascii="方正黑体简体" w:eastAsia="方正黑体简体"/>
          <w:b/>
          <w:sz w:val="32"/>
          <w:szCs w:val="32"/>
        </w:rPr>
      </w:pPr>
      <w:r>
        <w:rPr>
          <w:rFonts w:hint="eastAsia" w:ascii="方正黑体简体" w:eastAsia="方正黑体简体"/>
          <w:b/>
          <w:sz w:val="32"/>
          <w:szCs w:val="32"/>
        </w:rPr>
        <w:t>三、收到和处理政府信息公开申请情况</w:t>
      </w:r>
    </w:p>
    <w:tbl>
      <w:tblPr>
        <w:tblStyle w:val="7"/>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tcMar>
              <w:left w:w="108" w:type="dxa"/>
              <w:right w:w="108" w:type="dxa"/>
            </w:tcMar>
            <w:vAlign w:val="center"/>
          </w:tcPr>
          <w:p>
            <w:pPr>
              <w:widowControl/>
              <w:spacing w:line="300" w:lineRule="exact"/>
              <w:jc w:val="center"/>
              <w:rPr>
                <w:rFonts w:ascii="方正黑体简体" w:eastAsia="方正黑体简体"/>
                <w:b/>
                <w:sz w:val="21"/>
                <w:szCs w:val="21"/>
              </w:rPr>
            </w:pPr>
            <w:r>
              <w:rPr>
                <w:rFonts w:hint="eastAsia" w:ascii="方正黑体简体" w:hAnsi="楷体" w:eastAsia="方正黑体简体" w:cs="楷体"/>
                <w:b/>
                <w:sz w:val="21"/>
                <w:szCs w:val="21"/>
                <w:lang w:bidi="ar"/>
              </w:rPr>
              <w:t>（本列数据的勾稽关系为：第一项加第二项之和，等于第三项加第四项之和）</w:t>
            </w:r>
          </w:p>
        </w:tc>
        <w:tc>
          <w:tcPr>
            <w:tcW w:w="4229" w:type="dxa"/>
            <w:gridSpan w:val="7"/>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jc w:val="center"/>
              <w:rPr>
                <w:rFonts w:ascii="方正黑体简体" w:eastAsia="方正黑体简体"/>
                <w:b/>
                <w:sz w:val="21"/>
                <w:szCs w:val="21"/>
              </w:rPr>
            </w:pPr>
          </w:p>
        </w:tc>
        <w:tc>
          <w:tcPr>
            <w:tcW w:w="791"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自然人</w:t>
            </w:r>
          </w:p>
        </w:tc>
        <w:tc>
          <w:tcPr>
            <w:tcW w:w="2917" w:type="dxa"/>
            <w:gridSpan w:val="5"/>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法人或其他组织</w:t>
            </w:r>
          </w:p>
        </w:tc>
        <w:tc>
          <w:tcPr>
            <w:tcW w:w="521" w:type="dxa"/>
            <w:vMerge w:val="restart"/>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tcMar>
              <w:left w:w="108" w:type="dxa"/>
              <w:right w:w="108" w:type="dxa"/>
            </w:tcMar>
            <w:vAlign w:val="center"/>
          </w:tcPr>
          <w:p>
            <w:pPr>
              <w:spacing w:line="300" w:lineRule="exact"/>
              <w:rPr>
                <w:rFonts w:ascii="方正仿宋简体" w:eastAsia="方正仿宋简体"/>
                <w:b/>
                <w:sz w:val="21"/>
                <w:szCs w:val="21"/>
              </w:rPr>
            </w:pPr>
          </w:p>
        </w:tc>
        <w:tc>
          <w:tcPr>
            <w:tcW w:w="791" w:type="dxa"/>
            <w:vMerge w:val="continue"/>
            <w:tcMar>
              <w:left w:w="57" w:type="dxa"/>
              <w:right w:w="57" w:type="dxa"/>
            </w:tcMar>
            <w:vAlign w:val="center"/>
          </w:tcPr>
          <w:p>
            <w:pPr>
              <w:spacing w:line="300" w:lineRule="exact"/>
              <w:rPr>
                <w:rFonts w:ascii="方正仿宋简体" w:eastAsia="方正仿宋简体"/>
                <w:b/>
                <w:sz w:val="21"/>
                <w:szCs w:val="21"/>
              </w:rPr>
            </w:pPr>
          </w:p>
        </w:tc>
        <w:tc>
          <w:tcPr>
            <w:tcW w:w="59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商业</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企业</w:t>
            </w:r>
          </w:p>
        </w:tc>
        <w:tc>
          <w:tcPr>
            <w:tcW w:w="590"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科研</w:t>
            </w:r>
          </w:p>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机构</w:t>
            </w:r>
          </w:p>
        </w:tc>
        <w:tc>
          <w:tcPr>
            <w:tcW w:w="598"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社会公益组织</w:t>
            </w:r>
          </w:p>
        </w:tc>
        <w:tc>
          <w:tcPr>
            <w:tcW w:w="571"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法律服务机构</w:t>
            </w:r>
          </w:p>
        </w:tc>
        <w:tc>
          <w:tcPr>
            <w:tcW w:w="559" w:type="dxa"/>
            <w:tcMar>
              <w:left w:w="57" w:type="dxa"/>
              <w:right w:w="57" w:type="dxa"/>
            </w:tcMar>
            <w:vAlign w:val="center"/>
          </w:tcPr>
          <w:p>
            <w:pPr>
              <w:widowControl/>
              <w:spacing w:line="300" w:lineRule="exact"/>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p>
        </w:tc>
        <w:tc>
          <w:tcPr>
            <w:tcW w:w="521" w:type="dxa"/>
            <w:vMerge w:val="continue"/>
            <w:tcMar>
              <w:left w:w="57" w:type="dxa"/>
              <w:right w:w="57" w:type="dxa"/>
            </w:tcMar>
            <w:vAlign w:val="center"/>
          </w:tcPr>
          <w:p>
            <w:pPr>
              <w:spacing w:line="300" w:lineRule="exact"/>
              <w:rPr>
                <w:rFonts w:ascii="方正仿宋简体" w:eastAsia="方正仿宋简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一、本年新收政府信息公开申请数量</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2</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二、上年结转政府信息公开申请数量</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5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三、本年度办理结果</w:t>
            </w: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（一）予以公开</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（二）部分公开</w:t>
            </w:r>
            <w:r>
              <w:rPr>
                <w:rFonts w:hint="eastAsia" w:ascii="方正仿宋简体" w:hAnsi="楷体" w:eastAsia="方正仿宋简体" w:cs="楷体"/>
                <w:b/>
                <w:sz w:val="21"/>
                <w:szCs w:val="21"/>
                <w:lang w:bidi="ar"/>
              </w:rPr>
              <w:t>（区分处理的，只计这一情形，不计其他情形）</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hint="eastAsia" w:ascii="方正仿宋简体" w:eastAsia="方正仿宋简体"/>
                <w:b/>
                <w:sz w:val="21"/>
                <w:szCs w:val="21"/>
                <w:lang w:val="en-US" w:eastAsia="zh-CN"/>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tcPr>
          <w:p>
            <w:pPr>
              <w:widowControl/>
              <w:spacing w:line="300" w:lineRule="exact"/>
              <w:jc w:val="both"/>
              <w:rPr>
                <w:rFonts w:hint="default" w:ascii="方正仿宋简体" w:eastAsia="方正仿宋简体"/>
                <w:b/>
                <w:sz w:val="21"/>
                <w:szCs w:val="21"/>
                <w:lang w:val="en-US" w:eastAsia="zh-CN"/>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（三）不予公开</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1.属于国家秘密</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2.其他法律行政法规禁止公开</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3.危及“三安全一稳定”</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4.保护第三方合法权益</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5.属于三类内部事务信息</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6.属于四类过程性信息</w:t>
            </w:r>
          </w:p>
        </w:tc>
        <w:tc>
          <w:tcPr>
            <w:tcW w:w="791" w:type="dxa"/>
            <w:tcMar>
              <w:left w:w="57" w:type="dxa"/>
              <w:right w:w="57" w:type="dxa"/>
            </w:tcMar>
            <w:vAlign w:val="center"/>
          </w:tcPr>
          <w:p>
            <w:pPr>
              <w:widowControl/>
              <w:spacing w:line="300" w:lineRule="exact"/>
              <w:jc w:val="center"/>
              <w:rPr>
                <w:rFonts w:hint="eastAsia" w:ascii="方正仿宋简体" w:eastAsia="方正仿宋简体"/>
                <w:b/>
                <w:sz w:val="21"/>
                <w:szCs w:val="21"/>
                <w:lang w:eastAsia="zh-CN"/>
              </w:rPr>
            </w:pPr>
            <w:r>
              <w:rPr>
                <w:rFonts w:hint="eastAsia" w:ascii="方正仿宋简体" w:hAnsi="Calibri" w:eastAsia="方正仿宋简体" w:cs="Calibri"/>
                <w:b/>
                <w:sz w:val="21"/>
                <w:szCs w:val="21"/>
                <w:lang w:val="en-US" w:eastAsia="zh-CN" w:bidi="ar"/>
              </w:rPr>
              <w:t>2</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7.属于行政执法案卷</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8.属于行政查询事项</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（四）无法提供</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1.本机关不掌握相关政府信息</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2.没有现成信息需要另行制作</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3.补正后申请内容仍不明确</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（五）不予处理</w:t>
            </w: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1.信访举报投诉类申请</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2.重复申请</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3.要求提供公开出版物</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4.无正当理由大量反复申请</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5.要求行政机关确认或重新出具已获取信息</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restart"/>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（六）其他处理</w:t>
            </w: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1.申请人无正当理由逾期不补正、行政机关不再处理其政府信息公开申请</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rPr>
                <w:rFonts w:ascii="方正仿宋简体" w:eastAsia="方正仿宋简体"/>
                <w:b/>
                <w:sz w:val="21"/>
                <w:szCs w:val="21"/>
              </w:rPr>
            </w:pPr>
            <w:r>
              <w:rPr>
                <w:rFonts w:hint="eastAsia" w:ascii="方正仿宋简体" w:hAnsi="宋体" w:eastAsia="方正仿宋简体" w:cs="宋体"/>
                <w:b/>
                <w:sz w:val="21"/>
                <w:szCs w:val="21"/>
                <w:lang w:bidi="ar"/>
              </w:rPr>
              <w:t>2.申请人逾期未按收费通知要求缴纳费用、行政机关不再处理其政府信息公开申请</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942" w:type="dxa"/>
            <w:vMerge w:val="continue"/>
            <w:tcMar>
              <w:left w:w="57" w:type="dxa"/>
              <w:right w:w="57" w:type="dxa"/>
            </w:tcMar>
            <w:vAlign w:val="center"/>
          </w:tcPr>
          <w:p>
            <w:pPr>
              <w:spacing w:line="300" w:lineRule="exact"/>
              <w:rPr>
                <w:rFonts w:ascii="方正仿宋简体" w:eastAsia="方正仿宋简体"/>
                <w:b/>
                <w:sz w:val="21"/>
                <w:szCs w:val="21"/>
              </w:rPr>
            </w:pPr>
          </w:p>
        </w:tc>
        <w:tc>
          <w:tcPr>
            <w:tcW w:w="2878" w:type="dxa"/>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3.其他</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tcMar>
              <w:left w:w="57" w:type="dxa"/>
              <w:right w:w="57" w:type="dxa"/>
            </w:tcMar>
            <w:vAlign w:val="center"/>
          </w:tcPr>
          <w:p>
            <w:pPr>
              <w:spacing w:line="300" w:lineRule="exact"/>
              <w:rPr>
                <w:rFonts w:ascii="方正仿宋简体" w:eastAsia="方正仿宋简体"/>
                <w:b/>
                <w:sz w:val="21"/>
                <w:szCs w:val="21"/>
              </w:rPr>
            </w:pPr>
          </w:p>
        </w:tc>
        <w:tc>
          <w:tcPr>
            <w:tcW w:w="3820" w:type="dxa"/>
            <w:gridSpan w:val="2"/>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（七）总计</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2</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tcMar>
              <w:left w:w="57" w:type="dxa"/>
              <w:right w:w="57" w:type="dxa"/>
            </w:tcMar>
            <w:vAlign w:val="center"/>
          </w:tcPr>
          <w:p>
            <w:pPr>
              <w:widowControl/>
              <w:spacing w:line="300" w:lineRule="exact"/>
              <w:jc w:val="left"/>
              <w:rPr>
                <w:rFonts w:ascii="方正仿宋简体" w:eastAsia="方正仿宋简体"/>
                <w:b/>
                <w:sz w:val="21"/>
                <w:szCs w:val="21"/>
              </w:rPr>
            </w:pPr>
            <w:r>
              <w:rPr>
                <w:rFonts w:hint="eastAsia" w:ascii="方正仿宋简体" w:hAnsi="宋体" w:eastAsia="方正仿宋简体" w:cs="宋体"/>
                <w:b/>
                <w:sz w:val="21"/>
                <w:szCs w:val="21"/>
                <w:lang w:bidi="ar"/>
              </w:rPr>
              <w:t>四、结转下年度继续办理</w:t>
            </w:r>
          </w:p>
        </w:tc>
        <w:tc>
          <w:tcPr>
            <w:tcW w:w="79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bidi="ar"/>
              </w:rPr>
              <w:t> </w:t>
            </w:r>
            <w:r>
              <w:rPr>
                <w:rFonts w:hint="eastAsia" w:ascii="方正仿宋简体" w:hAnsi="Calibri" w:eastAsia="方正仿宋简体" w:cs="Calibri"/>
                <w:b/>
                <w:sz w:val="21"/>
                <w:szCs w:val="21"/>
                <w:lang w:val="en-US" w:eastAsia="zh-CN" w:bidi="ar"/>
              </w:rPr>
              <w:t>0</w:t>
            </w:r>
          </w:p>
        </w:tc>
        <w:tc>
          <w:tcPr>
            <w:tcW w:w="59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0"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98"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71"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59" w:type="dxa"/>
            <w:tcMar>
              <w:left w:w="57" w:type="dxa"/>
              <w:right w:w="57" w:type="dxa"/>
            </w:tcMar>
            <w:vAlign w:val="center"/>
          </w:tcPr>
          <w:p>
            <w:pPr>
              <w:widowControl/>
              <w:spacing w:line="300" w:lineRule="exact"/>
              <w:jc w:val="center"/>
              <w:rPr>
                <w:rFonts w:ascii="方正仿宋简体" w:eastAsia="方正仿宋简体"/>
                <w:b/>
                <w:sz w:val="21"/>
                <w:szCs w:val="21"/>
              </w:rPr>
            </w:pPr>
            <w:r>
              <w:rPr>
                <w:rFonts w:hint="eastAsia" w:ascii="方正仿宋简体" w:hAnsi="Calibri" w:eastAsia="方正仿宋简体" w:cs="Calibri"/>
                <w:b/>
                <w:sz w:val="21"/>
                <w:szCs w:val="21"/>
                <w:lang w:val="en-US" w:eastAsia="zh-CN" w:bidi="ar"/>
              </w:rPr>
              <w:t>0</w:t>
            </w:r>
            <w:r>
              <w:rPr>
                <w:rFonts w:hint="eastAsia" w:ascii="方正仿宋简体" w:hAnsi="Calibri" w:eastAsia="方正仿宋简体" w:cs="Calibri"/>
                <w:b/>
                <w:sz w:val="21"/>
                <w:szCs w:val="21"/>
                <w:lang w:bidi="ar"/>
              </w:rPr>
              <w:t> </w:t>
            </w:r>
          </w:p>
        </w:tc>
        <w:tc>
          <w:tcPr>
            <w:tcW w:w="521" w:type="dxa"/>
            <w:tcMar>
              <w:left w:w="57" w:type="dxa"/>
              <w:right w:w="57" w:type="dxa"/>
            </w:tcMar>
            <w:vAlign w:val="top"/>
          </w:tcPr>
          <w:p>
            <w:pPr>
              <w:widowControl/>
              <w:spacing w:line="300" w:lineRule="exact"/>
              <w:jc w:val="both"/>
              <w:rPr>
                <w:rFonts w:ascii="方正仿宋简体" w:eastAsia="方正仿宋简体"/>
                <w:b/>
                <w:sz w:val="21"/>
                <w:szCs w:val="21"/>
              </w:rPr>
            </w:pPr>
            <w:r>
              <w:rPr>
                <w:rFonts w:hint="eastAsia" w:ascii="方正仿宋简体" w:eastAsia="方正仿宋简体"/>
                <w:b/>
                <w:sz w:val="21"/>
                <w:szCs w:val="21"/>
                <w:lang w:val="en-US" w:eastAsia="zh-CN"/>
              </w:rPr>
              <w:t xml:space="preserve"> 0  </w:t>
            </w:r>
          </w:p>
        </w:tc>
      </w:tr>
    </w:tbl>
    <w:p>
      <w:pPr>
        <w:spacing w:line="590" w:lineRule="exact"/>
        <w:ind w:right="-100" w:rightChars="-50" w:firstLine="643" w:firstLineChars="200"/>
        <w:rPr>
          <w:rFonts w:ascii="方正黑体简体" w:eastAsia="方正黑体简体"/>
          <w:b/>
          <w:sz w:val="32"/>
          <w:szCs w:val="32"/>
        </w:rPr>
      </w:pPr>
      <w:r>
        <w:rPr>
          <w:rFonts w:hint="eastAsia" w:ascii="方正黑体简体" w:eastAsia="方正黑体简体"/>
          <w:b/>
          <w:sz w:val="32"/>
          <w:szCs w:val="32"/>
        </w:rPr>
        <w:t>四、政府信息公开行政复议、行政诉讼情况</w:t>
      </w:r>
    </w:p>
    <w:tbl>
      <w:tblPr>
        <w:tblStyle w:val="7"/>
        <w:tblW w:w="881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hAnsi="宋体" w:eastAsia="方正黑体简体" w:cs="宋体"/>
                <w:b/>
                <w:sz w:val="21"/>
                <w:szCs w:val="21"/>
                <w:lang w:bidi="ar"/>
              </w:rPr>
            </w:pPr>
            <w:r>
              <w:rPr>
                <w:rFonts w:hint="eastAsia" w:ascii="方正黑体简体" w:hAnsi="宋体" w:eastAsia="方正黑体简体" w:cs="宋体"/>
                <w:b/>
                <w:sz w:val="21"/>
                <w:szCs w:val="21"/>
                <w:lang w:bidi="ar"/>
              </w:rPr>
              <w:t>结果</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21"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其他</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尚未</w:t>
            </w:r>
            <w:r>
              <w:rPr>
                <w:rFonts w:hint="eastAsia" w:ascii="方正黑体简体" w:hAnsi="宋体" w:eastAsia="方正黑体简体" w:cs="宋体"/>
                <w:b/>
                <w:sz w:val="21"/>
                <w:szCs w:val="21"/>
                <w:lang w:bidi="ar"/>
              </w:rPr>
              <w:br w:type="textWrapping"/>
            </w:r>
            <w:r>
              <w:rPr>
                <w:rFonts w:hint="eastAsia" w:ascii="方正黑体简体" w:hAnsi="宋体" w:eastAsia="方正黑体简体" w:cs="宋体"/>
                <w:b/>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1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1</w:t>
            </w:r>
          </w:p>
        </w:tc>
        <w:tc>
          <w:tcPr>
            <w:tcW w:w="62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方正黑体简体" w:eastAsia="方正黑体简体"/>
                <w:b/>
                <w:sz w:val="21"/>
                <w:szCs w:val="21"/>
                <w:lang w:val="en-US" w:eastAsia="zh-CN"/>
              </w:rPr>
            </w:pPr>
            <w:r>
              <w:rPr>
                <w:rFonts w:hint="eastAsia" w:ascii="方正黑体简体" w:eastAsia="方正黑体简体"/>
                <w:b/>
                <w:sz w:val="21"/>
                <w:szCs w:val="21"/>
                <w:lang w:val="en-US" w:eastAsia="zh-CN"/>
              </w:rPr>
              <w:t>0</w:t>
            </w:r>
          </w:p>
        </w:tc>
        <w:tc>
          <w:tcPr>
            <w:tcW w:w="60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r>
              <w:rPr>
                <w:rFonts w:hint="eastAsia" w:ascii="方正黑体简体" w:hAnsi="宋体" w:eastAsia="方正黑体简体" w:cs="黑体"/>
                <w:b/>
                <w:sz w:val="21"/>
                <w:szCs w:val="21"/>
                <w:lang w:bidi="ar"/>
              </w:rPr>
              <w:t> </w:t>
            </w:r>
          </w:p>
        </w:tc>
        <w:tc>
          <w:tcPr>
            <w:tcW w:w="59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r>
              <w:rPr>
                <w:rFonts w:hint="eastAsia" w:ascii="方正黑体简体" w:hAnsi="宋体" w:eastAsia="方正黑体简体" w:cs="黑体"/>
                <w:b/>
                <w:sz w:val="21"/>
                <w:szCs w:val="21"/>
                <w:lang w:bidi="ar"/>
              </w:rPr>
              <w:t> </w:t>
            </w:r>
          </w:p>
        </w:tc>
        <w:tc>
          <w:tcPr>
            <w:tcW w:w="461"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eastAsia="方正黑体简体"/>
                <w:b/>
                <w:sz w:val="21"/>
                <w:szCs w:val="21"/>
                <w:lang w:val="en-US" w:eastAsia="zh-CN"/>
              </w:rPr>
              <w:t>0</w:t>
            </w:r>
          </w:p>
        </w:tc>
        <w:tc>
          <w:tcPr>
            <w:tcW w:w="63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eastAsia="方正黑体简体"/>
                <w:b/>
                <w:sz w:val="21"/>
                <w:szCs w:val="21"/>
                <w:lang w:val="en-US" w:eastAsia="zh-CN"/>
              </w:rPr>
              <w:t>0</w:t>
            </w:r>
          </w:p>
        </w:tc>
        <w:tc>
          <w:tcPr>
            <w:tcW w:w="426"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1</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eastAsia="方正黑体简体"/>
                <w:b/>
                <w:sz w:val="21"/>
                <w:szCs w:val="21"/>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bidi="ar"/>
              </w:rPr>
              <w:t> </w:t>
            </w: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hint="default" w:ascii="方正黑体简体" w:eastAsia="方正黑体简体"/>
                <w:b/>
                <w:sz w:val="21"/>
                <w:szCs w:val="21"/>
                <w:lang w:val="en-US" w:eastAsia="zh-CN"/>
              </w:rPr>
            </w:pPr>
            <w:r>
              <w:rPr>
                <w:rFonts w:hint="eastAsia" w:ascii="方正黑体简体" w:eastAsia="方正黑体简体"/>
                <w:b/>
                <w:sz w:val="21"/>
                <w:szCs w:val="21"/>
                <w:lang w:val="en-US" w:eastAsia="zh-CN"/>
              </w:rPr>
              <w:t>0</w:t>
            </w:r>
          </w:p>
        </w:tc>
        <w:tc>
          <w:tcPr>
            <w:tcW w:w="555"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r>
              <w:rPr>
                <w:rFonts w:hint="eastAsia" w:ascii="方正黑体简体" w:hAnsi="宋体" w:eastAsia="方正黑体简体" w:cs="黑体"/>
                <w:b/>
                <w:sz w:val="21"/>
                <w:szCs w:val="21"/>
                <w:lang w:bidi="ar"/>
              </w:rPr>
              <w:t> </w:t>
            </w:r>
          </w:p>
        </w:tc>
        <w:tc>
          <w:tcPr>
            <w:tcW w:w="407" w:type="dxa"/>
            <w:tcBorders>
              <w:top w:val="nil"/>
              <w:left w:val="single" w:color="auto" w:sz="8" w:space="0"/>
              <w:bottom w:val="single" w:color="auto" w:sz="8" w:space="0"/>
              <w:right w:val="single" w:color="auto" w:sz="8" w:space="0"/>
            </w:tcBorders>
            <w:tcMar>
              <w:left w:w="108" w:type="dxa"/>
              <w:right w:w="108" w:type="dxa"/>
            </w:tcMar>
            <w:vAlign w:val="center"/>
          </w:tcPr>
          <w:p>
            <w:pPr>
              <w:spacing w:line="340" w:lineRule="exact"/>
              <w:ind w:left="-40" w:leftChars="-20" w:right="-40" w:rightChars="-20"/>
              <w:rPr>
                <w:rFonts w:hint="default" w:ascii="方正黑体简体" w:eastAsia="方正黑体简体"/>
                <w:b/>
                <w:sz w:val="21"/>
                <w:szCs w:val="21"/>
                <w:lang w:val="en-US" w:eastAsia="zh-CN"/>
              </w:rPr>
            </w:pPr>
            <w:r>
              <w:rPr>
                <w:rFonts w:hint="eastAsia" w:ascii="方正黑体简体" w:eastAsia="方正黑体简体"/>
                <w:b/>
                <w:sz w:val="21"/>
                <w:szCs w:val="21"/>
                <w:lang w:val="en-US" w:eastAsia="zh-CN"/>
              </w:rPr>
              <w:t>0</w:t>
            </w:r>
          </w:p>
        </w:tc>
      </w:tr>
    </w:tbl>
    <w:p>
      <w:pPr>
        <w:spacing w:line="590" w:lineRule="exact"/>
        <w:ind w:right="-100" w:rightChars="-50" w:firstLine="643" w:firstLineChars="200"/>
        <w:rPr>
          <w:rFonts w:ascii="方正黑体简体" w:eastAsia="方正黑体简体"/>
          <w:b/>
          <w:sz w:val="32"/>
          <w:szCs w:val="32"/>
        </w:rPr>
      </w:pPr>
      <w:r>
        <w:rPr>
          <w:rFonts w:hint="eastAsia" w:ascii="方正黑体简体" w:eastAsia="方正黑体简体"/>
          <w:b/>
          <w:sz w:val="32"/>
          <w:szCs w:val="32"/>
        </w:rPr>
        <w:t>五、存在的主要问题及改进情况</w:t>
      </w:r>
    </w:p>
    <w:p>
      <w:pPr>
        <w:spacing w:line="590" w:lineRule="exact"/>
        <w:ind w:right="-100" w:rightChars="-50" w:firstLine="643" w:firstLineChars="200"/>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pPr>
      <w:r>
        <w:rPr>
          <w:rFonts w:hint="default" w:ascii="方正仿宋简体" w:hAnsi="Times New Roman" w:eastAsia="方正仿宋简体" w:cs="Times New Roman"/>
          <w:b/>
          <w:color w:val="000000" w:themeColor="text1"/>
          <w:sz w:val="32"/>
          <w:szCs w:val="32"/>
          <w:lang w:val="en-US" w:eastAsia="zh-CN"/>
          <w14:textFill>
            <w14:solidFill>
              <w14:schemeClr w14:val="tx1"/>
            </w14:solidFill>
          </w14:textFill>
        </w:rPr>
        <w:t>2021</w:t>
      </w: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年，市行政审批服务局信息公开工作取得了一定成效，但仍存在着公开形式不够灵活、公开内容不够丰富等问题。下一步，将持续开展政务公开业务培训，在政务新媒体运营管理、政府信息依申请公开处理流程、工作要求等方面加大培训力度，全面提高工作素养和基本能力。持续扩充政务公开专区功能。丰富政务公开阅览区功能，在提供资料阅览、饮水设备、手机充电设备的基础上，持续增设便民设施。</w:t>
      </w:r>
    </w:p>
    <w:p>
      <w:pPr>
        <w:spacing w:line="590" w:lineRule="exact"/>
        <w:ind w:right="-100" w:rightChars="-50" w:firstLine="643" w:firstLineChars="200"/>
        <w:rPr>
          <w:rFonts w:ascii="方正黑体简体" w:eastAsia="方正黑体简体"/>
          <w:b/>
          <w:sz w:val="32"/>
          <w:szCs w:val="32"/>
        </w:rPr>
      </w:pPr>
      <w:r>
        <w:rPr>
          <w:rFonts w:hint="eastAsia" w:ascii="方正黑体简体" w:eastAsia="方正黑体简体"/>
          <w:b/>
          <w:sz w:val="32"/>
          <w:szCs w:val="32"/>
        </w:rPr>
        <w:t>六、其他需要报告的事项</w:t>
      </w:r>
    </w:p>
    <w:p>
      <w:pPr>
        <w:spacing w:line="590" w:lineRule="exact"/>
        <w:ind w:right="-100" w:rightChars="-50" w:firstLine="643" w:firstLineChars="200"/>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pP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（一）</w:t>
      </w:r>
      <w:r>
        <w:rPr>
          <w:rFonts w:hint="default" w:ascii="方正仿宋简体" w:hAnsi="Times New Roman" w:eastAsia="方正仿宋简体" w:cs="Times New Roman"/>
          <w:b/>
          <w:color w:val="000000" w:themeColor="text1"/>
          <w:sz w:val="32"/>
          <w:szCs w:val="32"/>
          <w:lang w:val="en-US" w:eastAsia="zh-CN"/>
          <w14:textFill>
            <w14:solidFill>
              <w14:schemeClr w14:val="tx1"/>
            </w14:solidFill>
          </w14:textFill>
        </w:rPr>
        <w:t>2021</w:t>
      </w: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年市行政审批服务局依据《政府信息公开信息处理费管理办法》，未向公民、法人收取信息处理费用。</w:t>
      </w:r>
    </w:p>
    <w:p>
      <w:pPr>
        <w:spacing w:line="590" w:lineRule="exact"/>
        <w:ind w:right="-100" w:rightChars="-50" w:firstLine="643" w:firstLineChars="200"/>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pP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（二）2021年市行政审批服务局共承办市级人大代表建议、政协提案6件，其中：人大代表建议4件、政协提案2件。全部于</w:t>
      </w:r>
      <w:r>
        <w:rPr>
          <w:rFonts w:hint="default" w:ascii="方正仿宋简体" w:hAnsi="Times New Roman" w:eastAsia="方正仿宋简体" w:cs="Times New Roman"/>
          <w:b/>
          <w:color w:val="000000" w:themeColor="text1"/>
          <w:sz w:val="32"/>
          <w:szCs w:val="32"/>
          <w:lang w:val="en-US" w:eastAsia="zh-CN"/>
          <w14:textFill>
            <w14:solidFill>
              <w14:schemeClr w14:val="tx1"/>
            </w14:solidFill>
          </w14:textFill>
        </w:rPr>
        <w:t>8</w:t>
      </w: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月份完成答复工作，建议提案办结率及代表委员满意率均为</w:t>
      </w:r>
      <w:r>
        <w:rPr>
          <w:rFonts w:hint="default" w:ascii="方正仿宋简体" w:hAnsi="Times New Roman" w:eastAsia="方正仿宋简体" w:cs="Times New Roman"/>
          <w:b/>
          <w:color w:val="000000" w:themeColor="text1"/>
          <w:sz w:val="32"/>
          <w:szCs w:val="32"/>
          <w:lang w:val="en-US" w:eastAsia="zh-CN"/>
          <w14:textFill>
            <w14:solidFill>
              <w14:schemeClr w14:val="tx1"/>
            </w14:solidFill>
          </w14:textFill>
        </w:rPr>
        <w:t>100%</w:t>
      </w: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w:t>
      </w:r>
    </w:p>
    <w:p>
      <w:pPr>
        <w:spacing w:line="590" w:lineRule="exact"/>
        <w:ind w:right="-100" w:rightChars="-50" w:firstLine="643" w:firstLineChars="200"/>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pPr>
      <w:r>
        <w:rPr>
          <w:rFonts w:hint="eastAsia" w:ascii="方正仿宋简体" w:eastAsia="方正仿宋简体" w:cs="Times New Roman"/>
          <w:b/>
          <w:color w:val="000000" w:themeColor="text1"/>
          <w:sz w:val="32"/>
          <w:szCs w:val="32"/>
          <w:lang w:val="en-US" w:eastAsia="zh-CN"/>
          <w14:textFill>
            <w14:solidFill>
              <w14:schemeClr w14:val="tx1"/>
            </w14:solidFill>
          </w14:textFill>
        </w:rPr>
        <w:t>（三）</w:t>
      </w:r>
      <w:r>
        <w:rPr>
          <w:rFonts w:hint="eastAsia" w:ascii="方正仿宋简体" w:hAnsi="Times New Roman" w:eastAsia="方正仿宋简体" w:cs="Times New Roman"/>
          <w:b/>
          <w:color w:val="000000" w:themeColor="text1"/>
          <w:sz w:val="32"/>
          <w:szCs w:val="32"/>
          <w:lang w:val="en-US" w:eastAsia="zh-CN"/>
          <w14:textFill>
            <w14:solidFill>
              <w14:schemeClr w14:val="tx1"/>
            </w14:solidFill>
          </w14:textFill>
        </w:rPr>
        <w:t>落实政务公开工作要点相关情况：</w:t>
      </w:r>
    </w:p>
    <w:p>
      <w:pPr>
        <w:spacing w:line="590" w:lineRule="exact"/>
        <w:ind w:right="-100" w:rightChars="-50" w:firstLine="643" w:firstLineChars="200"/>
        <w:rPr>
          <w:rFonts w:hint="eastAsia" w:ascii="方正仿宋简体" w:eastAsia="方正仿宋简体" w:cs="Times New Roman"/>
          <w:b/>
          <w:color w:val="000000" w:themeColor="text1"/>
          <w:sz w:val="32"/>
          <w:szCs w:val="32"/>
          <w:lang w:val="en-US" w:eastAsia="zh-CN"/>
          <w14:textFill>
            <w14:solidFill>
              <w14:schemeClr w14:val="tx1"/>
            </w14:solidFill>
          </w14:textFill>
        </w:rPr>
      </w:pPr>
      <w:r>
        <w:rPr>
          <w:rFonts w:hint="eastAsia" w:ascii="方正仿宋简体" w:eastAsia="方正仿宋简体" w:cs="Times New Roman"/>
          <w:b/>
          <w:color w:val="000000" w:themeColor="text1"/>
          <w:sz w:val="32"/>
          <w:szCs w:val="32"/>
          <w:lang w:val="en-US" w:eastAsia="zh-CN"/>
          <w14:textFill>
            <w14:solidFill>
              <w14:schemeClr w14:val="tx1"/>
            </w14:solidFill>
          </w14:textFill>
        </w:rPr>
        <w:t>1.加强重大战略实施信息公开。在办理建设工程规划许可证等城乡规划审批事项中，严格执行《中华人民共和国城乡规划法》等法律法规要求，主动公开，制定了公示公告相关标准，每个项目都按规定在项目用地现场和局机关官网专栏组织规划审批批前公示。</w:t>
      </w:r>
    </w:p>
    <w:p>
      <w:pPr>
        <w:spacing w:line="590" w:lineRule="exact"/>
        <w:ind w:right="-100" w:rightChars="-50" w:firstLine="643" w:firstLineChars="200"/>
        <w:rPr>
          <w:rFonts w:hint="eastAsia" w:ascii="方正仿宋简体" w:eastAsia="方正仿宋简体" w:cs="Times New Roman"/>
          <w:b/>
          <w:color w:val="000000" w:themeColor="text1"/>
          <w:sz w:val="32"/>
          <w:szCs w:val="32"/>
          <w:lang w:val="en-US" w:eastAsia="zh-CN"/>
          <w14:textFill>
            <w14:solidFill>
              <w14:schemeClr w14:val="tx1"/>
            </w14:solidFill>
          </w14:textFill>
        </w:rPr>
      </w:pPr>
      <w:r>
        <w:rPr>
          <w:rFonts w:hint="eastAsia" w:ascii="方正仿宋简体" w:eastAsia="方正仿宋简体" w:cs="Times New Roman"/>
          <w:b/>
          <w:color w:val="000000" w:themeColor="text1"/>
          <w:sz w:val="32"/>
          <w:szCs w:val="32"/>
          <w:lang w:val="en-US" w:eastAsia="zh-CN"/>
          <w14:textFill>
            <w14:solidFill>
              <w14:schemeClr w14:val="tx1"/>
            </w14:solidFill>
          </w14:textFill>
        </w:rPr>
        <w:t>2.加强优化营商环境信息公开。在市政府门户网站开设政策集成专栏，下设政策文件、政策解读、最新动态等7大板块，上传政策信息2800余条。优化“惠企通”服务平台，内设“融资通”“培训通”“人才通”“科创通”等七大模块，上传惠企政策信息8万余条。</w:t>
      </w:r>
    </w:p>
    <w:p>
      <w:pPr>
        <w:spacing w:line="590" w:lineRule="exact"/>
        <w:ind w:right="-100" w:rightChars="-50" w:firstLine="643" w:firstLineChars="200"/>
        <w:rPr>
          <w:rFonts w:hint="eastAsia" w:ascii="方正仿宋简体" w:eastAsia="方正仿宋简体" w:cs="Times New Roman"/>
          <w:b/>
          <w:color w:val="000000" w:themeColor="text1"/>
          <w:sz w:val="32"/>
          <w:szCs w:val="32"/>
          <w:lang w:val="en-US" w:eastAsia="zh-CN"/>
          <w14:textFill>
            <w14:solidFill>
              <w14:schemeClr w14:val="tx1"/>
            </w14:solidFill>
          </w14:textFill>
        </w:rPr>
      </w:pPr>
      <w:r>
        <w:rPr>
          <w:rFonts w:hint="eastAsia" w:ascii="方正仿宋简体" w:eastAsia="方正仿宋简体" w:cs="Times New Roman"/>
          <w:b/>
          <w:color w:val="000000" w:themeColor="text1"/>
          <w:sz w:val="32"/>
          <w:szCs w:val="32"/>
          <w:lang w:val="en-US" w:eastAsia="zh-CN"/>
          <w14:textFill>
            <w14:solidFill>
              <w14:schemeClr w14:val="tx1"/>
            </w14:solidFill>
          </w14:textFill>
        </w:rPr>
        <w:t>3.推进政策集中统一公开。线上，在局官方网站首页公布了服务大厅窗口示意图、窗口联系电话，并公开政务监督内容和监督途径。线下，在大厅显著位置放置政务公开宣传品、服务指南、业务手册，并设置自助服务区，实现政策信息自助式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D651B5-A500-47FC-B816-4501DDACBC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2" w:fontKey="{CC3D2A98-80A2-4565-9676-21206D4B0DDE}"/>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embedRegular r:id="rId3" w:fontKey="{3526FFDB-CF26-4B2F-847F-ABDE61F36C6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20934E"/>
    <w:multiLevelType w:val="singleLevel"/>
    <w:tmpl w:val="6820934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NTBlYjNmNzUyNmFhNDZlNTJhOTFjOWM3OWY2ODYifQ=="/>
  </w:docVars>
  <w:rsids>
    <w:rsidRoot w:val="571B5157"/>
    <w:rsid w:val="02AE5588"/>
    <w:rsid w:val="05FB6CF3"/>
    <w:rsid w:val="06421C1A"/>
    <w:rsid w:val="0F695463"/>
    <w:rsid w:val="15300959"/>
    <w:rsid w:val="1A88172C"/>
    <w:rsid w:val="1CE10E66"/>
    <w:rsid w:val="1E2E7AB3"/>
    <w:rsid w:val="283271CB"/>
    <w:rsid w:val="2853264F"/>
    <w:rsid w:val="31F775A9"/>
    <w:rsid w:val="34295B64"/>
    <w:rsid w:val="404D50A1"/>
    <w:rsid w:val="42242B7D"/>
    <w:rsid w:val="45161B83"/>
    <w:rsid w:val="45C80106"/>
    <w:rsid w:val="475B4887"/>
    <w:rsid w:val="49086E9B"/>
    <w:rsid w:val="497F46B4"/>
    <w:rsid w:val="4F9346CB"/>
    <w:rsid w:val="522D7E19"/>
    <w:rsid w:val="541B2B16"/>
    <w:rsid w:val="571B5157"/>
    <w:rsid w:val="5795215B"/>
    <w:rsid w:val="64D82278"/>
    <w:rsid w:val="69042103"/>
    <w:rsid w:val="6CCF29B1"/>
    <w:rsid w:val="72B27899"/>
    <w:rsid w:val="736D7BDC"/>
    <w:rsid w:val="74630418"/>
    <w:rsid w:val="7A3C640B"/>
    <w:rsid w:val="7B312A99"/>
    <w:rsid w:val="7B662C29"/>
    <w:rsid w:val="7F264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2"/>
    <w:basedOn w:val="4"/>
    <w:next w:val="5"/>
    <w:qFormat/>
    <w:uiPriority w:val="0"/>
    <w:pPr>
      <w:ind w:firstLine="420" w:firstLineChars="200"/>
    </w:pPr>
    <w:rPr>
      <w:rFonts w:ascii="Times New Roman" w:hAnsi="Times New Roman" w:eastAsia="宋体" w:cs="Times New Roman"/>
    </w:rPr>
  </w:style>
  <w:style w:type="paragraph" w:styleId="4">
    <w:name w:val="Body Text Indent"/>
    <w:basedOn w:val="1"/>
    <w:next w:val="3"/>
    <w:qFormat/>
    <w:uiPriority w:val="0"/>
    <w:pPr>
      <w:spacing w:after="120"/>
      <w:ind w:left="420" w:leftChars="200"/>
    </w:pPr>
  </w:style>
  <w:style w:type="paragraph" w:styleId="5">
    <w:name w:val="Body Text First Indent"/>
    <w:basedOn w:val="2"/>
    <w:qFormat/>
    <w:uiPriority w:val="99"/>
    <w:pPr>
      <w:ind w:firstLine="420" w:firstLineChars="100"/>
    </w:pPr>
  </w:style>
  <w:style w:type="paragraph" w:styleId="6">
    <w:name w:val="Normal (Web)"/>
    <w:basedOn w:val="1"/>
    <w:qFormat/>
    <w:uiPriority w:val="0"/>
    <w:pPr>
      <w:widowControl/>
      <w:spacing w:before="100" w:beforeAutospacing="1" w:after="100" w:afterAutospacing="1"/>
      <w:jc w:val="left"/>
    </w:pPr>
    <w:rPr>
      <w:rFonts w:ascii="宋体" w:hAnsi="宋体" w:cs="宋体"/>
      <w:sz w:val="24"/>
      <w:szCs w:val="24"/>
    </w:rPr>
  </w:style>
  <w:style w:type="character" w:styleId="9">
    <w:name w:val="Strong"/>
    <w:qFormat/>
    <w:uiPriority w:val="0"/>
    <w:rPr>
      <w:b/>
      <w:bCs/>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3224</Words>
  <Characters>3370</Characters>
  <Lines>0</Lines>
  <Paragraphs>0</Paragraphs>
  <TotalTime>2</TotalTime>
  <ScaleCrop>false</ScaleCrop>
  <LinksUpToDate>false</LinksUpToDate>
  <CharactersWithSpaces>3600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2022-01-18T01:40:00Z</dcterms:created>
  <dc:creator>爱的奉献</dc:creator>
  <cp:lastModifiedBy>糖炒栗子 ້໌ᮨ</cp:lastModifiedBy>
  <dcterms:modified xsi:type="dcterms:W3CDTF">2023-06-07T06:55:24Z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C26EA58B94154940969ABA5997815931</vt:lpwstr>
  </property>
</Properties>
</file>