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0"/>
          <w:sz w:val="44"/>
          <w:szCs w:val="44"/>
        </w:rPr>
        <w:t>济宁市财政局202</w:t>
      </w: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0"/>
          <w:sz w:val="44"/>
          <w:szCs w:val="44"/>
        </w:rPr>
        <w:t>年政府信息公开工作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333333"/>
          <w:spacing w:val="0"/>
          <w:sz w:val="44"/>
          <w:szCs w:val="44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本报告由济宁市财政局按照《中华人民共和国政府信息公开条例》（以下简称《条例》）和《中华人民共和国政府信息公开工作年度报告格式》（国办公开办函〔2021〕30号）要求编制。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本报告内容包括总体情况、主动公开政府信息情况、收到和处理政府信息公开申请情况、政府信息公开行政复议和行政诉讼情况、存在的主要问题及改进情况、其他需要报告的事项等六部分内容。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本报告所列数据的统计期限自202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年1月1日起至202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12月31日止。本报告电子版可在“中国·济宁”政府门户网站（http://www.jining.gov.cn）查阅或下载。如对本报告有疑问，请与济宁市财政局联系（地址：山东省济宁市太白湖新区许庄街道圣贤路7号第23届省运会指挥中心A1205室，联系电话：0537-2606003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，济宁市财政局按照国务院办公厅和省政府办公厅有关要求，深入贯彻《中华人民共和国政府信息公开条例》，进一步加强组织领导，把信息公开作为强化财政职能管理的有效载体，着力提升政府信息公开质量，严格按照“五公开”要求，加强政府信息公开发布的力度和时效，不断提高财政工作透明度，有效地保障了公民知情权，全面推进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i w:val="0"/>
          <w:caps w:val="0"/>
          <w:color w:val="333333"/>
          <w:spacing w:val="0"/>
          <w:sz w:val="32"/>
          <w:szCs w:val="32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坚持“以公开为常态，不公开为例外”的原则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进行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主动公开。通过主动公开财政信息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985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其中通过门户网站（含会计信息网）公布信息785条，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回应公众关切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件，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通过“济宁财政”发布信息223条，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并通过新闻发布会解答相关财政政策，切实有效地保障了社会公众获取政府财政信息的权利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drawing>
          <wp:inline distT="0" distB="0" distL="114300" distR="114300">
            <wp:extent cx="4572000" cy="2743200"/>
            <wp:effectExtent l="4445" t="4445" r="14605" b="14605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我局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共接收到依申请公开信息函件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次，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20件由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自然人提出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2件由法人提出，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申请涉及政府债务余额、一般公共预算收支等内容，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均在法定期限内予以答复，办结率为100%。从办理结果看，予以公开的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件，部分公开的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件，无法提供的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年，本单位未发生因政府信息公开申请引起的行政复议、行政诉讼情况；未因政府信息公开工作产生收费情况。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强化全局统筹谋划，紧密围绕财政工作大局制定年度政务公开工作要点，聚焦重点领域、政策精准服务、基础保障三个方面深化公开，明确年度工作任务和工作重点，细化分解分工，压实责任。强化信息发布审核程序，严格执行信息发布保密审查，未经审核审查信息一律不得发布，确保信息公开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（四）政府信息公开平台建设情况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color w:val="333333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在网站建设方面，进一步优化网站栏目设置，用足用好济宁市预决算公开平台，严格按时限要求公开市县两级政府预决算、部门预决算和“三公”经费预决算，进一步增强了公共财政透明度。按照发布实际需要和提高查询便利性要求，及时归并调整相关栏目，确保信息发布时效性，提高浏览体验感和信息获得度，通过数字、图片、视频等多种方式丰富发布形式。在新媒体建设方面，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年“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济宁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财政”微信公众号发布信息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220余条，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共累计获取关注人数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14800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余人，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单篇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最高阅读量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6800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人次。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（五）监督保障情况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拓宽监督渠道，公布举报电话，广泛接受群众投诉和举报，主动接受社会监督。积极开展业务培训，进一步提升政府信息公开水平，推进政务公开高效开展。纳入考核体系，强化考核监督常态化，以考核为依托提高公开质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171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  <w:t>收到和处理政府信息公开申请情况</w:t>
      </w:r>
    </w:p>
    <w:tbl>
      <w:tblPr>
        <w:tblStyle w:val="4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  <w:bookmarkStart w:id="10" w:name="_GoBack"/>
            <w:bookmarkEnd w:id="1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200"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Chars="200"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四、</w:t>
      </w: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  <w:t>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Times New Roman" w:hAnsi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年，济宁市财政局政务公开方面存在的问题有：财政数据公开形式较为简化，解读的专业性过强，通俗程度不够；公开发布信息内容质量不高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。针对这些问题，将进一步加大公开工作力度，强化队伍建设，加强专业人员培训，提升政务公开水平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优化系统设置，同时强化舆情管控与监督，加大审核力度，防范信息公开风险。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i w:val="0"/>
          <w:caps w:val="0"/>
          <w:color w:val="333333"/>
          <w:spacing w:val="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1、依据《政府信息公开信息处理费管理办法》收取信息处理费的情况。202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年，市财政局未收取依申请公开信息处理费收费。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2、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</w:rPr>
        <w:t>落实上级年度政务公开工作要点情况。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根据202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年度政务公开要点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工作要求，开展了如下工作：一是认真开展政策解读，回应社会关切，注重将信息公开与新闻宣传有机融合，定期组织系列报道、新闻发布活动，让群众了解政策、用好政策，收到良好社会效果。建立健全政务公开工作联络员制度，完善保障机制，认真开展政务公开培训，推动政务公开制度化规范化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eastAsia="zh-CN"/>
        </w:rPr>
        <w:t>。二是按要求公开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预决算公开范围。坚持以建立全覆盖预算公开体系作为财政预算公开的总要求，持续加大政府预算、部门预算、政府采购和其他财政信息的公开力度，全面构建全覆盖的预算公开体系。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3、本行政机关人大代表建议和政协提案办理结果公开情况。202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年，市财政局共办理市级人大政协建议提案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件，其中：主办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件，分办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件，协办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件。目前，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45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件建议提案均已办复，我局承办的建议提案主要集中在支持企业发展、加大对财政困难县补助力度、完善养老服务体系、提振旅游市场、加大乡村振兴投入力度、优化政府基金运作模式等事关社会发展、助企攀登、民生改善多个领域。我局承办的建议提案大多于2月底、3月初交办，办理时限3-6个月，于10月底之前全部办理答复完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2" w:firstLineChars="20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4、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</w:rPr>
        <w:t>202</w:t>
      </w:r>
      <w:r>
        <w:rPr>
          <w:rFonts w:hint="eastAsia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auto"/>
          <w:spacing w:val="0"/>
          <w:sz w:val="32"/>
          <w:szCs w:val="32"/>
        </w:rPr>
        <w:t>年度政务公开工作创新情况。</w:t>
      </w:r>
      <w:r>
        <w:rPr>
          <w:rFonts w:hint="default" w:ascii="Times New Roman" w:hAnsi="Times New Roman" w:eastAsia="方正仿宋简体" w:cs="Times New Roman"/>
          <w:b/>
          <w:bCs/>
          <w:i w:val="0"/>
          <w:caps w:val="0"/>
          <w:color w:val="333333"/>
          <w:spacing w:val="0"/>
          <w:sz w:val="32"/>
          <w:szCs w:val="32"/>
        </w:rPr>
        <w:t>针对“政府采购”“纾困解难”“减税降费”等群众关心关切的热点话题，充分利用视频、图文等群众喜闻乐见的方式开展政策解读，不断提高传播的广度和深度，使政策贴进群众需求、深入人心。借助新闻发布会社会关注度高、信息量大、政策权威等特点，围绕“助企纾困推动经济高质量发展”“优化政府采购营商环境”“打造检则约公物仓品牌”等领域重点宣传解读组织新闻发布会5次，主要负责人、分管负责人走到台前，第一时间回应群众关切，为经济社会发展营造良好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FB7201"/>
    <w:multiLevelType w:val="singleLevel"/>
    <w:tmpl w:val="7FFB7201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D7BC12"/>
    <w:rsid w:val="4A1947CF"/>
    <w:rsid w:val="5DFF1A0B"/>
    <w:rsid w:val="67E71A8E"/>
    <w:rsid w:val="7CCF8387"/>
    <w:rsid w:val="7DF12F2A"/>
    <w:rsid w:val="BBFF0E03"/>
    <w:rsid w:val="DDFE3183"/>
    <w:rsid w:val="EBDD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rFonts w:ascii="等线" w:hAnsi="等线" w:eastAsia="等线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/home/user/2023&#24180;/&#20154;&#22823;&#24314;&#35758;&#12289;&#25919;&#21327;&#25552;&#26696;/&#20851;&#20110;&#23545;&#25105;&#23616;&#25215;&#21150;2023&#24180;&#24230;&#20154;&#22823;&#24314;&#35758;&#25919;&#21327;&#25552;&#26696;&#21150;&#29702;&#24037;&#20316;&#26377;&#20851;&#24773;&#20917;&#30340;&#27719;&#25253;/&#38468;&#20214;2&#65306;&#24066;&#25919;&#21327;&#21313;&#22235;&#23626;&#20108;&#27425;&#20250;&#35758;&#25552;&#26696;&#21150;&#29702;&#24037;&#20316;&#36131;&#20219;&#20998;&#24037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false"/>
  <c:lang val="zh-CN"/>
  <c:roundedCorners val="false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true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主动公开信息情况</a:t>
            </a:r>
          </a:p>
        </c:rich>
      </c:tx>
      <c:layout/>
      <c:overlay val="false"/>
      <c:spPr>
        <a:noFill/>
        <a:ln>
          <a:noFill/>
        </a:ln>
        <a:effectLst/>
      </c:spPr>
    </c:title>
    <c:autoTitleDeleted val="false"/>
    <c:plotArea>
      <c:layout/>
      <c:pieChart>
        <c:varyColors val="true"/>
        <c:ser>
          <c:idx val="0"/>
          <c:order val="0"/>
          <c:spPr/>
          <c:explosion val="0"/>
          <c:dPt>
            <c:idx val="0"/>
            <c:bubble3D val="false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false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false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true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false"/>
            <c:showVal val="true"/>
            <c:showCatName val="false"/>
            <c:showSerName val="false"/>
            <c:showPercent val="false"/>
            <c:showBubbleSize val="false"/>
            <c:showLeaderLines val="true"/>
            <c:extLst>
              <c:ext xmlns:c15="http://schemas.microsoft.com/office/drawing/2012/chart" uri="{CE6537A1-D6FC-4f65-9D91-7224C49458BB}">
                <c15:layout/>
                <c15:showLeaderLines val="true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'[附件2：市政协十四届二次会议提案办理工作责任分工表.xls]Sheet1'!$B$17:$B$19</c:f>
              <c:strCache>
                <c:ptCount val="3"/>
                <c:pt idx="0">
                  <c:v>政府网站</c:v>
                </c:pt>
                <c:pt idx="1">
                  <c:v>门户网站</c:v>
                </c:pt>
                <c:pt idx="2">
                  <c:v>新媒体</c:v>
                </c:pt>
              </c:strCache>
            </c:strRef>
          </c:cat>
          <c:val>
            <c:numRef>
              <c:f>'[附件2：市政协十四届二次会议提案办理工作责任分工表.xls]Sheet1'!$C$17:$C$19</c:f>
              <c:numCache>
                <c:formatCode>General</c:formatCode>
                <c:ptCount val="3"/>
                <c:pt idx="0">
                  <c:v>200</c:v>
                </c:pt>
                <c:pt idx="1">
                  <c:v>785</c:v>
                </c:pt>
                <c:pt idx="2">
                  <c:v>220</c:v>
                </c:pt>
              </c:numCache>
            </c:numRef>
          </c:val>
        </c:ser>
        <c:dLbls>
          <c:showLegendKey val="false"/>
          <c:showVal val="true"/>
          <c:showCatName val="false"/>
          <c:showSerName val="false"/>
          <c:showPercent val="false"/>
          <c:showBubbleSize val="false"/>
          <c:showLeaderLines val="true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false"/>
      <c:spPr>
        <a:noFill/>
        <a:ln>
          <a:noFill/>
        </a:ln>
        <a:effectLst/>
      </c:spPr>
      <c:txPr>
        <a:bodyPr rot="0" spcFirstLastPara="0" vertOverflow="ellipsis" vert="horz" wrap="square" anchor="ctr" anchorCtr="true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true"/>
    <c:dispBlanksAs val="gap"/>
    <c:showDLblsOverMax val="false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false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true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user</cp:lastModifiedBy>
  <dcterms:modified xsi:type="dcterms:W3CDTF">2024-02-23T15:19:35Z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