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690" w:tblpY="2088"/>
        <w:tblOverlap w:val="never"/>
        <w:tblW w:w="8766" w:type="dxa"/>
        <w:tblInd w:w="0" w:type="dxa"/>
        <w:tblLayout w:type="fixed"/>
        <w:tblCellMar>
          <w:top w:w="0" w:type="dxa"/>
          <w:left w:w="108" w:type="dxa"/>
          <w:bottom w:w="0" w:type="dxa"/>
          <w:right w:w="108" w:type="dxa"/>
        </w:tblCellMar>
      </w:tblPr>
      <w:tblGrid>
        <w:gridCol w:w="6964"/>
        <w:gridCol w:w="1802"/>
      </w:tblGrid>
      <w:tr>
        <w:trPr>
          <w:trHeight w:val="721" w:hRule="atLeast"/>
        </w:trPr>
        <w:tc>
          <w:tcPr>
            <w:tcW w:w="6964" w:type="dxa"/>
            <w:noWrap/>
            <w:vAlign w:val="center"/>
          </w:tcPr>
          <w:p>
            <w:pPr>
              <w:spacing w:line="960" w:lineRule="exact"/>
              <w:jc w:val="distribute"/>
              <w:rPr>
                <w:rFonts w:eastAsia="方正小标宋简体"/>
                <w:color w:val="FF0000"/>
                <w:w w:val="65"/>
                <w:sz w:val="80"/>
                <w:szCs w:val="80"/>
              </w:rPr>
            </w:pPr>
            <w:r>
              <w:rPr>
                <w:rFonts w:eastAsia="方正小标宋简体"/>
                <w:color w:val="FF0000"/>
                <w:w w:val="65"/>
                <w:sz w:val="80"/>
                <w:szCs w:val="80"/>
              </w:rPr>
              <w:t>济宁市教育局</w:t>
            </w:r>
          </w:p>
        </w:tc>
        <w:tc>
          <w:tcPr>
            <w:tcW w:w="1802" w:type="dxa"/>
            <w:vMerge w:val="restart"/>
            <w:noWrap/>
            <w:vAlign w:val="center"/>
          </w:tcPr>
          <w:p>
            <w:pPr>
              <w:spacing w:line="960" w:lineRule="exact"/>
              <w:jc w:val="center"/>
              <w:rPr>
                <w:rFonts w:eastAsia="方正小标宋简体"/>
                <w:color w:val="FF0000"/>
                <w:w w:val="80"/>
                <w:sz w:val="90"/>
                <w:szCs w:val="90"/>
              </w:rPr>
            </w:pPr>
            <w:r>
              <w:rPr>
                <w:rFonts w:eastAsia="方正小标宋简体"/>
                <w:color w:val="FF0000"/>
                <w:w w:val="80"/>
                <w:sz w:val="90"/>
                <w:szCs w:val="90"/>
              </w:rPr>
              <w:t>文件</w:t>
            </w:r>
          </w:p>
        </w:tc>
      </w:tr>
      <w:tr>
        <w:tblPrEx>
          <w:tblCellMar>
            <w:top w:w="0" w:type="dxa"/>
            <w:left w:w="108" w:type="dxa"/>
            <w:bottom w:w="0" w:type="dxa"/>
            <w:right w:w="108" w:type="dxa"/>
          </w:tblCellMar>
        </w:tblPrEx>
        <w:trPr>
          <w:trHeight w:val="721" w:hRule="atLeast"/>
        </w:trPr>
        <w:tc>
          <w:tcPr>
            <w:tcW w:w="6964" w:type="dxa"/>
            <w:noWrap/>
            <w:vAlign w:val="center"/>
          </w:tcPr>
          <w:p>
            <w:pPr>
              <w:spacing w:line="960" w:lineRule="exact"/>
              <w:jc w:val="distribute"/>
              <w:rPr>
                <w:rFonts w:eastAsia="方正小标宋简体"/>
                <w:color w:val="FF0000"/>
                <w:w w:val="65"/>
                <w:sz w:val="80"/>
                <w:szCs w:val="80"/>
              </w:rPr>
            </w:pPr>
            <w:r>
              <w:rPr>
                <w:rFonts w:eastAsia="方正小标宋简体"/>
                <w:color w:val="FF0000"/>
                <w:w w:val="65"/>
                <w:sz w:val="80"/>
                <w:szCs w:val="80"/>
              </w:rPr>
              <w:t>济宁市发展和改革委员会</w:t>
            </w:r>
          </w:p>
        </w:tc>
        <w:tc>
          <w:tcPr>
            <w:tcW w:w="1802" w:type="dxa"/>
            <w:vMerge w:val="continue"/>
            <w:noWrap/>
            <w:vAlign w:val="center"/>
          </w:tcPr>
          <w:p>
            <w:pPr>
              <w:spacing w:line="960" w:lineRule="exact"/>
              <w:jc w:val="center"/>
              <w:rPr>
                <w:rFonts w:eastAsia="方正小标宋简体"/>
                <w:b/>
                <w:color w:val="FF0000"/>
                <w:sz w:val="60"/>
                <w:szCs w:val="60"/>
              </w:rPr>
            </w:pPr>
          </w:p>
        </w:tc>
      </w:tr>
      <w:tr>
        <w:trPr>
          <w:trHeight w:val="721" w:hRule="atLeast"/>
        </w:trPr>
        <w:tc>
          <w:tcPr>
            <w:tcW w:w="6964" w:type="dxa"/>
            <w:noWrap/>
            <w:vAlign w:val="center"/>
          </w:tcPr>
          <w:p>
            <w:pPr>
              <w:spacing w:line="960" w:lineRule="exact"/>
              <w:jc w:val="distribute"/>
              <w:rPr>
                <w:rFonts w:eastAsia="方正小标宋简体"/>
                <w:color w:val="FF0000"/>
                <w:w w:val="65"/>
                <w:sz w:val="80"/>
                <w:szCs w:val="80"/>
              </w:rPr>
            </w:pPr>
            <w:r>
              <w:rPr>
                <w:rFonts w:eastAsia="方正小标宋简体"/>
                <w:color w:val="FF0000"/>
                <w:w w:val="65"/>
                <w:sz w:val="80"/>
                <w:szCs w:val="80"/>
              </w:rPr>
              <w:t>济宁市财政局</w:t>
            </w:r>
          </w:p>
        </w:tc>
        <w:tc>
          <w:tcPr>
            <w:tcW w:w="1802" w:type="dxa"/>
            <w:vMerge w:val="continue"/>
            <w:noWrap/>
            <w:vAlign w:val="center"/>
          </w:tcPr>
          <w:p>
            <w:pPr>
              <w:spacing w:line="960" w:lineRule="exact"/>
              <w:jc w:val="center"/>
              <w:rPr>
                <w:rFonts w:eastAsia="方正小标宋简体"/>
                <w:b/>
                <w:color w:val="FF0000"/>
                <w:sz w:val="60"/>
                <w:szCs w:val="60"/>
              </w:rPr>
            </w:pPr>
          </w:p>
        </w:tc>
      </w:tr>
      <w:tr>
        <w:trPr>
          <w:trHeight w:val="721" w:hRule="atLeast"/>
        </w:trPr>
        <w:tc>
          <w:tcPr>
            <w:tcW w:w="6964" w:type="dxa"/>
            <w:noWrap/>
            <w:vAlign w:val="center"/>
          </w:tcPr>
          <w:p>
            <w:pPr>
              <w:spacing w:line="960" w:lineRule="exact"/>
              <w:jc w:val="distribute"/>
              <w:rPr>
                <w:rFonts w:eastAsia="方正小标宋简体"/>
                <w:color w:val="FF0000"/>
                <w:w w:val="65"/>
                <w:sz w:val="80"/>
                <w:szCs w:val="80"/>
              </w:rPr>
            </w:pPr>
            <w:r>
              <w:rPr>
                <w:rFonts w:eastAsia="方正小标宋简体"/>
                <w:color w:val="FF0000"/>
                <w:w w:val="65"/>
                <w:sz w:val="80"/>
                <w:szCs w:val="80"/>
              </w:rPr>
              <w:t>济宁市人力资源和社会保障局</w:t>
            </w:r>
          </w:p>
        </w:tc>
        <w:tc>
          <w:tcPr>
            <w:tcW w:w="1802" w:type="dxa"/>
            <w:vMerge w:val="continue"/>
            <w:noWrap/>
            <w:vAlign w:val="center"/>
          </w:tcPr>
          <w:p>
            <w:pPr>
              <w:spacing w:line="960" w:lineRule="exact"/>
              <w:jc w:val="center"/>
              <w:rPr>
                <w:rFonts w:eastAsia="方正小标宋简体"/>
                <w:b/>
                <w:color w:val="FF0000"/>
                <w:sz w:val="60"/>
                <w:szCs w:val="60"/>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b/>
        </w:rPr>
      </w:pPr>
    </w:p>
    <w:p>
      <w:pPr>
        <w:spacing w:line="240" w:lineRule="exact"/>
        <w:rPr>
          <w:b/>
        </w:rPr>
      </w:pPr>
    </w:p>
    <w:p>
      <w:pPr>
        <w:spacing w:line="240" w:lineRule="exact"/>
        <w:rPr>
          <w:b/>
        </w:rPr>
      </w:pPr>
    </w:p>
    <w:p>
      <w:pPr>
        <w:spacing w:line="240" w:lineRule="exact"/>
        <w:rPr>
          <w:b/>
        </w:rPr>
      </w:pPr>
    </w:p>
    <w:p>
      <w:pPr>
        <w:spacing w:line="600" w:lineRule="exact"/>
        <w:jc w:val="center"/>
        <w:rPr>
          <w:rFonts w:eastAsia="仿宋_GB2312"/>
          <w:b/>
          <w:color w:val="000000"/>
          <w:sz w:val="32"/>
        </w:rPr>
      </w:pPr>
      <w:r>
        <w:rPr>
          <w:rFonts w:eastAsia="仿宋_GB2312"/>
          <w:b/>
          <w:color w:val="000000"/>
          <w:sz w:val="32"/>
        </w:rPr>
        <w:t>济教字〔20</w:t>
      </w:r>
      <w:r>
        <w:rPr>
          <w:rFonts w:hint="eastAsia" w:eastAsia="仿宋_GB2312"/>
          <w:b/>
          <w:color w:val="000000"/>
          <w:sz w:val="32"/>
        </w:rPr>
        <w:t>22</w:t>
      </w:r>
      <w:r>
        <w:rPr>
          <w:rFonts w:eastAsia="仿宋_GB2312"/>
          <w:b/>
          <w:color w:val="000000"/>
          <w:sz w:val="32"/>
        </w:rPr>
        <w:t>〕</w:t>
      </w:r>
      <w:r>
        <w:rPr>
          <w:rFonts w:hint="eastAsia" w:eastAsia="仿宋_GB2312"/>
          <w:b/>
          <w:color w:val="000000"/>
          <w:sz w:val="32"/>
          <w:lang w:val="en-US" w:eastAsia="zh-CN"/>
        </w:rPr>
        <w:t>64</w:t>
      </w:r>
      <w:r>
        <w:rPr>
          <w:rFonts w:eastAsia="仿宋_GB2312"/>
          <w:b/>
          <w:color w:val="000000"/>
          <w:sz w:val="32"/>
        </w:rPr>
        <w:t>号</w:t>
      </w:r>
    </w:p>
    <w:p>
      <w:pPr>
        <w:rPr>
          <w:b/>
        </w:rPr>
      </w:pPr>
      <w:r>
        <w:rPr>
          <w: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22860</wp:posOffset>
                </wp:positionV>
                <wp:extent cx="5486400" cy="0"/>
                <wp:effectExtent l="0" t="10795" r="0" b="17780"/>
                <wp:wrapNone/>
                <wp:docPr id="1" name="直线 17"/>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17" o:spid="_x0000_s1026" o:spt="20" style="position:absolute;left:0pt;margin-left:-9pt;margin-top:1.8pt;height:0pt;width:432pt;z-index:251659264;mso-width-relative:page;mso-height-relative:page;" filled="f" stroked="t" coordsize="21600,21600" o:gfxdata="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3DKYNUAAAAHAQAADwAAAAAAAAABACAAAAAiAAAAZHJzL2Rvd25yZXYueG1sUEsBAhQAFAAAAAgA&#10;h07iQLnPgzXvAQAA6wMAAA4AAAAAAAAAAQAgAAAAJAEAAGRycy9lMm9Eb2MueG1sUEsFBgAAAAAG&#10;AAYAWQEAAIUFAAAAAA==&#10;">
                <v:fill on="f" focussize="0,0"/>
                <v:stroke weight="1.75pt" color="#FF0000" joinstyle="round"/>
                <v:imagedata o:title=""/>
                <o:lock v:ext="edit" aspectratio="f"/>
              </v:line>
            </w:pict>
          </mc:Fallback>
        </mc:AlternateContent>
      </w:r>
    </w:p>
    <w:p>
      <w:pPr>
        <w:spacing w:line="580" w:lineRule="exact"/>
        <w:jc w:val="both"/>
        <w:rPr>
          <w:rFonts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880"/>
        <w:jc w:val="center"/>
        <w:textAlignment w:val="auto"/>
        <w:rPr>
          <w:rFonts w:eastAsia="方正小标宋简体"/>
          <w:b/>
          <w:sz w:val="44"/>
          <w:szCs w:val="44"/>
        </w:rPr>
      </w:pPr>
      <w:r>
        <w:rPr>
          <w:rFonts w:hint="eastAsia" w:eastAsia="方正小标宋简体"/>
          <w:b/>
          <w:sz w:val="44"/>
          <w:szCs w:val="44"/>
        </w:rPr>
        <w:t>济宁市教育局等4部门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方正小标宋简体"/>
          <w:b/>
          <w:sz w:val="44"/>
          <w:szCs w:val="44"/>
        </w:rPr>
      </w:pPr>
      <w:r>
        <w:rPr>
          <w:rFonts w:hint="eastAsia" w:eastAsia="方正小标宋简体"/>
          <w:b/>
          <w:sz w:val="44"/>
          <w:szCs w:val="44"/>
        </w:rPr>
        <w:t>关于实施强科培优行动 推进普通高中特色多样发展的实施方案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楷体_GB2312"/>
          <w:b/>
          <w:bCs/>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各县市区教育局、发展改革委、财政局、人力资源社会保障局，市直各高中：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eastAsia="方正仿宋简体"/>
          <w:b/>
          <w:sz w:val="32"/>
          <w:szCs w:val="32"/>
        </w:rPr>
        <w:t>为</w:t>
      </w:r>
      <w:r>
        <w:rPr>
          <w:rFonts w:hint="eastAsia" w:eastAsia="方正仿宋简体"/>
          <w:b/>
          <w:sz w:val="32"/>
          <w:szCs w:val="32"/>
        </w:rPr>
        <w:t>深入</w:t>
      </w:r>
      <w:r>
        <w:rPr>
          <w:rFonts w:eastAsia="方正仿宋简体"/>
          <w:b/>
          <w:sz w:val="32"/>
          <w:szCs w:val="32"/>
        </w:rPr>
        <w:t>贯彻</w:t>
      </w:r>
      <w:r>
        <w:rPr>
          <w:rFonts w:hint="eastAsia" w:eastAsia="方正仿宋简体"/>
          <w:b/>
          <w:sz w:val="32"/>
          <w:szCs w:val="32"/>
        </w:rPr>
        <w:t>落实</w:t>
      </w:r>
      <w:r>
        <w:rPr>
          <w:rFonts w:eastAsia="方正仿宋简体"/>
          <w:b/>
          <w:sz w:val="32"/>
          <w:szCs w:val="32"/>
        </w:rPr>
        <w:t>中共中央、国务院《深化新时代教育评价改革总体方案》（中发〔2020〕19号）</w:t>
      </w:r>
      <w:r>
        <w:rPr>
          <w:rFonts w:hint="eastAsia" w:eastAsia="方正仿宋简体"/>
          <w:b/>
          <w:sz w:val="32"/>
          <w:szCs w:val="32"/>
        </w:rPr>
        <w:t>、</w:t>
      </w:r>
      <w:r>
        <w:rPr>
          <w:rFonts w:eastAsia="方正仿宋简体"/>
          <w:b/>
          <w:sz w:val="32"/>
          <w:szCs w:val="32"/>
        </w:rPr>
        <w:t>国务院办公厅《关于新时代推进普通高中育人方式改革的指导意见》（国办发〔2019〕29号）</w:t>
      </w:r>
      <w:r>
        <w:rPr>
          <w:rFonts w:hint="eastAsia" w:eastAsia="方正仿宋简体"/>
          <w:b/>
          <w:sz w:val="32"/>
          <w:szCs w:val="32"/>
        </w:rPr>
        <w:t>和山东省教育厅等4部门《关于实施强科培优行动 推进普通高中特色多样发展的实施意见》（鲁教基字〔2021〕6号）等有关文件精神，</w:t>
      </w:r>
      <w:r>
        <w:rPr>
          <w:rFonts w:eastAsia="方正仿宋简体"/>
          <w:b/>
          <w:sz w:val="32"/>
          <w:szCs w:val="32"/>
        </w:rPr>
        <w:t>全面提高</w:t>
      </w:r>
      <w:r>
        <w:rPr>
          <w:rFonts w:hint="eastAsia" w:eastAsia="方正仿宋简体"/>
          <w:b/>
          <w:sz w:val="32"/>
          <w:szCs w:val="32"/>
        </w:rPr>
        <w:t>我市</w:t>
      </w:r>
      <w:r>
        <w:rPr>
          <w:rFonts w:eastAsia="方正仿宋简体"/>
          <w:b/>
          <w:sz w:val="32"/>
          <w:szCs w:val="32"/>
        </w:rPr>
        <w:t>普通高中教育质量，经研究，决定实施强科培优行动，推进普通高中特色多样发展。现</w:t>
      </w:r>
      <w:r>
        <w:rPr>
          <w:rFonts w:hint="eastAsia" w:eastAsia="方正仿宋简体"/>
          <w:b/>
          <w:sz w:val="32"/>
          <w:szCs w:val="32"/>
        </w:rPr>
        <w:t>制定</w:t>
      </w:r>
      <w:r>
        <w:rPr>
          <w:rFonts w:eastAsia="方正仿宋简体"/>
          <w:b/>
          <w:sz w:val="32"/>
          <w:szCs w:val="32"/>
        </w:rPr>
        <w:t>如下实施</w:t>
      </w:r>
      <w:r>
        <w:rPr>
          <w:rFonts w:hint="eastAsia" w:eastAsia="方正仿宋简体"/>
          <w:b/>
          <w:sz w:val="32"/>
          <w:szCs w:val="32"/>
        </w:rPr>
        <w:t>方案</w:t>
      </w:r>
      <w:r>
        <w:rPr>
          <w:rFonts w:eastAsia="方正仿宋简体"/>
          <w:b/>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（一）指导思想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eastAsia="方正仿宋简体"/>
          <w:b/>
          <w:sz w:val="32"/>
          <w:szCs w:val="32"/>
        </w:rPr>
        <w:t>坚持以习近平新时代中国特色社会主义思想为指导，全面贯彻党的教育方针，落实立德树人根本任务，遵循教育教学规律和学生身心发展规律，破</w:t>
      </w:r>
      <w:r>
        <w:rPr>
          <w:rFonts w:hint="eastAsia" w:ascii="方正仿宋简体" w:hAnsi="方正仿宋简体" w:eastAsia="方正仿宋简体" w:cs="方正仿宋简体"/>
          <w:b/>
          <w:sz w:val="32"/>
          <w:szCs w:val="32"/>
        </w:rPr>
        <w:t>解普通高中“同质化”发展难</w:t>
      </w:r>
      <w:r>
        <w:rPr>
          <w:rFonts w:eastAsia="方正仿宋简体"/>
          <w:b/>
          <w:sz w:val="32"/>
          <w:szCs w:val="32"/>
        </w:rPr>
        <w:t>题，满足学生个性成长需求，深化高中育人关键环节和重点领域改革，推动普通高中特色发展、多样发展，促进学生全面而有个性成长。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（二）行动目标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eastAsia="方正仿宋简体"/>
          <w:b/>
          <w:sz w:val="32"/>
          <w:szCs w:val="32"/>
        </w:rPr>
        <w:t>通过实施强科培优行动，引导普通高中由分层办学向分类办学转变，推动普通高中立足人才培养需要和自身办学实际，以特色学科培育为主抓手，改革育人方式，提高育人质量，形成鲜明办学风格</w:t>
      </w:r>
      <w:r>
        <w:rPr>
          <w:rFonts w:hint="eastAsia" w:ascii="方正仿宋简体" w:hAnsi="方正仿宋简体" w:eastAsia="方正仿宋简体" w:cs="方正仿宋简体"/>
          <w:b/>
          <w:sz w:val="32"/>
          <w:szCs w:val="32"/>
        </w:rPr>
        <w:t>。“十四五”时期，</w:t>
      </w:r>
      <w:r>
        <w:rPr>
          <w:rFonts w:eastAsia="方正仿宋简体"/>
          <w:b/>
          <w:sz w:val="32"/>
          <w:szCs w:val="32"/>
        </w:rPr>
        <w:t>争取建设涵盖人文、社科、理工、艺体、科技等多个领域的省级特色高中</w:t>
      </w:r>
      <w:r>
        <w:rPr>
          <w:rFonts w:hint="eastAsia" w:eastAsia="方正仿宋简体"/>
          <w:b/>
          <w:sz w:val="32"/>
          <w:szCs w:val="32"/>
        </w:rPr>
        <w:t>15所左右、市级特色高中20所左右，</w:t>
      </w:r>
      <w:r>
        <w:rPr>
          <w:rFonts w:eastAsia="方正仿宋简体"/>
          <w:b/>
          <w:sz w:val="32"/>
          <w:szCs w:val="32"/>
        </w:rPr>
        <w:t>设立一批覆盖国家课程的学科基地，构建贯通招生、培养、评价、管理等环节的体制机制，示范引领全</w:t>
      </w:r>
      <w:r>
        <w:rPr>
          <w:rFonts w:hint="eastAsia" w:eastAsia="方正仿宋简体"/>
          <w:b/>
          <w:sz w:val="32"/>
          <w:szCs w:val="32"/>
        </w:rPr>
        <w:t>市</w:t>
      </w:r>
      <w:r>
        <w:rPr>
          <w:rFonts w:eastAsia="方正仿宋简体"/>
          <w:b/>
          <w:sz w:val="32"/>
          <w:szCs w:val="32"/>
        </w:rPr>
        <w:t>普通高中转变育人方式。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黑体简体" w:hAnsi="方正黑体简体" w:eastAsia="方正黑体简体" w:cs="方正黑体简体"/>
          <w:b/>
          <w:sz w:val="32"/>
          <w:szCs w:val="32"/>
        </w:rPr>
      </w:pPr>
      <w:r>
        <w:rPr>
          <w:rFonts w:ascii="方正黑体简体" w:hAnsi="方正黑体简体" w:eastAsia="方正黑体简体" w:cs="方正黑体简体"/>
          <w:b/>
          <w:sz w:val="32"/>
          <w:szCs w:val="32"/>
        </w:rPr>
        <w:t>二、基本原则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hint="eastAsia" w:ascii="方正楷体简体" w:hAnsi="方正楷体简体" w:eastAsia="方正楷体简体" w:cs="方正楷体简体"/>
          <w:b/>
          <w:sz w:val="32"/>
          <w:szCs w:val="32"/>
        </w:rPr>
        <w:t>（一）以规范办学为前提。</w:t>
      </w:r>
      <w:r>
        <w:rPr>
          <w:rFonts w:eastAsia="方正仿宋简体"/>
          <w:b/>
          <w:sz w:val="32"/>
          <w:szCs w:val="32"/>
        </w:rPr>
        <w:t>坚持全面贯彻党的教育方针，落实立德树人根本任务，尊重教育规律和学生身心成长规律，规范办学，科学育人。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（二）以学科建设为基础。</w:t>
      </w:r>
      <w:r>
        <w:rPr>
          <w:rFonts w:eastAsia="方正仿宋简体"/>
          <w:b/>
          <w:sz w:val="32"/>
          <w:szCs w:val="32"/>
        </w:rPr>
        <w:t>围绕培育特色学科，建设课程基地，系统构建课程、教学、评价、管理体系，培养学生必备品格和关键能力。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（三）以全面育人为目标。</w:t>
      </w:r>
      <w:r>
        <w:rPr>
          <w:rFonts w:eastAsia="方正仿宋简体"/>
          <w:b/>
          <w:sz w:val="32"/>
          <w:szCs w:val="32"/>
        </w:rPr>
        <w:t>坚持学校特色办学与学生个性化成长相统一，将学校特色发展成果覆盖全体学生，促进学生全面而有个性发展。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（四）以辐射引领为导向。</w:t>
      </w:r>
      <w:r>
        <w:rPr>
          <w:rFonts w:eastAsia="方正仿宋简体"/>
          <w:b/>
          <w:sz w:val="32"/>
          <w:szCs w:val="32"/>
        </w:rPr>
        <w:t>兼顾不同发展基础学校的成长需求，探索学校多样特色发展路径。注重发挥优质学校辐射带动作用，强化教科研支撑，建立学校协同发展机制。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三、建设任务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（一）培育优势学科。</w:t>
      </w:r>
      <w:r>
        <w:rPr>
          <w:rFonts w:eastAsia="方正仿宋简体"/>
          <w:b/>
          <w:sz w:val="32"/>
          <w:szCs w:val="32"/>
        </w:rPr>
        <w:t>根据国家课程设置要求和学校特色建设规划，培育建设1个及以上省级或市级学科基地，打造不少于2个与学校特色规划相关的学科课程群或资源库，开展丰富多彩的学生社团活动，形成可供复制推广的教学模式、教学案例，建立健全课程实施、质量监测、教学管理、学生评价等配套制度，成为区域范围内学科教学高地。充分挖掘学科教育价值，打造特色学校文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（二）培养特色教师。</w:t>
      </w:r>
      <w:r>
        <w:rPr>
          <w:rFonts w:eastAsia="方正仿宋简体"/>
          <w:b/>
          <w:sz w:val="32"/>
          <w:szCs w:val="32"/>
        </w:rPr>
        <w:t>围绕特色学科实施，加大相应学科教师培养和引进力度，组建专家教学和研究团队，发挥齐鲁名师、</w:t>
      </w:r>
      <w:r>
        <w:rPr>
          <w:rFonts w:hint="eastAsia" w:eastAsia="方正仿宋简体"/>
          <w:b/>
          <w:sz w:val="32"/>
          <w:szCs w:val="32"/>
        </w:rPr>
        <w:t>杏坛名师、</w:t>
      </w:r>
      <w:r>
        <w:rPr>
          <w:rFonts w:eastAsia="方正仿宋简体"/>
          <w:b/>
          <w:sz w:val="32"/>
          <w:szCs w:val="32"/>
        </w:rPr>
        <w:t>特级教师、学科带头人、教学能手示范带动作用，依靠学科名师支撑特色学校建设。根据需要聘请社会专业人员开设特色课程。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（三）改革教学模式。</w:t>
      </w:r>
      <w:r>
        <w:rPr>
          <w:rFonts w:hint="eastAsia" w:eastAsia="方正仿宋简体"/>
          <w:b/>
          <w:sz w:val="32"/>
          <w:szCs w:val="32"/>
        </w:rPr>
        <w:t>统筹推进新课程改革，加强课程实施监管</w:t>
      </w:r>
      <w:r>
        <w:rPr>
          <w:rFonts w:eastAsia="方正仿宋简体"/>
          <w:b/>
          <w:sz w:val="32"/>
          <w:szCs w:val="32"/>
        </w:rPr>
        <w:t>，制定特色学科课程实施规划，创新课堂教学方式，探索基于情境、问题导向的互动式、启发式、</w:t>
      </w:r>
      <w:r>
        <w:rPr>
          <w:rFonts w:hint="eastAsia" w:eastAsia="方正仿宋简体"/>
          <w:b/>
          <w:sz w:val="32"/>
          <w:szCs w:val="32"/>
        </w:rPr>
        <w:t>探究式、</w:t>
      </w:r>
      <w:r>
        <w:rPr>
          <w:rFonts w:eastAsia="方正仿宋简体"/>
          <w:b/>
          <w:sz w:val="32"/>
          <w:szCs w:val="32"/>
        </w:rPr>
        <w:t>体验式课堂教学。</w:t>
      </w:r>
      <w:r>
        <w:rPr>
          <w:rFonts w:hint="eastAsia" w:eastAsia="方正仿宋简体"/>
          <w:b/>
          <w:sz w:val="32"/>
          <w:szCs w:val="32"/>
        </w:rPr>
        <w:t>积极倡导“以学为主”的课堂教学理念，大力开展“深化学案导学，促进深度学习”课堂教学改革。</w:t>
      </w:r>
      <w:r>
        <w:rPr>
          <w:rFonts w:eastAsia="方正仿宋简体"/>
          <w:b/>
          <w:sz w:val="32"/>
          <w:szCs w:val="32"/>
        </w:rPr>
        <w:t>加强知识内在关联，注重加强课题研究、研究性学习等跨学科综合性教学，推行项目式、探究式学习，提升学生综合运用知识分析解决实际问题能力</w:t>
      </w:r>
      <w:r>
        <w:rPr>
          <w:rFonts w:hint="eastAsia" w:eastAsia="方正仿宋简体"/>
          <w:b/>
          <w:sz w:val="32"/>
          <w:szCs w:val="32"/>
        </w:rPr>
        <w:t>，进而提升学生核心素养，落实立德树人的根本任务。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（四）健全培养体系。</w:t>
      </w:r>
      <w:r>
        <w:rPr>
          <w:rFonts w:eastAsia="方正仿宋简体"/>
          <w:b/>
          <w:sz w:val="32"/>
          <w:szCs w:val="32"/>
        </w:rPr>
        <w:t>围绕办学特色，探索招生录取模式改革，完善学生学分管理、学生发展指导和综合素质评价制度，形成特色鲜明的选课走班管理模式。加强招生宣传，招生方案中明确特色学科在初中学业水平考试、考查或平时成绩中的要求。统筹校内外教育资源，发展学生特色社团，拓宽实践渠道，丰富特色实践活动。加强生涯规划指导，指导学生选科与个人志向、兴趣相契合。加强与高等学校、教科研机构合作，开展联合育人、课题研究等，强化教科研支撑，探索拔尖创新后备人才培养新模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（五）示范引领带动。</w:t>
      </w:r>
      <w:r>
        <w:rPr>
          <w:rFonts w:eastAsia="方正仿宋简体"/>
          <w:b/>
          <w:sz w:val="32"/>
          <w:szCs w:val="32"/>
        </w:rPr>
        <w:t>发挥学科基地引领带动作用，注重特色学科教学方式、教研模式及成果推广应用，协同带动区域内其他学校经常性开展特色学科示范教学、师资培养、联合教研、联合育人等，探索并形成可复制、可推广的发展范式，发挥辐射带动作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四、建设程序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hint="eastAsia" w:ascii="方正楷体简体" w:hAnsi="方正楷体简体" w:eastAsia="方正楷体简体" w:cs="方正楷体简体"/>
          <w:b/>
          <w:sz w:val="32"/>
          <w:szCs w:val="32"/>
        </w:rPr>
        <w:t>（一）学校规划。</w:t>
      </w:r>
      <w:r>
        <w:rPr>
          <w:rFonts w:eastAsia="方正仿宋简体"/>
          <w:b/>
          <w:sz w:val="32"/>
          <w:szCs w:val="32"/>
        </w:rPr>
        <w:t>高中学校立足办学实际制定特色高中建设方案，确定特色发展方向，培育特色学科。条件成熟的向主管教育行政部门提出建设申请。</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（二）</w:t>
      </w:r>
      <w:r>
        <w:rPr>
          <w:rFonts w:hint="eastAsia" w:ascii="方正楷体简体" w:hAnsi="方正楷体简体" w:eastAsia="方正楷体简体" w:cs="方正楷体简体"/>
          <w:b/>
          <w:sz w:val="32"/>
          <w:szCs w:val="32"/>
        </w:rPr>
        <w:t>县</w:t>
      </w:r>
      <w:r>
        <w:rPr>
          <w:rFonts w:ascii="方正楷体简体" w:hAnsi="方正楷体简体" w:eastAsia="方正楷体简体" w:cs="方正楷体简体"/>
          <w:b/>
          <w:sz w:val="32"/>
          <w:szCs w:val="32"/>
        </w:rPr>
        <w:t>级培育。</w:t>
      </w:r>
      <w:r>
        <w:rPr>
          <w:rFonts w:hint="eastAsia" w:eastAsia="方正仿宋简体"/>
          <w:b/>
          <w:sz w:val="32"/>
          <w:szCs w:val="32"/>
        </w:rPr>
        <w:t>县市区教育行政部门</w:t>
      </w:r>
      <w:r>
        <w:rPr>
          <w:rFonts w:eastAsia="方正仿宋简体"/>
          <w:b/>
          <w:sz w:val="32"/>
          <w:szCs w:val="32"/>
        </w:rPr>
        <w:t>启动</w:t>
      </w:r>
      <w:r>
        <w:rPr>
          <w:rFonts w:hint="eastAsia" w:eastAsia="方正仿宋简体"/>
          <w:b/>
          <w:sz w:val="32"/>
          <w:szCs w:val="32"/>
        </w:rPr>
        <w:t>本区域内</w:t>
      </w:r>
      <w:r>
        <w:rPr>
          <w:rFonts w:eastAsia="方正仿宋简体"/>
          <w:b/>
          <w:sz w:val="32"/>
          <w:szCs w:val="32"/>
        </w:rPr>
        <w:t>特色高中建设，指导学校完善特色建设方案，会同有关职能部门加大政策、项目和资金支持，</w:t>
      </w:r>
      <w:r>
        <w:rPr>
          <w:rFonts w:hint="eastAsia" w:eastAsia="方正仿宋简体"/>
          <w:b/>
          <w:sz w:val="32"/>
          <w:szCs w:val="32"/>
        </w:rPr>
        <w:t>积极培育和打造</w:t>
      </w:r>
      <w:r>
        <w:rPr>
          <w:rFonts w:eastAsia="方正仿宋简体"/>
          <w:b/>
          <w:sz w:val="32"/>
          <w:szCs w:val="32"/>
        </w:rPr>
        <w:t>特色高中</w:t>
      </w:r>
      <w:r>
        <w:rPr>
          <w:rFonts w:hint="eastAsia" w:eastAsia="方正仿宋简体"/>
          <w:b/>
          <w:sz w:val="32"/>
          <w:szCs w:val="32"/>
        </w:rPr>
        <w:t>和</w:t>
      </w:r>
      <w:r>
        <w:rPr>
          <w:rFonts w:eastAsia="方正仿宋简体"/>
          <w:b/>
          <w:sz w:val="32"/>
          <w:szCs w:val="32"/>
        </w:rPr>
        <w:t>学科基地。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hint="eastAsia" w:ascii="方正楷体简体" w:hAnsi="方正楷体简体" w:eastAsia="方正楷体简体" w:cs="方正楷体简体"/>
          <w:b/>
          <w:sz w:val="32"/>
          <w:szCs w:val="32"/>
        </w:rPr>
        <w:t>（三）专家跟进。</w:t>
      </w:r>
      <w:r>
        <w:rPr>
          <w:rFonts w:eastAsia="方正仿宋简体"/>
          <w:b/>
          <w:sz w:val="32"/>
          <w:szCs w:val="32"/>
        </w:rPr>
        <w:t>市</w:t>
      </w:r>
      <w:r>
        <w:rPr>
          <w:rFonts w:hint="eastAsia" w:eastAsia="方正仿宋简体"/>
          <w:b/>
          <w:sz w:val="32"/>
          <w:szCs w:val="32"/>
        </w:rPr>
        <w:t>教育局</w:t>
      </w:r>
      <w:r>
        <w:rPr>
          <w:rFonts w:eastAsia="方正仿宋简体"/>
          <w:b/>
          <w:sz w:val="32"/>
          <w:szCs w:val="32"/>
        </w:rPr>
        <w:t>组建专家团队，统筹齐鲁名校长、齐鲁名师、特级教师、高等学校和科研院所等专家资源，加强对特色高中建设和学科基地建设工作指导，改进完善各项制度，形成长效机制。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（四）省</w:t>
      </w:r>
      <w:r>
        <w:rPr>
          <w:rFonts w:hint="eastAsia" w:ascii="方正楷体简体" w:hAnsi="方正楷体简体" w:eastAsia="方正楷体简体" w:cs="方正楷体简体"/>
          <w:b/>
          <w:sz w:val="32"/>
          <w:szCs w:val="32"/>
        </w:rPr>
        <w:t>市</w:t>
      </w:r>
      <w:r>
        <w:rPr>
          <w:rFonts w:ascii="方正楷体简体" w:hAnsi="方正楷体简体" w:eastAsia="方正楷体简体" w:cs="方正楷体简体"/>
          <w:b/>
          <w:sz w:val="32"/>
          <w:szCs w:val="32"/>
        </w:rPr>
        <w:t>认定。</w:t>
      </w:r>
      <w:r>
        <w:rPr>
          <w:rFonts w:eastAsia="方正仿宋简体"/>
          <w:b/>
          <w:sz w:val="32"/>
          <w:szCs w:val="32"/>
        </w:rPr>
        <w:t>省</w:t>
      </w:r>
      <w:r>
        <w:rPr>
          <w:rFonts w:hint="eastAsia" w:eastAsia="方正仿宋简体"/>
          <w:b/>
          <w:sz w:val="32"/>
          <w:szCs w:val="32"/>
        </w:rPr>
        <w:t>、市</w:t>
      </w:r>
      <w:r>
        <w:rPr>
          <w:rFonts w:eastAsia="方正仿宋简体"/>
          <w:b/>
          <w:sz w:val="32"/>
          <w:szCs w:val="32"/>
        </w:rPr>
        <w:t>教育</w:t>
      </w:r>
      <w:r>
        <w:rPr>
          <w:rFonts w:hint="eastAsia" w:eastAsia="方正仿宋简体"/>
          <w:b/>
          <w:sz w:val="32"/>
          <w:szCs w:val="32"/>
        </w:rPr>
        <w:t>行政部门</w:t>
      </w:r>
      <w:r>
        <w:rPr>
          <w:rFonts w:eastAsia="方正仿宋简体"/>
          <w:b/>
          <w:sz w:val="32"/>
          <w:szCs w:val="32"/>
        </w:rPr>
        <w:t>在各</w:t>
      </w:r>
      <w:r>
        <w:rPr>
          <w:rFonts w:hint="eastAsia" w:eastAsia="方正仿宋简体"/>
          <w:b/>
          <w:sz w:val="32"/>
          <w:szCs w:val="32"/>
        </w:rPr>
        <w:t>县市区</w:t>
      </w:r>
      <w:r>
        <w:rPr>
          <w:rFonts w:eastAsia="方正仿宋简体"/>
          <w:b/>
          <w:sz w:val="32"/>
          <w:szCs w:val="32"/>
        </w:rPr>
        <w:t>推荐的基础上，组织专家评审，评审通过的认定为省</w:t>
      </w:r>
      <w:r>
        <w:rPr>
          <w:rFonts w:hint="eastAsia" w:eastAsia="方正仿宋简体"/>
          <w:b/>
          <w:sz w:val="32"/>
          <w:szCs w:val="32"/>
        </w:rPr>
        <w:t>、市</w:t>
      </w:r>
      <w:r>
        <w:rPr>
          <w:rFonts w:eastAsia="方正仿宋简体"/>
          <w:b/>
          <w:sz w:val="32"/>
          <w:szCs w:val="32"/>
        </w:rPr>
        <w:t>级特色高中。省级特色高中优先从市级特色高中中遴选。根据学校布局选择部分学校</w:t>
      </w:r>
      <w:r>
        <w:rPr>
          <w:rFonts w:hint="eastAsia" w:eastAsia="方正仿宋简体"/>
          <w:b/>
          <w:sz w:val="32"/>
          <w:szCs w:val="32"/>
        </w:rPr>
        <w:t>建设</w:t>
      </w:r>
      <w:r>
        <w:rPr>
          <w:rFonts w:eastAsia="方正仿宋简体"/>
          <w:b/>
          <w:sz w:val="32"/>
          <w:szCs w:val="32"/>
        </w:rPr>
        <w:t>省</w:t>
      </w:r>
      <w:r>
        <w:rPr>
          <w:rFonts w:hint="eastAsia" w:eastAsia="方正仿宋简体"/>
          <w:b/>
          <w:sz w:val="32"/>
          <w:szCs w:val="32"/>
        </w:rPr>
        <w:t>、市</w:t>
      </w:r>
      <w:r>
        <w:rPr>
          <w:rFonts w:eastAsia="方正仿宋简体"/>
          <w:b/>
          <w:sz w:val="32"/>
          <w:szCs w:val="32"/>
        </w:rPr>
        <w:t>级学科基地</w:t>
      </w:r>
      <w:r>
        <w:rPr>
          <w:rFonts w:hint="eastAsia" w:eastAsia="方正仿宋简体"/>
          <w:b/>
          <w:sz w:val="32"/>
          <w:szCs w:val="32"/>
        </w:rPr>
        <w:t>，择优</w:t>
      </w:r>
      <w:r>
        <w:rPr>
          <w:rFonts w:eastAsia="方正仿宋简体"/>
          <w:b/>
          <w:sz w:val="32"/>
          <w:szCs w:val="32"/>
        </w:rPr>
        <w:t>推荐</w:t>
      </w:r>
      <w:r>
        <w:rPr>
          <w:rFonts w:hint="eastAsia" w:eastAsia="方正仿宋简体"/>
          <w:b/>
          <w:sz w:val="32"/>
          <w:szCs w:val="32"/>
        </w:rPr>
        <w:t>创建省</w:t>
      </w:r>
      <w:r>
        <w:rPr>
          <w:rFonts w:eastAsia="方正仿宋简体"/>
          <w:b/>
          <w:sz w:val="32"/>
          <w:szCs w:val="32"/>
        </w:rPr>
        <w:t>级学科基地。</w:t>
      </w:r>
      <w:r>
        <w:rPr>
          <w:rFonts w:hint="eastAsia" w:eastAsia="方正仿宋简体"/>
          <w:b/>
          <w:sz w:val="32"/>
          <w:szCs w:val="32"/>
        </w:rPr>
        <w:t>省、市</w:t>
      </w:r>
      <w:r>
        <w:rPr>
          <w:rFonts w:eastAsia="方正仿宋简体"/>
          <w:b/>
          <w:sz w:val="32"/>
          <w:szCs w:val="32"/>
        </w:rPr>
        <w:t>特色高中实行动态管理、周期复评，有效期3年。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五、健全保障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hint="eastAsia" w:ascii="方正楷体简体" w:hAnsi="方正楷体简体" w:eastAsia="方正楷体简体" w:cs="方正楷体简体"/>
          <w:b/>
          <w:sz w:val="32"/>
          <w:szCs w:val="32"/>
        </w:rPr>
        <w:t>（一）加强组织领导。</w:t>
      </w:r>
      <w:r>
        <w:rPr>
          <w:rFonts w:eastAsia="方正仿宋简体"/>
          <w:b/>
          <w:sz w:val="32"/>
          <w:szCs w:val="32"/>
        </w:rPr>
        <w:t>各</w:t>
      </w:r>
      <w:r>
        <w:rPr>
          <w:rFonts w:hint="eastAsia" w:eastAsia="方正仿宋简体"/>
          <w:b/>
          <w:sz w:val="32"/>
          <w:szCs w:val="32"/>
        </w:rPr>
        <w:t>县市区</w:t>
      </w:r>
      <w:r>
        <w:rPr>
          <w:rFonts w:eastAsia="方正仿宋简体"/>
          <w:b/>
          <w:sz w:val="32"/>
          <w:szCs w:val="32"/>
        </w:rPr>
        <w:t>教育行政部门要高度重视特色高中建设，将其作为转变高中育人方式的重要抓手，加强与有关部门协调沟通，精心组织实施。要组建专家指导团队，开展分析诊断，制定兼顾不同发展基础学校实际的区域内特色高中建设推进整体规划，指导每所高中学校制定特色高中建设实施方案，全面提高学校办学水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hint="eastAsia" w:ascii="方正楷体简体" w:hAnsi="方正楷体简体" w:eastAsia="方正楷体简体" w:cs="方正楷体简体"/>
          <w:b/>
          <w:sz w:val="32"/>
          <w:szCs w:val="32"/>
        </w:rPr>
        <w:t>（二）创新育人制度。</w:t>
      </w:r>
      <w:r>
        <w:rPr>
          <w:rFonts w:eastAsia="方正仿宋简体"/>
          <w:b/>
          <w:sz w:val="32"/>
          <w:szCs w:val="32"/>
        </w:rPr>
        <w:t>教育部门要落实学校办学自主权，支持高中学校在严格控制自主招生比例的基础上，依据自身办学特色，自主设定招生标准，进一步发挥初中学生综合素质评价的作用。支持特色高中与高等学校开展联合育人。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（三）加大条件保障。</w:t>
      </w:r>
      <w:r>
        <w:rPr>
          <w:rFonts w:eastAsia="方正仿宋简体"/>
          <w:b/>
          <w:sz w:val="32"/>
          <w:szCs w:val="32"/>
        </w:rPr>
        <w:t>各</w:t>
      </w:r>
      <w:r>
        <w:rPr>
          <w:rFonts w:hint="eastAsia" w:eastAsia="方正仿宋简体"/>
          <w:b/>
          <w:sz w:val="32"/>
          <w:szCs w:val="32"/>
        </w:rPr>
        <w:t>县市区</w:t>
      </w:r>
      <w:r>
        <w:rPr>
          <w:rFonts w:eastAsia="方正仿宋简体"/>
          <w:b/>
          <w:sz w:val="32"/>
          <w:szCs w:val="32"/>
        </w:rPr>
        <w:t>要积极推进高中学校办学条件改善，加大对普通高中特色学科教室、实验室及教学设施配备的支持力度。财政部门要严格落实并逐步提高普通高中生均公用经费拨款标准，积极支持高中改革发展或特色学校建设。</w:t>
      </w:r>
      <w:r>
        <w:rPr>
          <w:rFonts w:hint="eastAsia" w:eastAsia="方正仿宋简体"/>
          <w:b/>
          <w:sz w:val="32"/>
          <w:szCs w:val="32"/>
          <w:lang w:eastAsia="zh-CN"/>
        </w:rPr>
        <w:t>市级统筹使用省级中小学办学条件改善奖补等资金，加大对特色高中和学科基地建设的支持</w:t>
      </w:r>
      <w:r>
        <w:rPr>
          <w:rFonts w:eastAsia="方正仿宋简体"/>
          <w:b/>
          <w:sz w:val="32"/>
          <w:szCs w:val="32"/>
        </w:rPr>
        <w:t>。发展改革部门要加强工作调度，建立普通高中学费动态调整机制。对于经省</w:t>
      </w:r>
      <w:r>
        <w:rPr>
          <w:rFonts w:hint="eastAsia" w:eastAsia="方正仿宋简体"/>
          <w:b/>
          <w:sz w:val="32"/>
          <w:szCs w:val="32"/>
        </w:rPr>
        <w:t>、</w:t>
      </w:r>
      <w:r>
        <w:rPr>
          <w:rFonts w:eastAsia="方正仿宋简体"/>
          <w:b/>
          <w:sz w:val="32"/>
          <w:szCs w:val="32"/>
        </w:rPr>
        <w:t>市评估认定的公办特色高中，学费标准</w:t>
      </w:r>
      <w:r>
        <w:rPr>
          <w:rFonts w:hint="eastAsia" w:eastAsia="方正仿宋简体"/>
          <w:b/>
          <w:sz w:val="32"/>
          <w:szCs w:val="32"/>
        </w:rPr>
        <w:t>分别</w:t>
      </w:r>
      <w:r>
        <w:rPr>
          <w:rFonts w:eastAsia="方正仿宋简体"/>
          <w:b/>
          <w:sz w:val="32"/>
          <w:szCs w:val="32"/>
        </w:rPr>
        <w:t>按照不超过现行基础30%</w:t>
      </w:r>
      <w:r>
        <w:rPr>
          <w:rFonts w:hint="eastAsia" w:eastAsia="方正仿宋简体"/>
          <w:b/>
          <w:sz w:val="32"/>
          <w:szCs w:val="32"/>
        </w:rPr>
        <w:t>、20%</w:t>
      </w:r>
      <w:r>
        <w:rPr>
          <w:rFonts w:eastAsia="方正仿宋简体"/>
          <w:b/>
          <w:sz w:val="32"/>
          <w:szCs w:val="32"/>
        </w:rPr>
        <w:t>的比例适当上浮，具体学费标准由各</w:t>
      </w:r>
      <w:r>
        <w:rPr>
          <w:rFonts w:hint="eastAsia" w:eastAsia="方正仿宋简体"/>
          <w:b/>
          <w:sz w:val="32"/>
          <w:szCs w:val="32"/>
        </w:rPr>
        <w:t>县市区</w:t>
      </w:r>
      <w:r>
        <w:rPr>
          <w:rFonts w:eastAsia="方正仿宋简体"/>
          <w:b/>
          <w:sz w:val="32"/>
          <w:szCs w:val="32"/>
        </w:rPr>
        <w:t>根据经济社会发展水平、培养成本和群众承受能力等合理确定。支持新增学费主要用于特色课程开发、特色活动开展、办学条件改善等。教育部门要加强对区域师资配备的统筹力度，通</w:t>
      </w:r>
      <w:r>
        <w:rPr>
          <w:rFonts w:hint="eastAsia" w:ascii="方正仿宋简体" w:hAnsi="方正仿宋简体" w:eastAsia="方正仿宋简体" w:cs="方正仿宋简体"/>
          <w:b/>
          <w:sz w:val="32"/>
          <w:szCs w:val="32"/>
        </w:rPr>
        <w:t>过“存量调配”和“增量倾斜”，</w:t>
      </w:r>
      <w:r>
        <w:rPr>
          <w:rFonts w:eastAsia="方正仿宋简体"/>
          <w:b/>
          <w:sz w:val="32"/>
          <w:szCs w:val="32"/>
        </w:rPr>
        <w:t>配足配强与学校特色匹配的师资力量，支持具备条件的特色高中承担区域教师培训、研修等任务。各</w:t>
      </w:r>
      <w:r>
        <w:rPr>
          <w:rFonts w:hint="eastAsia" w:eastAsia="方正仿宋简体"/>
          <w:b/>
          <w:sz w:val="32"/>
          <w:szCs w:val="32"/>
        </w:rPr>
        <w:t>县市区</w:t>
      </w:r>
      <w:r>
        <w:rPr>
          <w:rFonts w:eastAsia="方正仿宋简体"/>
          <w:b/>
          <w:sz w:val="32"/>
          <w:szCs w:val="32"/>
        </w:rPr>
        <w:t>结合高中特色多样化发展需要，充分考虑学校教师激励需求、资金保障等因素，在核定绩效工资总量时予以适当倾斜。学校在核定的绩效工资总量内自主搞活内部分配，激发学校内生活力。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（四）强化督导考核。</w:t>
      </w:r>
      <w:r>
        <w:rPr>
          <w:rFonts w:hint="eastAsia" w:eastAsia="方正仿宋简体"/>
          <w:b/>
          <w:sz w:val="32"/>
          <w:szCs w:val="32"/>
        </w:rPr>
        <w:t>市教育局</w:t>
      </w:r>
      <w:r>
        <w:rPr>
          <w:rFonts w:eastAsia="方正仿宋简体"/>
          <w:b/>
          <w:sz w:val="32"/>
          <w:szCs w:val="32"/>
        </w:rPr>
        <w:t>将</w:t>
      </w:r>
      <w:r>
        <w:rPr>
          <w:rFonts w:hint="eastAsia" w:eastAsia="方正仿宋简体"/>
          <w:b/>
          <w:sz w:val="32"/>
          <w:szCs w:val="32"/>
        </w:rPr>
        <w:t>根据省</w:t>
      </w:r>
      <w:r>
        <w:rPr>
          <w:rFonts w:eastAsia="方正仿宋简体"/>
          <w:b/>
          <w:sz w:val="32"/>
          <w:szCs w:val="32"/>
        </w:rPr>
        <w:t>普通高中办学质量评价办法，重点监测特色高中育人水平提升情况。</w:t>
      </w:r>
      <w:r>
        <w:rPr>
          <w:rFonts w:hint="eastAsia" w:eastAsia="方正仿宋简体"/>
          <w:b/>
          <w:sz w:val="32"/>
          <w:szCs w:val="32"/>
        </w:rPr>
        <w:t>市</w:t>
      </w:r>
      <w:r>
        <w:rPr>
          <w:rFonts w:eastAsia="方正仿宋简体"/>
          <w:b/>
          <w:sz w:val="32"/>
          <w:szCs w:val="32"/>
        </w:rPr>
        <w:t>政府教育督导部门依据评价办法将特色高中建设情况作为对县政府履行教育职责评价的内容。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方正仿宋简体"/>
          <w:b/>
          <w:sz w:val="32"/>
          <w:szCs w:val="32"/>
        </w:rPr>
      </w:pPr>
      <w:r>
        <w:rPr>
          <w:rFonts w:hint="eastAsia" w:eastAsia="方正仿宋简体"/>
          <w:b/>
          <w:sz w:val="32"/>
          <w:szCs w:val="32"/>
        </w:rPr>
        <w:t>附件：市级特色高中建设基本条件（试行）</w:t>
      </w:r>
    </w:p>
    <w:p>
      <w:pPr>
        <w:pStyle w:val="6"/>
        <w:widowControl/>
        <w:shd w:val="clear" w:color="auto" w:fill="FFFFFF"/>
        <w:spacing w:beforeAutospacing="0" w:afterAutospacing="0" w:line="580" w:lineRule="exact"/>
        <w:rPr>
          <w:rFonts w:ascii="微软雅黑" w:hAnsi="微软雅黑" w:eastAsia="微软雅黑" w:cs="微软雅黑"/>
        </w:rPr>
      </w:pPr>
    </w:p>
    <w:tbl>
      <w:tblPr>
        <w:tblStyle w:val="7"/>
        <w:tblpPr w:leftFromText="180" w:rightFromText="180" w:vertAnchor="text" w:horzAnchor="page" w:tblpX="2905" w:tblpY="92"/>
        <w:tblW w:w="0" w:type="auto"/>
        <w:tblInd w:w="0" w:type="dxa"/>
        <w:tblLayout w:type="fixed"/>
        <w:tblCellMar>
          <w:top w:w="0" w:type="dxa"/>
          <w:left w:w="108" w:type="dxa"/>
          <w:bottom w:w="0" w:type="dxa"/>
          <w:right w:w="108" w:type="dxa"/>
        </w:tblCellMar>
      </w:tblPr>
      <w:tblGrid>
        <w:gridCol w:w="2595"/>
        <w:gridCol w:w="615"/>
        <w:gridCol w:w="3660"/>
      </w:tblGrid>
      <w:tr>
        <w:tblPrEx>
          <w:tblCellMar>
            <w:top w:w="0" w:type="dxa"/>
            <w:left w:w="108" w:type="dxa"/>
            <w:bottom w:w="0" w:type="dxa"/>
            <w:right w:w="108" w:type="dxa"/>
          </w:tblCellMar>
        </w:tblPrEx>
        <w:trPr>
          <w:trHeight w:val="2111" w:hRule="exact"/>
        </w:trPr>
        <w:tc>
          <w:tcPr>
            <w:tcW w:w="2595" w:type="dxa"/>
            <w:noWrap/>
            <w:vAlign w:val="center"/>
          </w:tcPr>
          <w:p>
            <w:pPr>
              <w:spacing w:line="580" w:lineRule="exact"/>
              <w:jc w:val="center"/>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济宁市教育局</w:t>
            </w:r>
          </w:p>
        </w:tc>
        <w:tc>
          <w:tcPr>
            <w:tcW w:w="615" w:type="dxa"/>
            <w:noWrap/>
            <w:vAlign w:val="center"/>
          </w:tcPr>
          <w:p>
            <w:pPr>
              <w:spacing w:line="580" w:lineRule="exact"/>
              <w:jc w:val="center"/>
              <w:rPr>
                <w:rFonts w:ascii="方正仿宋简体" w:hAnsi="方正仿宋简体" w:eastAsia="方正仿宋简体" w:cs="方正仿宋简体"/>
                <w:b/>
                <w:sz w:val="32"/>
                <w:szCs w:val="32"/>
              </w:rPr>
            </w:pPr>
          </w:p>
          <w:p>
            <w:pPr>
              <w:spacing w:line="580" w:lineRule="exact"/>
              <w:jc w:val="center"/>
              <w:rPr>
                <w:rFonts w:ascii="方正仿宋简体" w:hAnsi="方正仿宋简体" w:eastAsia="方正仿宋简体" w:cs="方正仿宋简体"/>
                <w:b/>
                <w:sz w:val="32"/>
                <w:szCs w:val="32"/>
              </w:rPr>
            </w:pPr>
          </w:p>
        </w:tc>
        <w:tc>
          <w:tcPr>
            <w:tcW w:w="3660" w:type="dxa"/>
            <w:noWrap/>
            <w:vAlign w:val="center"/>
          </w:tcPr>
          <w:p>
            <w:pPr>
              <w:spacing w:line="580" w:lineRule="exact"/>
              <w:jc w:val="center"/>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济宁市发展和改革</w:t>
            </w:r>
          </w:p>
          <w:p>
            <w:pPr>
              <w:spacing w:line="580" w:lineRule="exact"/>
              <w:jc w:val="center"/>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委员会</w:t>
            </w:r>
          </w:p>
        </w:tc>
      </w:tr>
      <w:tr>
        <w:tblPrEx>
          <w:tblCellMar>
            <w:top w:w="0" w:type="dxa"/>
            <w:left w:w="108" w:type="dxa"/>
            <w:bottom w:w="0" w:type="dxa"/>
            <w:right w:w="108" w:type="dxa"/>
          </w:tblCellMar>
        </w:tblPrEx>
        <w:trPr>
          <w:trHeight w:val="2651" w:hRule="exact"/>
        </w:trPr>
        <w:tc>
          <w:tcPr>
            <w:tcW w:w="2595" w:type="dxa"/>
            <w:noWrap/>
            <w:vAlign w:val="center"/>
          </w:tcPr>
          <w:p>
            <w:pPr>
              <w:spacing w:line="580" w:lineRule="exact"/>
              <w:jc w:val="center"/>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济宁市财政局</w:t>
            </w:r>
          </w:p>
        </w:tc>
        <w:tc>
          <w:tcPr>
            <w:tcW w:w="615" w:type="dxa"/>
            <w:noWrap/>
            <w:vAlign w:val="center"/>
          </w:tcPr>
          <w:p>
            <w:pPr>
              <w:spacing w:line="580" w:lineRule="exact"/>
              <w:jc w:val="center"/>
              <w:rPr>
                <w:rFonts w:ascii="方正仿宋简体" w:hAnsi="方正仿宋简体" w:eastAsia="方正仿宋简体" w:cs="方正仿宋简体"/>
                <w:b/>
                <w:sz w:val="32"/>
                <w:szCs w:val="32"/>
              </w:rPr>
            </w:pPr>
          </w:p>
        </w:tc>
        <w:tc>
          <w:tcPr>
            <w:tcW w:w="3660" w:type="dxa"/>
            <w:noWrap/>
            <w:vAlign w:val="center"/>
          </w:tcPr>
          <w:p>
            <w:pPr>
              <w:spacing w:line="580" w:lineRule="exact"/>
              <w:jc w:val="center"/>
              <w:rPr>
                <w:rFonts w:hint="eastAsia" w:ascii="方正仿宋简体" w:hAnsi="方正仿宋简体" w:eastAsia="方正仿宋简体" w:cs="方正仿宋简体"/>
                <w:b/>
                <w:spacing w:val="-6"/>
                <w:sz w:val="32"/>
                <w:szCs w:val="32"/>
              </w:rPr>
            </w:pPr>
          </w:p>
          <w:p>
            <w:pPr>
              <w:spacing w:line="58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pacing w:val="-6"/>
                <w:sz w:val="32"/>
                <w:szCs w:val="32"/>
              </w:rPr>
              <w:t>济宁市人力资源</w:t>
            </w:r>
            <w:r>
              <w:rPr>
                <w:rFonts w:hint="eastAsia" w:ascii="方正仿宋简体" w:hAnsi="方正仿宋简体" w:eastAsia="方正仿宋简体" w:cs="方正仿宋简体"/>
                <w:b/>
                <w:sz w:val="32"/>
                <w:szCs w:val="32"/>
              </w:rPr>
              <w:t>和社会</w:t>
            </w:r>
          </w:p>
          <w:p>
            <w:pPr>
              <w:spacing w:line="58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保障局</w:t>
            </w:r>
          </w:p>
          <w:p>
            <w:pPr>
              <w:spacing w:line="580" w:lineRule="exact"/>
              <w:jc w:val="center"/>
              <w:rPr>
                <w:rFonts w:hint="eastAsia" w:ascii="方正仿宋简体" w:hAnsi="方正仿宋简体" w:eastAsia="方正仿宋简体" w:cs="方正仿宋简体"/>
                <w:b/>
                <w:sz w:val="32"/>
                <w:szCs w:val="32"/>
              </w:rPr>
            </w:pPr>
            <w:r>
              <w:rPr>
                <w:rFonts w:eastAsia="方正仿宋简体"/>
                <w:b/>
                <w:sz w:val="32"/>
                <w:szCs w:val="32"/>
              </w:rPr>
              <w:t>2022年</w:t>
            </w:r>
            <w:r>
              <w:rPr>
                <w:rFonts w:hint="eastAsia" w:eastAsia="方正仿宋简体"/>
                <w:b/>
                <w:sz w:val="32"/>
                <w:szCs w:val="32"/>
                <w:lang w:val="en-US" w:eastAsia="zh-CN"/>
              </w:rPr>
              <w:t>10</w:t>
            </w:r>
            <w:r>
              <w:rPr>
                <w:rFonts w:eastAsia="方正仿宋简体"/>
                <w:b/>
                <w:sz w:val="32"/>
                <w:szCs w:val="32"/>
              </w:rPr>
              <w:t>月</w:t>
            </w:r>
            <w:r>
              <w:rPr>
                <w:rFonts w:hint="eastAsia" w:eastAsia="方正仿宋简体"/>
                <w:b/>
                <w:sz w:val="32"/>
                <w:szCs w:val="32"/>
                <w:lang w:val="en-US" w:eastAsia="zh-CN"/>
              </w:rPr>
              <w:t>27</w:t>
            </w:r>
            <w:r>
              <w:rPr>
                <w:rFonts w:eastAsia="方正仿宋简体"/>
                <w:b/>
                <w:sz w:val="32"/>
                <w:szCs w:val="32"/>
              </w:rPr>
              <w:t>日</w:t>
            </w:r>
          </w:p>
        </w:tc>
      </w:tr>
    </w:tbl>
    <w:p>
      <w:pPr>
        <w:spacing w:line="580" w:lineRule="exact"/>
        <w:ind w:firstLine="643" w:firstLineChars="200"/>
        <w:rPr>
          <w:rFonts w:ascii="方正仿宋简体" w:hAnsi="方正仿宋简体" w:eastAsia="方正仿宋简体" w:cs="方正仿宋简体"/>
          <w:b/>
          <w:bCs/>
          <w:kern w:val="0"/>
          <w:sz w:val="32"/>
          <w:szCs w:val="32"/>
        </w:rPr>
      </w:pPr>
    </w:p>
    <w:p>
      <w:pPr>
        <w:spacing w:line="580" w:lineRule="exact"/>
        <w:rPr>
          <w:rFonts w:ascii="方正仿宋简体" w:hAnsi="方正仿宋简体" w:eastAsia="方正仿宋简体" w:cs="方正仿宋简体"/>
          <w:b/>
        </w:rPr>
      </w:pPr>
    </w:p>
    <w:p>
      <w:pPr>
        <w:spacing w:line="580" w:lineRule="exact"/>
        <w:rPr>
          <w:b/>
        </w:rPr>
      </w:pPr>
    </w:p>
    <w:p>
      <w:pPr>
        <w:spacing w:line="580" w:lineRule="exact"/>
        <w:rPr>
          <w:b/>
        </w:rPr>
      </w:pPr>
    </w:p>
    <w:p>
      <w:pPr>
        <w:widowControl/>
        <w:autoSpaceDE w:val="0"/>
        <w:autoSpaceDN w:val="0"/>
        <w:adjustRightInd w:val="0"/>
        <w:spacing w:line="580" w:lineRule="exact"/>
        <w:jc w:val="center"/>
        <w:rPr>
          <w:rFonts w:ascii="方正仿宋简体" w:hAnsi="方正仿宋简体" w:eastAsia="方正仿宋简体" w:cs="方正仿宋简体"/>
          <w:b/>
          <w:sz w:val="32"/>
          <w:szCs w:val="32"/>
        </w:rPr>
      </w:pPr>
    </w:p>
    <w:p>
      <w:pPr>
        <w:widowControl/>
        <w:autoSpaceDE w:val="0"/>
        <w:autoSpaceDN w:val="0"/>
        <w:adjustRightInd w:val="0"/>
        <w:spacing w:line="580" w:lineRule="exact"/>
        <w:jc w:val="center"/>
        <w:rPr>
          <w:rFonts w:ascii="方正仿宋简体" w:hAnsi="方正仿宋简体" w:eastAsia="方正仿宋简体" w:cs="方正仿宋简体"/>
          <w:b/>
          <w:sz w:val="32"/>
          <w:szCs w:val="32"/>
        </w:rPr>
      </w:pPr>
    </w:p>
    <w:p>
      <w:pPr>
        <w:widowControl/>
        <w:autoSpaceDE w:val="0"/>
        <w:autoSpaceDN w:val="0"/>
        <w:adjustRightInd w:val="0"/>
        <w:spacing w:line="580" w:lineRule="exact"/>
        <w:jc w:val="center"/>
        <w:rPr>
          <w:rFonts w:ascii="方正仿宋简体" w:hAnsi="方正仿宋简体" w:eastAsia="方正仿宋简体" w:cs="方正仿宋简体"/>
          <w:b/>
          <w:sz w:val="32"/>
          <w:szCs w:val="32"/>
        </w:rPr>
      </w:pPr>
    </w:p>
    <w:p>
      <w:pPr>
        <w:widowControl/>
        <w:autoSpaceDE w:val="0"/>
        <w:autoSpaceDN w:val="0"/>
        <w:adjustRightInd w:val="0"/>
        <w:spacing w:line="580" w:lineRule="exact"/>
        <w:jc w:val="center"/>
        <w:rPr>
          <w:rFonts w:ascii="方正仿宋简体" w:hAnsi="方正仿宋简体" w:eastAsia="方正仿宋简体" w:cs="方正仿宋简体"/>
          <w:b/>
          <w:sz w:val="32"/>
          <w:szCs w:val="32"/>
        </w:rPr>
      </w:pPr>
    </w:p>
    <w:p>
      <w:pPr>
        <w:spacing w:line="580" w:lineRule="exact"/>
        <w:rPr>
          <w:rFonts w:hint="eastAsia" w:ascii="方正黑体简体" w:eastAsia="方正黑体简体"/>
          <w:b/>
          <w:sz w:val="32"/>
          <w:szCs w:val="32"/>
        </w:rPr>
      </w:pPr>
      <w:r>
        <w:rPr>
          <w:rFonts w:hint="eastAsia" w:ascii="方正黑体简体" w:eastAsia="方正黑体简体"/>
          <w:b/>
          <w:sz w:val="32"/>
          <w:szCs w:val="32"/>
        </w:rPr>
        <w:t>附件</w:t>
      </w:r>
    </w:p>
    <w:p>
      <w:pPr>
        <w:spacing w:line="580" w:lineRule="exact"/>
        <w:jc w:val="center"/>
        <w:rPr>
          <w:rFonts w:hint="eastAsia" w:ascii="方正小标宋简体" w:hAnsi="黑体" w:eastAsia="方正小标宋简体"/>
          <w:b/>
          <w:sz w:val="44"/>
          <w:szCs w:val="44"/>
        </w:rPr>
      </w:pPr>
    </w:p>
    <w:p>
      <w:pPr>
        <w:spacing w:line="580" w:lineRule="exact"/>
        <w:jc w:val="center"/>
        <w:rPr>
          <w:rFonts w:hint="eastAsia" w:ascii="方正小标宋简体" w:hAnsi="黑体" w:eastAsia="方正小标宋简体"/>
          <w:b/>
          <w:sz w:val="44"/>
          <w:szCs w:val="44"/>
        </w:rPr>
      </w:pPr>
      <w:r>
        <w:rPr>
          <w:rFonts w:hint="eastAsia" w:ascii="方正小标宋简体" w:hAnsi="黑体" w:eastAsia="方正小标宋简体"/>
          <w:b/>
          <w:sz w:val="44"/>
          <w:szCs w:val="44"/>
        </w:rPr>
        <w:t>市级特色高中建设基本条件</w:t>
      </w:r>
    </w:p>
    <w:p>
      <w:pPr>
        <w:spacing w:line="580" w:lineRule="exact"/>
        <w:jc w:val="center"/>
        <w:rPr>
          <w:rFonts w:hint="eastAsia" w:ascii="方正楷体简体" w:hAnsi="黑体" w:eastAsia="方正楷体简体"/>
          <w:b/>
          <w:sz w:val="32"/>
          <w:szCs w:val="32"/>
        </w:rPr>
      </w:pPr>
      <w:r>
        <w:rPr>
          <w:rFonts w:hint="eastAsia" w:ascii="方正楷体简体" w:hAnsi="黑体" w:eastAsia="方正楷体简体"/>
          <w:b/>
          <w:sz w:val="32"/>
          <w:szCs w:val="32"/>
        </w:rPr>
        <w:t>（试行）</w:t>
      </w:r>
    </w:p>
    <w:p>
      <w:pPr>
        <w:spacing w:line="580" w:lineRule="exact"/>
        <w:ind w:firstLine="640" w:firstLineChars="200"/>
        <w:rPr>
          <w:rFonts w:hint="eastAsia" w:ascii="黑体" w:hAnsi="黑体" w:eastAsia="黑体"/>
          <w:sz w:val="32"/>
          <w:szCs w:val="28"/>
        </w:rPr>
      </w:pPr>
    </w:p>
    <w:p>
      <w:pPr>
        <w:spacing w:line="580" w:lineRule="exact"/>
        <w:ind w:firstLine="643" w:firstLineChars="200"/>
        <w:rPr>
          <w:rFonts w:hint="eastAsia" w:ascii="方正黑体简体" w:hAnsi="黑体" w:eastAsia="方正黑体简体"/>
          <w:b/>
          <w:sz w:val="32"/>
          <w:szCs w:val="28"/>
        </w:rPr>
      </w:pPr>
      <w:r>
        <w:rPr>
          <w:rFonts w:hint="eastAsia" w:ascii="方正黑体简体" w:hAnsi="黑体" w:eastAsia="方正黑体简体"/>
          <w:b/>
          <w:sz w:val="32"/>
          <w:szCs w:val="28"/>
        </w:rPr>
        <w:t>一、发展基础</w:t>
      </w:r>
    </w:p>
    <w:p>
      <w:pPr>
        <w:spacing w:line="580" w:lineRule="exact"/>
        <w:ind w:firstLine="643" w:firstLineChars="200"/>
        <w:rPr>
          <w:rFonts w:eastAsia="方正仿宋简体"/>
          <w:b/>
          <w:sz w:val="32"/>
          <w:szCs w:val="32"/>
        </w:rPr>
      </w:pPr>
      <w:r>
        <w:rPr>
          <w:rFonts w:hint="eastAsia" w:eastAsia="方正仿宋简体"/>
          <w:b/>
          <w:sz w:val="32"/>
          <w:szCs w:val="32"/>
        </w:rPr>
        <w:t>1</w:t>
      </w:r>
      <w:r>
        <w:rPr>
          <w:rFonts w:hint="eastAsia" w:eastAsia="方正仿宋简体"/>
          <w:b/>
          <w:sz w:val="32"/>
          <w:szCs w:val="32"/>
          <w:lang w:eastAsia="zh-CN"/>
        </w:rPr>
        <w:t>．</w:t>
      </w:r>
      <w:r>
        <w:rPr>
          <w:rFonts w:hint="eastAsia" w:eastAsia="方正仿宋简体"/>
          <w:b/>
          <w:sz w:val="32"/>
          <w:szCs w:val="32"/>
        </w:rPr>
        <w:t>全面贯彻党的教育方针，落实立德树人根本任务，遵循办学规律。</w:t>
      </w:r>
    </w:p>
    <w:p>
      <w:pPr>
        <w:spacing w:line="580" w:lineRule="exact"/>
        <w:ind w:firstLine="643" w:firstLineChars="200"/>
        <w:rPr>
          <w:rFonts w:eastAsia="方正仿宋简体"/>
          <w:b/>
          <w:sz w:val="32"/>
          <w:szCs w:val="32"/>
        </w:rPr>
      </w:pPr>
      <w:r>
        <w:rPr>
          <w:rFonts w:hint="eastAsia" w:eastAsia="方正仿宋简体"/>
          <w:b/>
          <w:sz w:val="32"/>
          <w:szCs w:val="32"/>
        </w:rPr>
        <w:t>2</w:t>
      </w:r>
      <w:r>
        <w:rPr>
          <w:rFonts w:hint="eastAsia" w:eastAsia="方正仿宋简体"/>
          <w:b/>
          <w:sz w:val="32"/>
          <w:szCs w:val="32"/>
          <w:lang w:eastAsia="zh-CN"/>
        </w:rPr>
        <w:t>．</w:t>
      </w:r>
      <w:r>
        <w:rPr>
          <w:rFonts w:hint="eastAsia" w:eastAsia="方正仿宋简体"/>
          <w:b/>
          <w:sz w:val="32"/>
          <w:szCs w:val="32"/>
        </w:rPr>
        <w:t>办学行为规范，3年内没有被市级及以上违规办学行为通报。</w:t>
      </w:r>
    </w:p>
    <w:p>
      <w:pPr>
        <w:spacing w:line="580" w:lineRule="exact"/>
        <w:ind w:firstLine="643" w:firstLineChars="200"/>
        <w:rPr>
          <w:rFonts w:eastAsia="方正仿宋简体"/>
          <w:b/>
          <w:sz w:val="32"/>
          <w:szCs w:val="32"/>
        </w:rPr>
      </w:pPr>
      <w:r>
        <w:rPr>
          <w:rFonts w:hint="eastAsia" w:eastAsia="方正仿宋简体"/>
          <w:b/>
          <w:sz w:val="32"/>
          <w:szCs w:val="32"/>
        </w:rPr>
        <w:t>3</w:t>
      </w:r>
      <w:r>
        <w:rPr>
          <w:rFonts w:hint="eastAsia" w:eastAsia="方正仿宋简体"/>
          <w:b/>
          <w:sz w:val="32"/>
          <w:szCs w:val="32"/>
          <w:lang w:eastAsia="zh-CN"/>
        </w:rPr>
        <w:t>．</w:t>
      </w:r>
      <w:r>
        <w:rPr>
          <w:rFonts w:hint="eastAsia" w:eastAsia="方正仿宋简体"/>
          <w:b/>
          <w:sz w:val="32"/>
          <w:szCs w:val="32"/>
        </w:rPr>
        <w:t>办学条件达到省定办学条件标准，建有高标准学科教室。特色学科有关的设备设施、校舍等达到标准Ⅱ或以上，充分满足特色教学和选课走班需要。</w:t>
      </w:r>
    </w:p>
    <w:p>
      <w:pPr>
        <w:spacing w:line="580" w:lineRule="exact"/>
        <w:ind w:firstLine="643" w:firstLineChars="200"/>
        <w:rPr>
          <w:rFonts w:eastAsia="方正仿宋简体"/>
          <w:b/>
          <w:sz w:val="32"/>
          <w:szCs w:val="32"/>
        </w:rPr>
      </w:pPr>
      <w:r>
        <w:rPr>
          <w:rFonts w:hint="eastAsia" w:eastAsia="方正仿宋简体"/>
          <w:b/>
          <w:sz w:val="32"/>
          <w:szCs w:val="32"/>
        </w:rPr>
        <w:t>4</w:t>
      </w:r>
      <w:r>
        <w:rPr>
          <w:rFonts w:hint="eastAsia" w:eastAsia="方正仿宋简体"/>
          <w:b/>
          <w:sz w:val="32"/>
          <w:szCs w:val="32"/>
          <w:lang w:eastAsia="zh-CN"/>
        </w:rPr>
        <w:t>．</w:t>
      </w:r>
      <w:r>
        <w:rPr>
          <w:rFonts w:hint="eastAsia" w:eastAsia="方正仿宋简体"/>
          <w:b/>
          <w:sz w:val="32"/>
          <w:szCs w:val="32"/>
        </w:rPr>
        <w:t>学校全体学生学业水平合格考试整体通过率达到90%以上，特色学科学生学业水平合格考试通过率达到9</w:t>
      </w:r>
      <w:r>
        <w:rPr>
          <w:rFonts w:eastAsia="方正仿宋简体"/>
          <w:b/>
          <w:sz w:val="32"/>
          <w:szCs w:val="32"/>
        </w:rPr>
        <w:t>5</w:t>
      </w:r>
      <w:r>
        <w:rPr>
          <w:rFonts w:hint="eastAsia" w:eastAsia="方正仿宋简体"/>
          <w:b/>
          <w:sz w:val="32"/>
          <w:szCs w:val="32"/>
        </w:rPr>
        <w:t>%以上。近3年体质健康合格率逐年提升或稳定在较高水平。</w:t>
      </w:r>
    </w:p>
    <w:p>
      <w:pPr>
        <w:spacing w:line="580" w:lineRule="exact"/>
        <w:ind w:firstLine="643" w:firstLineChars="200"/>
        <w:rPr>
          <w:rFonts w:hint="eastAsia" w:ascii="方正黑体简体" w:eastAsia="方正黑体简体"/>
          <w:b/>
          <w:sz w:val="32"/>
          <w:szCs w:val="32"/>
        </w:rPr>
      </w:pPr>
      <w:r>
        <w:rPr>
          <w:rFonts w:hint="eastAsia" w:ascii="方正黑体简体" w:eastAsia="方正黑体简体"/>
          <w:b/>
          <w:sz w:val="32"/>
          <w:szCs w:val="32"/>
        </w:rPr>
        <w:t>二、课程实施</w:t>
      </w:r>
    </w:p>
    <w:p>
      <w:pPr>
        <w:spacing w:line="580" w:lineRule="exact"/>
        <w:ind w:firstLine="643" w:firstLineChars="200"/>
        <w:rPr>
          <w:rFonts w:eastAsia="方正仿宋简体"/>
          <w:b/>
          <w:sz w:val="32"/>
          <w:szCs w:val="32"/>
        </w:rPr>
      </w:pPr>
      <w:r>
        <w:rPr>
          <w:rFonts w:hint="eastAsia" w:eastAsia="方正仿宋简体"/>
          <w:b/>
          <w:sz w:val="32"/>
          <w:szCs w:val="32"/>
        </w:rPr>
        <w:t>5</w:t>
      </w:r>
      <w:r>
        <w:rPr>
          <w:rFonts w:hint="eastAsia" w:eastAsia="方正仿宋简体"/>
          <w:b/>
          <w:sz w:val="32"/>
          <w:szCs w:val="32"/>
          <w:lang w:eastAsia="zh-CN"/>
        </w:rPr>
        <w:t>．</w:t>
      </w:r>
      <w:r>
        <w:rPr>
          <w:rFonts w:hint="eastAsia" w:eastAsia="方正仿宋简体"/>
          <w:b/>
          <w:sz w:val="32"/>
          <w:szCs w:val="32"/>
        </w:rPr>
        <w:t>开齐开足课程，具有至少1个市级及以上学科基地，承担相应任务。</w:t>
      </w:r>
    </w:p>
    <w:p>
      <w:pPr>
        <w:spacing w:line="580" w:lineRule="exact"/>
        <w:ind w:firstLine="643" w:firstLineChars="200"/>
        <w:rPr>
          <w:rFonts w:eastAsia="方正仿宋简体"/>
          <w:b/>
          <w:sz w:val="32"/>
          <w:szCs w:val="32"/>
        </w:rPr>
      </w:pPr>
      <w:r>
        <w:rPr>
          <w:rFonts w:hint="eastAsia" w:eastAsia="方正仿宋简体"/>
          <w:b/>
          <w:sz w:val="32"/>
          <w:szCs w:val="32"/>
        </w:rPr>
        <w:t>6</w:t>
      </w:r>
      <w:r>
        <w:rPr>
          <w:rFonts w:hint="eastAsia" w:eastAsia="方正仿宋简体"/>
          <w:b/>
          <w:sz w:val="32"/>
          <w:szCs w:val="32"/>
          <w:lang w:eastAsia="zh-CN"/>
        </w:rPr>
        <w:t>．</w:t>
      </w:r>
      <w:r>
        <w:rPr>
          <w:rFonts w:hint="eastAsia" w:eastAsia="方正仿宋简体"/>
          <w:b/>
          <w:sz w:val="32"/>
          <w:szCs w:val="32"/>
        </w:rPr>
        <w:t>制定3年特色学科建设实施方案，形成了相关特色选修课程群。</w:t>
      </w:r>
    </w:p>
    <w:p>
      <w:pPr>
        <w:spacing w:line="580" w:lineRule="exact"/>
        <w:ind w:firstLine="643" w:firstLineChars="200"/>
        <w:rPr>
          <w:rFonts w:eastAsia="方正仿宋简体"/>
          <w:b/>
          <w:sz w:val="32"/>
          <w:szCs w:val="32"/>
        </w:rPr>
      </w:pPr>
      <w:r>
        <w:rPr>
          <w:rFonts w:hint="eastAsia" w:eastAsia="方正仿宋简体"/>
          <w:b/>
          <w:sz w:val="32"/>
          <w:szCs w:val="32"/>
        </w:rPr>
        <w:t>7</w:t>
      </w:r>
      <w:r>
        <w:rPr>
          <w:rFonts w:hint="eastAsia" w:eastAsia="方正仿宋简体"/>
          <w:b/>
          <w:sz w:val="32"/>
          <w:szCs w:val="32"/>
          <w:lang w:eastAsia="zh-CN"/>
        </w:rPr>
        <w:t>．</w:t>
      </w:r>
      <w:r>
        <w:rPr>
          <w:rFonts w:hint="eastAsia" w:eastAsia="方正仿宋简体"/>
          <w:b/>
          <w:sz w:val="32"/>
          <w:szCs w:val="32"/>
        </w:rPr>
        <w:t>2014年以来，特色学科相关研究成果具备以下条件之一：获得过省基础教育教学成果奖二等奖及以上；入选省基础教育教学改革重点项目；获得过市级基础教育教学成果奖一等奖及以上。</w:t>
      </w:r>
    </w:p>
    <w:p>
      <w:pPr>
        <w:spacing w:line="580" w:lineRule="exact"/>
        <w:ind w:firstLine="643" w:firstLineChars="200"/>
        <w:rPr>
          <w:rFonts w:hint="eastAsia" w:ascii="方正黑体简体" w:eastAsia="方正黑体简体"/>
          <w:b/>
          <w:sz w:val="32"/>
          <w:szCs w:val="32"/>
        </w:rPr>
      </w:pPr>
      <w:r>
        <w:rPr>
          <w:rFonts w:hint="eastAsia" w:ascii="方正黑体简体" w:eastAsia="方正黑体简体"/>
          <w:b/>
          <w:sz w:val="32"/>
          <w:szCs w:val="32"/>
        </w:rPr>
        <w:t>三、育人管理</w:t>
      </w:r>
    </w:p>
    <w:p>
      <w:pPr>
        <w:spacing w:line="580" w:lineRule="exact"/>
        <w:ind w:firstLine="643" w:firstLineChars="200"/>
        <w:rPr>
          <w:rFonts w:eastAsia="方正仿宋简体"/>
          <w:b/>
          <w:sz w:val="32"/>
          <w:szCs w:val="32"/>
        </w:rPr>
      </w:pPr>
      <w:r>
        <w:rPr>
          <w:rFonts w:hint="eastAsia" w:eastAsia="方正仿宋简体"/>
          <w:b/>
          <w:sz w:val="32"/>
          <w:szCs w:val="32"/>
        </w:rPr>
        <w:t>8</w:t>
      </w:r>
      <w:r>
        <w:rPr>
          <w:rFonts w:hint="eastAsia" w:eastAsia="方正仿宋简体"/>
          <w:b/>
          <w:sz w:val="32"/>
          <w:szCs w:val="32"/>
          <w:lang w:eastAsia="zh-CN"/>
        </w:rPr>
        <w:t>．</w:t>
      </w:r>
      <w:r>
        <w:rPr>
          <w:rFonts w:hint="eastAsia" w:eastAsia="方正仿宋简体"/>
          <w:b/>
          <w:sz w:val="32"/>
          <w:szCs w:val="32"/>
        </w:rPr>
        <w:t>设有1处及以上与特色课程相关的校外实践基地。</w:t>
      </w:r>
    </w:p>
    <w:p>
      <w:pPr>
        <w:spacing w:line="580" w:lineRule="exact"/>
        <w:ind w:firstLine="643" w:firstLineChars="200"/>
        <w:rPr>
          <w:rFonts w:eastAsia="方正仿宋简体"/>
          <w:b/>
          <w:sz w:val="32"/>
          <w:szCs w:val="32"/>
        </w:rPr>
      </w:pPr>
      <w:r>
        <w:rPr>
          <w:rFonts w:hint="eastAsia" w:eastAsia="方正仿宋简体"/>
          <w:b/>
          <w:sz w:val="32"/>
          <w:szCs w:val="32"/>
        </w:rPr>
        <w:t>9</w:t>
      </w:r>
      <w:r>
        <w:rPr>
          <w:rFonts w:hint="eastAsia" w:eastAsia="方正仿宋简体"/>
          <w:b/>
          <w:sz w:val="32"/>
          <w:szCs w:val="32"/>
          <w:lang w:eastAsia="zh-CN"/>
        </w:rPr>
        <w:t>．</w:t>
      </w:r>
      <w:r>
        <w:rPr>
          <w:rFonts w:hint="eastAsia" w:eastAsia="方正仿宋简体"/>
          <w:b/>
          <w:sz w:val="32"/>
          <w:szCs w:val="32"/>
        </w:rPr>
        <w:t>建立特色学科课程实施体系及相适应的教学、教研、评价等管理机制，建立与高等学校、教科研单位定期沟通、协同育人的体制机制。</w:t>
      </w:r>
    </w:p>
    <w:p>
      <w:pPr>
        <w:spacing w:line="580" w:lineRule="exact"/>
        <w:ind w:firstLine="643" w:firstLineChars="200"/>
        <w:rPr>
          <w:rFonts w:eastAsia="方正仿宋简体"/>
          <w:b/>
          <w:sz w:val="32"/>
          <w:szCs w:val="32"/>
        </w:rPr>
      </w:pPr>
      <w:r>
        <w:rPr>
          <w:rFonts w:hint="eastAsia" w:eastAsia="方正仿宋简体"/>
          <w:b/>
          <w:sz w:val="32"/>
          <w:szCs w:val="32"/>
        </w:rPr>
        <w:t>1</w:t>
      </w:r>
      <w:r>
        <w:rPr>
          <w:rFonts w:eastAsia="方正仿宋简体"/>
          <w:b/>
          <w:sz w:val="32"/>
          <w:szCs w:val="32"/>
        </w:rPr>
        <w:t>0</w:t>
      </w:r>
      <w:r>
        <w:rPr>
          <w:rFonts w:hint="eastAsia" w:eastAsia="方正仿宋简体"/>
          <w:b/>
          <w:sz w:val="32"/>
          <w:szCs w:val="32"/>
          <w:lang w:eastAsia="zh-CN"/>
        </w:rPr>
        <w:t>．</w:t>
      </w:r>
      <w:r>
        <w:rPr>
          <w:rFonts w:hint="eastAsia" w:eastAsia="方正仿宋简体"/>
          <w:b/>
          <w:sz w:val="32"/>
          <w:szCs w:val="32"/>
        </w:rPr>
        <w:t>围绕办学特色，建立学生学分管理、选课走班、综合素质评价、校外实践、学生社团等制度。</w:t>
      </w:r>
    </w:p>
    <w:p>
      <w:pPr>
        <w:spacing w:line="580" w:lineRule="exact"/>
        <w:ind w:firstLine="643" w:firstLineChars="200"/>
        <w:rPr>
          <w:rFonts w:eastAsia="方正仿宋简体"/>
          <w:b/>
          <w:sz w:val="32"/>
          <w:szCs w:val="32"/>
        </w:rPr>
      </w:pPr>
      <w:r>
        <w:rPr>
          <w:rFonts w:hint="eastAsia" w:eastAsia="方正仿宋简体"/>
          <w:b/>
          <w:sz w:val="32"/>
          <w:szCs w:val="32"/>
        </w:rPr>
        <w:t>11</w:t>
      </w:r>
      <w:r>
        <w:rPr>
          <w:rFonts w:hint="eastAsia" w:eastAsia="方正仿宋简体"/>
          <w:b/>
          <w:sz w:val="32"/>
          <w:szCs w:val="32"/>
          <w:lang w:eastAsia="zh-CN"/>
        </w:rPr>
        <w:t>．</w:t>
      </w:r>
      <w:r>
        <w:rPr>
          <w:rFonts w:hint="eastAsia" w:eastAsia="方正仿宋简体"/>
          <w:b/>
          <w:sz w:val="32"/>
          <w:szCs w:val="32"/>
        </w:rPr>
        <w:t>建立与其他学校的协调发展机制，每年承担不少于2次区域教学研讨会、成果推广会或现场观摩会。</w:t>
      </w:r>
    </w:p>
    <w:p>
      <w:pPr>
        <w:spacing w:line="580" w:lineRule="exact"/>
        <w:ind w:firstLine="643" w:firstLineChars="200"/>
        <w:rPr>
          <w:rFonts w:ascii="方正黑体简体" w:eastAsia="方正黑体简体"/>
          <w:b/>
          <w:sz w:val="32"/>
          <w:szCs w:val="32"/>
        </w:rPr>
      </w:pPr>
      <w:r>
        <w:rPr>
          <w:rFonts w:hint="eastAsia" w:ascii="方正黑体简体" w:eastAsia="方正黑体简体"/>
          <w:b/>
          <w:sz w:val="32"/>
          <w:szCs w:val="32"/>
        </w:rPr>
        <w:t>四、支持保障</w:t>
      </w:r>
    </w:p>
    <w:p>
      <w:pPr>
        <w:spacing w:line="580" w:lineRule="exact"/>
        <w:ind w:firstLine="643" w:firstLineChars="200"/>
        <w:rPr>
          <w:rFonts w:eastAsia="方正仿宋简体"/>
          <w:b/>
          <w:sz w:val="32"/>
          <w:szCs w:val="32"/>
        </w:rPr>
      </w:pPr>
      <w:r>
        <w:rPr>
          <w:rFonts w:hint="eastAsia" w:eastAsia="方正仿宋简体"/>
          <w:b/>
          <w:sz w:val="32"/>
          <w:szCs w:val="32"/>
        </w:rPr>
        <w:t>12</w:t>
      </w:r>
      <w:r>
        <w:rPr>
          <w:rFonts w:hint="eastAsia" w:eastAsia="方正仿宋简体"/>
          <w:b/>
          <w:sz w:val="32"/>
          <w:szCs w:val="32"/>
          <w:lang w:eastAsia="zh-CN"/>
        </w:rPr>
        <w:t>．</w:t>
      </w:r>
      <w:r>
        <w:rPr>
          <w:rFonts w:hint="eastAsia" w:eastAsia="方正仿宋简体"/>
          <w:b/>
          <w:sz w:val="32"/>
          <w:szCs w:val="32"/>
        </w:rPr>
        <w:t>生均公用经费拨款标准不低于每生每年1000元。市、县财政安排专门资金支持高中改革发展或特色学校建设。</w:t>
      </w:r>
    </w:p>
    <w:p>
      <w:pPr>
        <w:spacing w:line="580" w:lineRule="exact"/>
        <w:ind w:firstLine="643" w:firstLineChars="200"/>
        <w:rPr>
          <w:rFonts w:eastAsia="方正仿宋简体"/>
          <w:b/>
          <w:sz w:val="32"/>
          <w:szCs w:val="32"/>
        </w:rPr>
      </w:pPr>
      <w:r>
        <w:rPr>
          <w:rFonts w:hint="eastAsia" w:eastAsia="方正仿宋简体"/>
          <w:b/>
          <w:sz w:val="32"/>
          <w:szCs w:val="32"/>
        </w:rPr>
        <w:t>13</w:t>
      </w:r>
      <w:r>
        <w:rPr>
          <w:rFonts w:hint="eastAsia" w:eastAsia="方正仿宋简体"/>
          <w:b/>
          <w:sz w:val="32"/>
          <w:szCs w:val="32"/>
          <w:lang w:eastAsia="zh-CN"/>
        </w:rPr>
        <w:t>．</w:t>
      </w:r>
      <w:r>
        <w:rPr>
          <w:rFonts w:hint="eastAsia" w:eastAsia="方正仿宋简体"/>
          <w:b/>
          <w:sz w:val="32"/>
          <w:szCs w:val="32"/>
        </w:rPr>
        <w:t>围绕办学特色，建有一支以上素质优良、结构合理的特色学科名师工作团队，教师培训成长机制健全。学科团队具有</w:t>
      </w:r>
      <w:r>
        <w:rPr>
          <w:rFonts w:eastAsia="方正仿宋简体"/>
          <w:b/>
          <w:sz w:val="32"/>
          <w:szCs w:val="32"/>
        </w:rPr>
        <w:t>一定数量省、市教学名师、特级教师、学科带头人或高级教师。</w:t>
      </w:r>
      <w:r>
        <w:rPr>
          <w:rFonts w:eastAsia="方正仿宋简体"/>
          <w:b/>
          <w:sz w:val="32"/>
          <w:szCs w:val="32"/>
        </w:rPr>
        <w:br w:type="textWrapping"/>
      </w:r>
    </w:p>
    <w:p>
      <w:pPr>
        <w:spacing w:line="580" w:lineRule="exact"/>
        <w:jc w:val="center"/>
        <w:rPr>
          <w:rFonts w:eastAsia="方正仿宋简体"/>
          <w:b/>
          <w:sz w:val="32"/>
          <w:szCs w:val="32"/>
        </w:rPr>
      </w:pPr>
    </w:p>
    <w:p>
      <w:pPr>
        <w:rPr>
          <w:rFonts w:eastAsia="方正仿宋简体"/>
          <w:b/>
          <w:sz w:val="32"/>
          <w:szCs w:val="32"/>
        </w:rPr>
      </w:pPr>
    </w:p>
    <w:p>
      <w:pPr>
        <w:widowControl/>
        <w:autoSpaceDE w:val="0"/>
        <w:autoSpaceDN w:val="0"/>
        <w:adjustRightInd w:val="0"/>
        <w:spacing w:line="600" w:lineRule="exact"/>
        <w:rPr>
          <w:rFonts w:eastAsia="方正小标宋简体"/>
          <w:b/>
          <w:bCs/>
          <w:kern w:val="0"/>
          <w:sz w:val="44"/>
          <w:szCs w:val="44"/>
        </w:rPr>
      </w:pPr>
    </w:p>
    <w:p>
      <w:pPr>
        <w:widowControl/>
        <w:autoSpaceDE w:val="0"/>
        <w:autoSpaceDN w:val="0"/>
        <w:adjustRightInd w:val="0"/>
        <w:spacing w:line="560" w:lineRule="exact"/>
        <w:jc w:val="center"/>
        <w:rPr>
          <w:rFonts w:eastAsia="方正小标宋简体"/>
          <w:b/>
          <w:bCs/>
          <w:kern w:val="0"/>
          <w:sz w:val="44"/>
          <w:szCs w:val="44"/>
        </w:rPr>
      </w:pPr>
    </w:p>
    <w:p>
      <w:pPr>
        <w:spacing w:line="560" w:lineRule="exact"/>
        <w:rPr>
          <w:rFonts w:ascii="黑体" w:eastAsia="黑体"/>
          <w:b/>
          <w:sz w:val="32"/>
          <w:szCs w:val="32"/>
        </w:rPr>
      </w:pPr>
    </w:p>
    <w:p>
      <w:pPr>
        <w:spacing w:line="560" w:lineRule="exact"/>
        <w:ind w:firstLine="138" w:firstLineChars="49"/>
        <w:rPr>
          <w:rFonts w:eastAsia="仿宋_GB2312"/>
          <w:b/>
          <w:sz w:val="28"/>
          <w:szCs w:val="28"/>
        </w:rPr>
      </w:pPr>
      <w:r>
        <w:rPr>
          <w:rFonts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257800" cy="0"/>
                <wp:effectExtent l="0" t="0" r="0" b="0"/>
                <wp:wrapNone/>
                <wp:docPr id="2" name="直线 18"/>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 o:spid="_x0000_s1026" o:spt="20" style="position:absolute;left:0pt;margin-left:0pt;margin-top:2.2pt;height:0pt;width:414pt;z-index:251660288;mso-width-relative:page;mso-height-relative:page;" filled="f" stroked="t"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cQqs9IA&#10;AAAEAQAADwAAAAAAAAABACAAAAAiAAAAZHJzL2Rvd25yZXYueG1sUEsBAhQAFAAAAAgAh07iQNxc&#10;BJ3sAQAA6gMAAA4AAAAAAAAAAQAgAAAAIQEAAGRycy9lMm9Eb2MueG1sUEsFBgAAAAAGAAYAWQEA&#10;AH8FAAAAAA==&#10;">
                <v:fill on="f" focussize="0,0"/>
                <v:stroke color="#000000" joinstyle="round"/>
                <v:imagedata o:title=""/>
                <o:lock v:ext="edit" aspectratio="f"/>
              </v:line>
            </w:pict>
          </mc:Fallback>
        </mc:AlternateContent>
      </w:r>
      <w:r>
        <w:rPr>
          <w:rFonts w:eastAsia="仿宋_GB2312"/>
          <w:b/>
          <w:sz w:val="28"/>
          <w:szCs w:val="28"/>
        </w:rPr>
        <w:t xml:space="preserve">济宁市教育局办公室      </w:t>
      </w:r>
      <w:r>
        <w:rPr>
          <w:rFonts w:hint="eastAsia" w:eastAsia="仿宋_GB2312"/>
          <w:b/>
          <w:sz w:val="28"/>
          <w:szCs w:val="28"/>
          <w:lang w:eastAsia="zh-CN"/>
        </w:rPr>
        <w:t>主动公开</w:t>
      </w:r>
      <w:r>
        <w:rPr>
          <w:rFonts w:eastAsia="仿宋_GB2312"/>
          <w:b/>
          <w:sz w:val="28"/>
          <w:szCs w:val="28"/>
        </w:rPr>
        <w:t xml:space="preserve">    </w:t>
      </w:r>
      <w:bookmarkStart w:id="0" w:name="_GoBack"/>
      <w:bookmarkEnd w:id="0"/>
      <w:r>
        <w:rPr>
          <w:rFonts w:hint="eastAsia" w:eastAsia="仿宋_GB2312"/>
          <w:b/>
          <w:sz w:val="28"/>
          <w:szCs w:val="28"/>
        </w:rPr>
        <w:t xml:space="preserve">  </w:t>
      </w:r>
      <w:r>
        <w:rPr>
          <w:rFonts w:eastAsia="仿宋_GB2312"/>
          <w:b/>
          <w:sz w:val="28"/>
          <w:szCs w:val="28"/>
        </w:rPr>
        <w:t>20</w:t>
      </w:r>
      <w:r>
        <w:rPr>
          <w:rFonts w:hint="eastAsia" w:eastAsia="仿宋_GB2312"/>
          <w:b/>
          <w:sz w:val="28"/>
          <w:szCs w:val="28"/>
        </w:rPr>
        <w:t>22</w:t>
      </w:r>
      <w:r>
        <w:rPr>
          <w:rFonts w:eastAsia="仿宋_GB2312"/>
          <w:b/>
          <w:sz w:val="28"/>
          <w:szCs w:val="28"/>
        </w:rPr>
        <w:t>年</w:t>
      </w:r>
      <w:r>
        <w:rPr>
          <w:rFonts w:hint="eastAsia" w:eastAsia="仿宋_GB2312"/>
          <w:b/>
          <w:sz w:val="28"/>
          <w:szCs w:val="28"/>
          <w:lang w:val="en-US" w:eastAsia="zh-CN"/>
        </w:rPr>
        <w:t>10</w:t>
      </w:r>
      <w:r>
        <w:rPr>
          <w:rFonts w:eastAsia="仿宋_GB2312"/>
          <w:b/>
          <w:sz w:val="28"/>
          <w:szCs w:val="28"/>
        </w:rPr>
        <w:t>月</w:t>
      </w:r>
      <w:r>
        <w:rPr>
          <w:rFonts w:hint="eastAsia" w:eastAsia="仿宋_GB2312"/>
          <w:b/>
          <w:sz w:val="28"/>
          <w:szCs w:val="28"/>
          <w:lang w:val="en-US" w:eastAsia="zh-CN"/>
        </w:rPr>
        <w:t>27</w:t>
      </w:r>
      <w:r>
        <w:rPr>
          <w:rFonts w:eastAsia="仿宋_GB2312"/>
          <w:b/>
          <w:sz w:val="28"/>
          <w:szCs w:val="28"/>
        </w:rPr>
        <w:t>日印发</w:t>
      </w:r>
    </w:p>
    <w:p>
      <w:pPr>
        <w:spacing w:line="40" w:lineRule="exact"/>
        <w:jc w:val="center"/>
        <w:rPr>
          <w:rFonts w:ascii="仿宋_GB2312" w:eastAsia="仿宋_GB2312"/>
          <w:b/>
          <w:color w:val="000000"/>
          <w:sz w:val="32"/>
          <w:szCs w:val="32"/>
        </w:rPr>
      </w:pPr>
      <w:r>
        <w:rPr>
          <w:rFonts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257800" cy="0"/>
                <wp:effectExtent l="0" t="0" r="0" b="0"/>
                <wp:wrapNone/>
                <wp:docPr id="3" name="直线 19"/>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9" o:spid="_x0000_s1026" o:spt="20" style="position:absolute;left:0pt;margin-left:0pt;margin-top:5pt;height:0pt;width:414pt;z-index:251661312;mso-width-relative:page;mso-height-relative:page;" filled="f" stroked="t" coordsize="21600,21600" o:gfxdata="UEsDBAoAAAAAAIdO4kAAAAAAAAAAAAAAAAAEAAAAZHJzL1BLAwQUAAAACACHTuJAzBynz9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wcp8/S&#10;AAAABgEAAA8AAAAAAAAAAQAgAAAAIgAAAGRycy9kb3ducmV2LnhtbFBLAQIUABQAAAAIAIdO4kBr&#10;Qkwv7QEAAOoDAAAOAAAAAAAAAAEAIAAAACEBAABkcnMvZTJvRG9jLnhtbFBLBQYAAAAABgAGAFkB&#10;AACABQ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7" w:h="16840"/>
      <w:pgMar w:top="1440" w:right="1797" w:bottom="1440" w:left="1797" w:header="851" w:footer="992" w:gutter="0"/>
      <w:pgNumType w:fmt="numberInDash"/>
      <w:cols w:space="720" w:num="1"/>
      <w:docGrid w:type="lines"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仿宋_GB2312" w:eastAsia="仿宋_GB2312"/>
        <w:b/>
        <w:sz w:val="28"/>
        <w:szCs w:val="28"/>
      </w:rPr>
    </w:pPr>
    <w:r>
      <w:rPr>
        <w:rFonts w:hint="eastAsia" w:ascii="仿宋_GB2312" w:eastAsia="仿宋_GB2312"/>
        <w:b/>
        <w:sz w:val="28"/>
        <w:szCs w:val="28"/>
      </w:rPr>
      <w:fldChar w:fldCharType="begin"/>
    </w:r>
    <w:r>
      <w:rPr>
        <w:rStyle w:val="11"/>
        <w:rFonts w:hint="eastAsia" w:ascii="仿宋_GB2312" w:eastAsia="仿宋_GB2312"/>
        <w:b/>
        <w:sz w:val="28"/>
        <w:szCs w:val="28"/>
      </w:rPr>
      <w:instrText xml:space="preserve">PAGE  </w:instrText>
    </w:r>
    <w:r>
      <w:rPr>
        <w:rFonts w:hint="eastAsia" w:ascii="仿宋_GB2312" w:eastAsia="仿宋_GB2312"/>
        <w:b/>
        <w:sz w:val="28"/>
        <w:szCs w:val="28"/>
      </w:rPr>
      <w:fldChar w:fldCharType="separate"/>
    </w:r>
    <w:r>
      <w:rPr>
        <w:rStyle w:val="11"/>
        <w:rFonts w:ascii="仿宋_GB2312" w:eastAsia="仿宋_GB2312"/>
        <w:b/>
        <w:sz w:val="28"/>
        <w:szCs w:val="28"/>
      </w:rPr>
      <w:t>- 1 -</w:t>
    </w:r>
    <w:r>
      <w:rPr>
        <w:rFonts w:hint="eastAsia" w:ascii="仿宋_GB2312" w:eastAsia="仿宋_GB2312"/>
        <w:b/>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44"/>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NjFlZmE5NzQ3NGRiOWU0MGIyNTVhYTk1Nzg2NTQifQ=="/>
  </w:docVars>
  <w:rsids>
    <w:rsidRoot w:val="005747D1"/>
    <w:rsid w:val="00003686"/>
    <w:rsid w:val="00016ECE"/>
    <w:rsid w:val="00022053"/>
    <w:rsid w:val="0003634A"/>
    <w:rsid w:val="000437E7"/>
    <w:rsid w:val="00055A11"/>
    <w:rsid w:val="00083834"/>
    <w:rsid w:val="000B3182"/>
    <w:rsid w:val="000B3383"/>
    <w:rsid w:val="000F7846"/>
    <w:rsid w:val="00107792"/>
    <w:rsid w:val="00124731"/>
    <w:rsid w:val="00126466"/>
    <w:rsid w:val="00127431"/>
    <w:rsid w:val="00130945"/>
    <w:rsid w:val="001333CC"/>
    <w:rsid w:val="001375AA"/>
    <w:rsid w:val="00157849"/>
    <w:rsid w:val="001616D8"/>
    <w:rsid w:val="00176B1E"/>
    <w:rsid w:val="001917A3"/>
    <w:rsid w:val="00196B65"/>
    <w:rsid w:val="001A14DA"/>
    <w:rsid w:val="001A729A"/>
    <w:rsid w:val="001B13D6"/>
    <w:rsid w:val="001C2E7D"/>
    <w:rsid w:val="001D3614"/>
    <w:rsid w:val="001D4D69"/>
    <w:rsid w:val="001E103E"/>
    <w:rsid w:val="001F432A"/>
    <w:rsid w:val="0023615D"/>
    <w:rsid w:val="0024167C"/>
    <w:rsid w:val="00280DCB"/>
    <w:rsid w:val="00294371"/>
    <w:rsid w:val="002C7939"/>
    <w:rsid w:val="002D7D29"/>
    <w:rsid w:val="002E2C7C"/>
    <w:rsid w:val="002F4EFB"/>
    <w:rsid w:val="00311965"/>
    <w:rsid w:val="003125E2"/>
    <w:rsid w:val="00332041"/>
    <w:rsid w:val="00333172"/>
    <w:rsid w:val="00341609"/>
    <w:rsid w:val="00342F82"/>
    <w:rsid w:val="003634B3"/>
    <w:rsid w:val="003817C0"/>
    <w:rsid w:val="003C104F"/>
    <w:rsid w:val="003C2E44"/>
    <w:rsid w:val="003D5312"/>
    <w:rsid w:val="003E377E"/>
    <w:rsid w:val="003F18D7"/>
    <w:rsid w:val="003F5486"/>
    <w:rsid w:val="00400E11"/>
    <w:rsid w:val="00440621"/>
    <w:rsid w:val="004413D6"/>
    <w:rsid w:val="0044372D"/>
    <w:rsid w:val="00454576"/>
    <w:rsid w:val="004748B2"/>
    <w:rsid w:val="00474C00"/>
    <w:rsid w:val="00482F81"/>
    <w:rsid w:val="00487D6F"/>
    <w:rsid w:val="00491C38"/>
    <w:rsid w:val="004A40AB"/>
    <w:rsid w:val="004A5A3B"/>
    <w:rsid w:val="004D6997"/>
    <w:rsid w:val="00515CD6"/>
    <w:rsid w:val="00516A3D"/>
    <w:rsid w:val="00524EAD"/>
    <w:rsid w:val="00547027"/>
    <w:rsid w:val="0055187A"/>
    <w:rsid w:val="0055526E"/>
    <w:rsid w:val="005747D1"/>
    <w:rsid w:val="00581951"/>
    <w:rsid w:val="005B436B"/>
    <w:rsid w:val="005B5027"/>
    <w:rsid w:val="005D2C30"/>
    <w:rsid w:val="005D58A1"/>
    <w:rsid w:val="00612F33"/>
    <w:rsid w:val="006225B8"/>
    <w:rsid w:val="006321FD"/>
    <w:rsid w:val="0063270A"/>
    <w:rsid w:val="00637163"/>
    <w:rsid w:val="006371B9"/>
    <w:rsid w:val="00647E23"/>
    <w:rsid w:val="006501BE"/>
    <w:rsid w:val="00677E8D"/>
    <w:rsid w:val="0069506A"/>
    <w:rsid w:val="006A1D37"/>
    <w:rsid w:val="006B021E"/>
    <w:rsid w:val="006B04E6"/>
    <w:rsid w:val="006B3D99"/>
    <w:rsid w:val="006F2AF9"/>
    <w:rsid w:val="00700464"/>
    <w:rsid w:val="00701692"/>
    <w:rsid w:val="00710E61"/>
    <w:rsid w:val="00712B24"/>
    <w:rsid w:val="00722C0E"/>
    <w:rsid w:val="007465F6"/>
    <w:rsid w:val="00750D75"/>
    <w:rsid w:val="00752C95"/>
    <w:rsid w:val="0077119B"/>
    <w:rsid w:val="007971D2"/>
    <w:rsid w:val="007A6E2F"/>
    <w:rsid w:val="007C2726"/>
    <w:rsid w:val="007C3E2F"/>
    <w:rsid w:val="007C5A7C"/>
    <w:rsid w:val="007D07EC"/>
    <w:rsid w:val="007F2019"/>
    <w:rsid w:val="007F3C49"/>
    <w:rsid w:val="007F760F"/>
    <w:rsid w:val="0080762A"/>
    <w:rsid w:val="008303B7"/>
    <w:rsid w:val="00835664"/>
    <w:rsid w:val="0086735C"/>
    <w:rsid w:val="00870DA1"/>
    <w:rsid w:val="00880863"/>
    <w:rsid w:val="008A725C"/>
    <w:rsid w:val="008B6BC4"/>
    <w:rsid w:val="008C4508"/>
    <w:rsid w:val="008C4C29"/>
    <w:rsid w:val="008D729D"/>
    <w:rsid w:val="008F0448"/>
    <w:rsid w:val="008F37E8"/>
    <w:rsid w:val="00902869"/>
    <w:rsid w:val="00904FC5"/>
    <w:rsid w:val="0091631B"/>
    <w:rsid w:val="00940519"/>
    <w:rsid w:val="0096193E"/>
    <w:rsid w:val="00966F82"/>
    <w:rsid w:val="00983698"/>
    <w:rsid w:val="00990494"/>
    <w:rsid w:val="00990FBA"/>
    <w:rsid w:val="00993E50"/>
    <w:rsid w:val="009955E9"/>
    <w:rsid w:val="009A4318"/>
    <w:rsid w:val="009A6528"/>
    <w:rsid w:val="009A6AA9"/>
    <w:rsid w:val="009D7A59"/>
    <w:rsid w:val="009F6E14"/>
    <w:rsid w:val="009F7081"/>
    <w:rsid w:val="009F724C"/>
    <w:rsid w:val="00A06B93"/>
    <w:rsid w:val="00A36622"/>
    <w:rsid w:val="00A544EE"/>
    <w:rsid w:val="00A5454E"/>
    <w:rsid w:val="00AA5B16"/>
    <w:rsid w:val="00AA5BA4"/>
    <w:rsid w:val="00AE16EE"/>
    <w:rsid w:val="00AE5B92"/>
    <w:rsid w:val="00AE72F6"/>
    <w:rsid w:val="00AF2A11"/>
    <w:rsid w:val="00AF3BAC"/>
    <w:rsid w:val="00B052CB"/>
    <w:rsid w:val="00B258BD"/>
    <w:rsid w:val="00B460BE"/>
    <w:rsid w:val="00B50B79"/>
    <w:rsid w:val="00BA42C3"/>
    <w:rsid w:val="00BD5342"/>
    <w:rsid w:val="00C060F2"/>
    <w:rsid w:val="00C07766"/>
    <w:rsid w:val="00C170A4"/>
    <w:rsid w:val="00C41605"/>
    <w:rsid w:val="00C4700C"/>
    <w:rsid w:val="00C61714"/>
    <w:rsid w:val="00C65565"/>
    <w:rsid w:val="00C73A6B"/>
    <w:rsid w:val="00C9180B"/>
    <w:rsid w:val="00C958AA"/>
    <w:rsid w:val="00CA44A0"/>
    <w:rsid w:val="00CB10F2"/>
    <w:rsid w:val="00CB1CE9"/>
    <w:rsid w:val="00CB1D50"/>
    <w:rsid w:val="00CB31FC"/>
    <w:rsid w:val="00CB6AB2"/>
    <w:rsid w:val="00CC46C9"/>
    <w:rsid w:val="00CD3078"/>
    <w:rsid w:val="00D075FA"/>
    <w:rsid w:val="00D1319D"/>
    <w:rsid w:val="00D31591"/>
    <w:rsid w:val="00D3195F"/>
    <w:rsid w:val="00D414F1"/>
    <w:rsid w:val="00D63A22"/>
    <w:rsid w:val="00D927C5"/>
    <w:rsid w:val="00D962A7"/>
    <w:rsid w:val="00DB59FD"/>
    <w:rsid w:val="00DC315B"/>
    <w:rsid w:val="00DC722C"/>
    <w:rsid w:val="00DD47F0"/>
    <w:rsid w:val="00DF228E"/>
    <w:rsid w:val="00E00048"/>
    <w:rsid w:val="00E2629F"/>
    <w:rsid w:val="00E26629"/>
    <w:rsid w:val="00E33B1E"/>
    <w:rsid w:val="00E52A9C"/>
    <w:rsid w:val="00E73E48"/>
    <w:rsid w:val="00E75566"/>
    <w:rsid w:val="00E801FC"/>
    <w:rsid w:val="00EA5D74"/>
    <w:rsid w:val="00ED1BBE"/>
    <w:rsid w:val="00ED2EB4"/>
    <w:rsid w:val="00EF35F9"/>
    <w:rsid w:val="00EF5E97"/>
    <w:rsid w:val="00F0001C"/>
    <w:rsid w:val="00F14543"/>
    <w:rsid w:val="00F30AF5"/>
    <w:rsid w:val="00F33A91"/>
    <w:rsid w:val="00F46A87"/>
    <w:rsid w:val="00F67BAC"/>
    <w:rsid w:val="00F912EC"/>
    <w:rsid w:val="00FA2B21"/>
    <w:rsid w:val="00FA34A2"/>
    <w:rsid w:val="00FB2FFC"/>
    <w:rsid w:val="00FC1ECE"/>
    <w:rsid w:val="00FF3DC7"/>
    <w:rsid w:val="0229610E"/>
    <w:rsid w:val="0A841D00"/>
    <w:rsid w:val="0CC85BA0"/>
    <w:rsid w:val="107B44D3"/>
    <w:rsid w:val="1285687B"/>
    <w:rsid w:val="13990DFE"/>
    <w:rsid w:val="21B440F4"/>
    <w:rsid w:val="299F30C1"/>
    <w:rsid w:val="2A180DC1"/>
    <w:rsid w:val="30A2765C"/>
    <w:rsid w:val="38243EC5"/>
    <w:rsid w:val="3D397E91"/>
    <w:rsid w:val="3D8EBD4D"/>
    <w:rsid w:val="438D3E54"/>
    <w:rsid w:val="463276BF"/>
    <w:rsid w:val="47A327DF"/>
    <w:rsid w:val="4CA03737"/>
    <w:rsid w:val="598B3729"/>
    <w:rsid w:val="5BC84F05"/>
    <w:rsid w:val="67FF6DFB"/>
    <w:rsid w:val="6F77191C"/>
    <w:rsid w:val="79DF8BE2"/>
    <w:rsid w:val="7DAF5735"/>
    <w:rsid w:val="96FC7ADC"/>
    <w:rsid w:val="AF5D47E5"/>
    <w:rsid w:val="DFFF1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rFonts w:cs="Times New Roman"/>
      <w:b/>
      <w:bCs/>
    </w:rPr>
  </w:style>
  <w:style w:type="character" w:styleId="11">
    <w:name w:val="page number"/>
    <w:basedOn w:val="9"/>
    <w:qFormat/>
    <w:uiPriority w:val="0"/>
  </w:style>
  <w:style w:type="paragraph" w:customStyle="1" w:styleId="12">
    <w:name w:val="Char Char1 Char Char1 Char Char Char Char Char Char"/>
    <w:basedOn w:val="1"/>
    <w:qFormat/>
    <w:uiPriority w:val="0"/>
    <w:pPr>
      <w:widowControl/>
      <w:spacing w:after="160" w:line="240" w:lineRule="exact"/>
      <w:jc w:val="left"/>
    </w:pPr>
    <w:rPr>
      <w:szCs w:val="20"/>
    </w:rPr>
  </w:style>
  <w:style w:type="paragraph" w:styleId="13">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3728</Words>
  <Characters>3773</Characters>
  <Lines>28</Lines>
  <Paragraphs>7</Paragraphs>
  <TotalTime>3</TotalTime>
  <ScaleCrop>false</ScaleCrop>
  <LinksUpToDate>false</LinksUpToDate>
  <CharactersWithSpaces>3794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2022-10-08T18:45:00Z</dcterms:created>
  <dc:creator>微软用户</dc:creator>
  <cp:lastModifiedBy>幸运草</cp:lastModifiedBy>
  <cp:lastPrinted>2022-10-27T03:00:00Z</cp:lastPrinted>
  <dcterms:modified xsi:type="dcterms:W3CDTF">2023-01-18T06:58:46Z</dcterms:modified>
  <dc:title>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45561EAB792346388C9FE75E1B01CCD7</vt:lpwstr>
  </property>
</Properties>
</file>