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Times New Roman"/>
          <w:sz w:val="30"/>
          <w:szCs w:val="30"/>
        </w:rPr>
      </w:pPr>
      <w:r>
        <w:rPr>
          <w:rFonts w:hint="eastAsia" w:ascii="宋体" w:hAnsi="宋体" w:cs="宋体"/>
          <w:sz w:val="30"/>
          <w:szCs w:val="30"/>
        </w:rPr>
        <w:t>职工因“租赁自住住房”提取住房公积金服务指南</w:t>
      </w:r>
    </w:p>
    <w:tbl>
      <w:tblPr>
        <w:tblStyle w:val="4"/>
        <w:tblW w:w="101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776"/>
        <w:gridCol w:w="1639"/>
        <w:gridCol w:w="1515"/>
        <w:gridCol w:w="1275"/>
        <w:gridCol w:w="960"/>
        <w:gridCol w:w="1080"/>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jc w:val="center"/>
        </w:trPr>
        <w:tc>
          <w:tcPr>
            <w:tcW w:w="1264" w:type="dxa"/>
            <w:vAlign w:val="center"/>
          </w:tcPr>
          <w:p>
            <w:pPr>
              <w:jc w:val="center"/>
              <w:rPr>
                <w:rFonts w:ascii="宋体" w:cs="Times New Roman"/>
                <w:sz w:val="21"/>
                <w:szCs w:val="21"/>
              </w:rPr>
            </w:pPr>
            <w:r>
              <w:rPr>
                <w:rFonts w:hint="eastAsia" w:ascii="宋体" w:hAnsi="宋体" w:cs="宋体"/>
                <w:sz w:val="21"/>
                <w:szCs w:val="21"/>
                <w:lang w:eastAsia="zh-CN"/>
              </w:rPr>
              <w:t>事项</w:t>
            </w:r>
            <w:r>
              <w:rPr>
                <w:rFonts w:hint="eastAsia" w:ascii="宋体" w:hAnsi="宋体" w:cs="宋体"/>
                <w:sz w:val="21"/>
                <w:szCs w:val="21"/>
              </w:rPr>
              <w:t>名称</w:t>
            </w:r>
          </w:p>
        </w:tc>
        <w:tc>
          <w:tcPr>
            <w:tcW w:w="8837" w:type="dxa"/>
            <w:gridSpan w:val="7"/>
            <w:vAlign w:val="center"/>
          </w:tcPr>
          <w:p>
            <w:pPr>
              <w:jc w:val="center"/>
              <w:rPr>
                <w:rFonts w:ascii="宋体" w:cs="Times New Roman"/>
                <w:sz w:val="21"/>
                <w:szCs w:val="21"/>
              </w:rPr>
            </w:pPr>
            <w:r>
              <w:rPr>
                <w:rFonts w:hint="eastAsia" w:ascii="宋体" w:hAnsi="宋体" w:cs="宋体"/>
                <w:sz w:val="21"/>
                <w:szCs w:val="21"/>
              </w:rPr>
              <w:t>职工因“租赁自住住房”提取住房公积金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jc w:val="center"/>
        </w:trPr>
        <w:tc>
          <w:tcPr>
            <w:tcW w:w="1264" w:type="dxa"/>
            <w:vAlign w:val="center"/>
          </w:tcPr>
          <w:p>
            <w:pPr>
              <w:jc w:val="center"/>
              <w:rPr>
                <w:rFonts w:hint="eastAsia" w:ascii="宋体" w:eastAsia="宋体" w:cs="Times New Roman"/>
                <w:sz w:val="21"/>
                <w:szCs w:val="21"/>
                <w:lang w:eastAsia="zh-CN"/>
              </w:rPr>
            </w:pPr>
            <w:r>
              <w:rPr>
                <w:rFonts w:hint="eastAsia" w:ascii="宋体" w:hAnsi="宋体" w:cs="宋体"/>
                <w:sz w:val="21"/>
                <w:szCs w:val="21"/>
                <w:lang w:eastAsia="zh-CN"/>
              </w:rPr>
              <w:t>办理依据</w:t>
            </w:r>
          </w:p>
        </w:tc>
        <w:tc>
          <w:tcPr>
            <w:tcW w:w="8837" w:type="dxa"/>
            <w:gridSpan w:val="7"/>
            <w:vAlign w:val="center"/>
          </w:tcPr>
          <w:p>
            <w:pPr>
              <w:widowControl/>
              <w:shd w:val="clear" w:color="auto" w:fill="FFFFFF"/>
              <w:spacing w:line="360" w:lineRule="exact"/>
              <w:ind w:firstLine="420" w:firstLineChars="200"/>
              <w:rPr>
                <w:rFonts w:ascii="宋体" w:hAnsi="Calibri" w:eastAsia="宋体" w:cs="Times New Roman"/>
                <w:kern w:val="2"/>
                <w:sz w:val="21"/>
                <w:szCs w:val="21"/>
                <w:lang w:val="en-US" w:eastAsia="zh-CN" w:bidi="ar-SA"/>
              </w:rPr>
            </w:pPr>
            <w:r>
              <w:rPr>
                <w:rFonts w:hint="eastAsia" w:cs="宋体"/>
                <w:color w:val="000000"/>
                <w:sz w:val="21"/>
                <w:szCs w:val="21"/>
              </w:rPr>
              <w:t>《住房公积金管理条例》</w:t>
            </w:r>
            <w:r>
              <w:rPr>
                <w:rFonts w:hint="eastAsia" w:ascii="宋体" w:hAnsi="宋体"/>
                <w:color w:val="000000"/>
                <w:sz w:val="21"/>
                <w:szCs w:val="21"/>
              </w:rPr>
              <w:t>（国务院令第350号，2002年3月24日公布施行）</w:t>
            </w:r>
            <w:r>
              <w:rPr>
                <w:rFonts w:hint="eastAsia" w:cs="宋体"/>
                <w:color w:val="000000"/>
                <w:sz w:val="21"/>
                <w:szCs w:val="21"/>
              </w:rPr>
              <w:t>第二十四条</w:t>
            </w:r>
            <w:r>
              <w:rPr>
                <w:color w:val="000000"/>
                <w:sz w:val="21"/>
                <w:szCs w:val="21"/>
              </w:rPr>
              <w:t>:</w:t>
            </w:r>
            <w:r>
              <w:rPr>
                <w:rFonts w:hint="eastAsia" w:cs="宋体"/>
                <w:color w:val="000000"/>
                <w:sz w:val="21"/>
                <w:szCs w:val="21"/>
              </w:rPr>
              <w:t>“职工有下列情形之一的，可以提取职工住房公积金账户内的存储余额：</w:t>
            </w:r>
            <w:r>
              <w:rPr>
                <w:color w:val="000000"/>
                <w:sz w:val="21"/>
                <w:szCs w:val="21"/>
              </w:rPr>
              <w:t xml:space="preserve"> </w:t>
            </w:r>
            <w:r>
              <w:rPr>
                <w:rFonts w:hint="eastAsia" w:cs="宋体"/>
                <w:color w:val="000000"/>
                <w:sz w:val="21"/>
                <w:szCs w:val="21"/>
              </w:rPr>
              <w:t>（一）购买、建造、翻建、大修自住住房的；（二）离休、退休的；（三）完全丧失劳动能力，并与单位终止劳动关系的；（四）出境定居的；（五）偿还购房贷款本息的；（六）房租超出家庭工资收入的规定比例的。依照前款第（二）、（三）、（四）项规定，提取职工住房公积金的，应当同时注销职工住房公积金账户。第二十五条：“职工提取住房公积金账户内的存储余额的，所在单位应当予以核实，并出具提取证明。职工应当持提取证明向住房公积金管理中心申请提取住房公积金。住房公积金管理中心应当自受理申请之日起</w:t>
            </w:r>
            <w:r>
              <w:rPr>
                <w:color w:val="000000"/>
                <w:sz w:val="21"/>
                <w:szCs w:val="21"/>
              </w:rPr>
              <w:t>3</w:t>
            </w:r>
            <w:r>
              <w:rPr>
                <w:rFonts w:hint="eastAsia" w:cs="宋体"/>
                <w:color w:val="000000"/>
                <w:sz w:val="21"/>
                <w:szCs w:val="21"/>
              </w:rPr>
              <w:t>日内作出准予提取或者不准提取的决定，并通知申请人；准予提取的，由受委托银行办理支付手续。”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264" w:type="dxa"/>
            <w:vAlign w:val="center"/>
          </w:tcPr>
          <w:p>
            <w:pPr>
              <w:jc w:val="center"/>
              <w:rPr>
                <w:rFonts w:hint="eastAsia" w:ascii="宋体" w:eastAsia="宋体" w:cs="Times New Roman"/>
                <w:sz w:val="21"/>
                <w:szCs w:val="21"/>
                <w:lang w:eastAsia="zh-CN"/>
              </w:rPr>
            </w:pPr>
            <w:r>
              <w:rPr>
                <w:rFonts w:hint="eastAsia" w:ascii="宋体" w:cs="Times New Roman"/>
                <w:sz w:val="21"/>
                <w:szCs w:val="21"/>
                <w:lang w:eastAsia="zh-CN"/>
              </w:rPr>
              <w:t>办理条件</w:t>
            </w:r>
          </w:p>
        </w:tc>
        <w:tc>
          <w:tcPr>
            <w:tcW w:w="8837" w:type="dxa"/>
            <w:gridSpan w:val="7"/>
            <w:vAlign w:val="center"/>
          </w:tcPr>
          <w:p>
            <w:pPr>
              <w:rPr>
                <w:rFonts w:hint="eastAsia" w:ascii="宋体" w:hAnsi="宋体" w:cs="宋体"/>
              </w:rPr>
            </w:pPr>
            <w:r>
              <w:rPr>
                <w:rFonts w:hint="eastAsia" w:ascii="宋体" w:hAnsi="宋体" w:cs="宋体"/>
              </w:rPr>
              <w:t>符合“租赁自住住房”提取条件的本市缴存职工，可申请提取住房公积金。</w:t>
            </w:r>
          </w:p>
          <w:p>
            <w:pPr>
              <w:rPr>
                <w:rFonts w:ascii="宋体" w:cs="Times New Roman"/>
                <w:sz w:val="21"/>
                <w:szCs w:val="21"/>
              </w:rPr>
            </w:pPr>
            <w:r>
              <w:rPr>
                <w:rFonts w:hint="eastAsia" w:ascii="宋体" w:hAnsi="宋体" w:eastAsia="宋体" w:cs="宋体"/>
                <w:sz w:val="21"/>
                <w:szCs w:val="21"/>
                <w:lang w:eastAsia="zh-CN"/>
              </w:rPr>
              <w:t>单缴存</w:t>
            </w:r>
            <w:r>
              <w:rPr>
                <w:rFonts w:hint="default" w:ascii="宋体" w:hAnsi="宋体" w:eastAsia="宋体" w:cs="宋体"/>
                <w:sz w:val="21"/>
                <w:szCs w:val="21"/>
                <w:lang w:val="en-US" w:eastAsia="zh-CN"/>
              </w:rPr>
              <w:t>职工家庭</w:t>
            </w:r>
            <w:r>
              <w:rPr>
                <w:rFonts w:hint="eastAsia" w:ascii="宋体" w:hAnsi="宋体" w:eastAsia="宋体" w:cs="宋体"/>
                <w:sz w:val="21"/>
                <w:szCs w:val="21"/>
                <w:lang w:val="en-US" w:eastAsia="zh-CN"/>
              </w:rPr>
              <w:t>指单身职工或夫妻双方只有一方在济宁连续足额缴存住房公积金且缴存状态正常的家庭</w:t>
            </w:r>
            <w:r>
              <w:rPr>
                <w:rFonts w:hint="eastAsia" w:ascii="宋体" w:hAnsi="宋体" w:cs="宋体"/>
                <w:sz w:val="21"/>
                <w:szCs w:val="21"/>
                <w:lang w:val="en-US" w:eastAsia="zh-CN"/>
              </w:rPr>
              <w:t>，每年</w:t>
            </w:r>
            <w:r>
              <w:rPr>
                <w:rFonts w:hint="default" w:ascii="宋体" w:hAnsi="宋体" w:eastAsia="宋体" w:cs="宋体"/>
                <w:sz w:val="21"/>
                <w:szCs w:val="21"/>
                <w:lang w:val="en-US" w:eastAsia="zh-CN"/>
              </w:rPr>
              <w:t>最高提取金额不超过14400元；双缴存职工家庭</w:t>
            </w:r>
            <w:r>
              <w:rPr>
                <w:rFonts w:hint="eastAsia" w:ascii="宋体" w:hAnsi="宋体" w:eastAsia="宋体" w:cs="宋体"/>
                <w:sz w:val="21"/>
                <w:szCs w:val="21"/>
                <w:lang w:val="en-US" w:eastAsia="zh-CN"/>
              </w:rPr>
              <w:t>指夫妻双方均在济宁连续足额缴存住房公积金且缴存状态正常的家庭</w:t>
            </w:r>
            <w:r>
              <w:rPr>
                <w:rFonts w:hint="eastAsia" w:ascii="宋体" w:hAnsi="宋体" w:cs="宋体"/>
                <w:sz w:val="21"/>
                <w:szCs w:val="21"/>
                <w:lang w:val="en-US" w:eastAsia="zh-CN"/>
              </w:rPr>
              <w:t>，每年</w:t>
            </w:r>
            <w:r>
              <w:rPr>
                <w:rFonts w:hint="default" w:ascii="宋体" w:hAnsi="宋体" w:eastAsia="宋体" w:cs="宋体"/>
                <w:sz w:val="21"/>
                <w:szCs w:val="21"/>
                <w:lang w:val="en-US" w:eastAsia="zh-CN"/>
              </w:rPr>
              <w:t>最高提取金额合计不超过21600元；</w:t>
            </w:r>
            <w:r>
              <w:rPr>
                <w:rFonts w:hint="eastAsia" w:ascii="宋体" w:hAnsi="宋体" w:eastAsia="宋体" w:cs="宋体"/>
                <w:sz w:val="21"/>
                <w:szCs w:val="21"/>
                <w:lang w:val="en-US" w:eastAsia="zh-CN"/>
              </w:rPr>
              <w:t>多子女家庭指养育两个及以上子女的单缴存或双缴存职工家庭</w:t>
            </w:r>
            <w:r>
              <w:rPr>
                <w:rFonts w:hint="eastAsia" w:ascii="宋体" w:hAnsi="宋体" w:cs="宋体"/>
                <w:sz w:val="21"/>
                <w:szCs w:val="21"/>
                <w:lang w:val="en-US" w:eastAsia="zh-CN"/>
              </w:rPr>
              <w:t>，按照实际租金支出提取</w:t>
            </w:r>
            <w:r>
              <w:rPr>
                <w:rFonts w:hint="default" w:ascii="宋体" w:hAnsi="宋体" w:eastAsia="宋体" w:cs="宋体"/>
                <w:sz w:val="21"/>
                <w:szCs w:val="21"/>
                <w:lang w:val="en-US" w:eastAsia="zh-CN"/>
              </w:rPr>
              <w:t>每年最高金额合计不超过24000元</w:t>
            </w:r>
            <w:r>
              <w:rPr>
                <w:rFonts w:hint="eastAsia" w:ascii="宋体" w:hAnsi="宋体" w:eastAsia="宋体" w:cs="宋体"/>
                <w:sz w:val="21"/>
                <w:szCs w:val="21"/>
                <w:lang w:val="en-US" w:eastAsia="zh-CN"/>
              </w:rPr>
              <w:t>。职工连续足额缴存住房公积金须满3个月</w:t>
            </w:r>
            <w:r>
              <w:rPr>
                <w:rFonts w:hint="default"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1264" w:type="dxa"/>
            <w:vMerge w:val="restart"/>
            <w:vAlign w:val="center"/>
          </w:tcPr>
          <w:p>
            <w:pPr>
              <w:jc w:val="center"/>
              <w:rPr>
                <w:rFonts w:ascii="宋体" w:cs="Times New Roman"/>
                <w:sz w:val="21"/>
                <w:szCs w:val="21"/>
              </w:rPr>
            </w:pPr>
            <w:r>
              <w:rPr>
                <w:rFonts w:hint="eastAsia" w:ascii="宋体" w:hAnsi="宋体" w:cs="宋体"/>
                <w:sz w:val="21"/>
                <w:szCs w:val="21"/>
              </w:rPr>
              <w:t>申报材料</w:t>
            </w:r>
          </w:p>
        </w:tc>
        <w:tc>
          <w:tcPr>
            <w:tcW w:w="776" w:type="dxa"/>
            <w:vAlign w:val="center"/>
          </w:tcPr>
          <w:p>
            <w:pPr>
              <w:jc w:val="center"/>
              <w:rPr>
                <w:rFonts w:ascii="宋体" w:cs="Times New Roman"/>
                <w:sz w:val="21"/>
                <w:szCs w:val="21"/>
              </w:rPr>
            </w:pPr>
            <w:r>
              <w:rPr>
                <w:rFonts w:hint="eastAsia" w:ascii="宋体" w:hAnsi="宋体" w:cs="宋体"/>
                <w:sz w:val="21"/>
                <w:szCs w:val="21"/>
              </w:rPr>
              <w:t>序号</w:t>
            </w:r>
          </w:p>
        </w:tc>
        <w:tc>
          <w:tcPr>
            <w:tcW w:w="4429" w:type="dxa"/>
            <w:gridSpan w:val="3"/>
            <w:vAlign w:val="center"/>
          </w:tcPr>
          <w:p>
            <w:pPr>
              <w:jc w:val="center"/>
              <w:rPr>
                <w:rFonts w:ascii="宋体" w:cs="Times New Roman"/>
                <w:sz w:val="21"/>
                <w:szCs w:val="21"/>
              </w:rPr>
            </w:pPr>
            <w:r>
              <w:rPr>
                <w:rFonts w:hint="eastAsia" w:ascii="宋体" w:hAnsi="宋体" w:cs="宋体"/>
                <w:sz w:val="21"/>
                <w:szCs w:val="21"/>
              </w:rPr>
              <w:t>材料名称</w:t>
            </w:r>
          </w:p>
        </w:tc>
        <w:tc>
          <w:tcPr>
            <w:tcW w:w="960" w:type="dxa"/>
            <w:vAlign w:val="center"/>
          </w:tcPr>
          <w:p>
            <w:pPr>
              <w:jc w:val="center"/>
              <w:rPr>
                <w:rFonts w:ascii="宋体" w:cs="Times New Roman"/>
                <w:sz w:val="21"/>
                <w:szCs w:val="21"/>
              </w:rPr>
            </w:pPr>
            <w:r>
              <w:rPr>
                <w:rFonts w:hint="eastAsia" w:ascii="宋体" w:hAnsi="宋体" w:cs="宋体"/>
                <w:sz w:val="21"/>
                <w:szCs w:val="21"/>
              </w:rPr>
              <w:t>是否必须</w:t>
            </w:r>
          </w:p>
        </w:tc>
        <w:tc>
          <w:tcPr>
            <w:tcW w:w="1080" w:type="dxa"/>
            <w:vAlign w:val="center"/>
          </w:tcPr>
          <w:p>
            <w:pPr>
              <w:jc w:val="center"/>
              <w:rPr>
                <w:rFonts w:ascii="宋体" w:cs="Times New Roman"/>
                <w:sz w:val="21"/>
                <w:szCs w:val="21"/>
              </w:rPr>
            </w:pPr>
            <w:r>
              <w:rPr>
                <w:rFonts w:hint="eastAsia" w:ascii="宋体" w:hAnsi="宋体" w:cs="宋体"/>
                <w:sz w:val="21"/>
                <w:szCs w:val="21"/>
              </w:rPr>
              <w:t>份数</w:t>
            </w:r>
          </w:p>
        </w:tc>
        <w:tc>
          <w:tcPr>
            <w:tcW w:w="1592" w:type="dxa"/>
            <w:vAlign w:val="center"/>
          </w:tcPr>
          <w:p>
            <w:pPr>
              <w:jc w:val="center"/>
              <w:rPr>
                <w:rFonts w:ascii="宋体" w:cs="Times New Roman"/>
                <w:sz w:val="21"/>
                <w:szCs w:val="21"/>
              </w:rPr>
            </w:pPr>
            <w:r>
              <w:rPr>
                <w:rFonts w:hint="eastAsia" w:ascii="宋体" w:hAnsi="宋体" w:cs="宋体"/>
                <w:sz w:val="21"/>
                <w:szCs w:val="21"/>
              </w:rPr>
              <w:t>是否需要电子版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264" w:type="dxa"/>
            <w:vMerge w:val="continue"/>
            <w:vAlign w:val="center"/>
          </w:tcPr>
          <w:p>
            <w:pPr>
              <w:jc w:val="center"/>
              <w:rPr>
                <w:rFonts w:ascii="宋体" w:cs="Times New Roman"/>
                <w:sz w:val="21"/>
                <w:szCs w:val="21"/>
              </w:rPr>
            </w:pPr>
          </w:p>
        </w:tc>
        <w:tc>
          <w:tcPr>
            <w:tcW w:w="776" w:type="dxa"/>
            <w:vAlign w:val="center"/>
          </w:tcPr>
          <w:p>
            <w:pPr>
              <w:jc w:val="center"/>
              <w:rPr>
                <w:rFonts w:ascii="宋体" w:hAnsi="Calibri" w:eastAsia="宋体" w:cs="Times New Roman"/>
                <w:kern w:val="2"/>
                <w:sz w:val="21"/>
                <w:szCs w:val="21"/>
                <w:lang w:val="en-US" w:eastAsia="zh-CN" w:bidi="ar-SA"/>
              </w:rPr>
            </w:pPr>
            <w:r>
              <w:rPr>
                <w:rFonts w:ascii="宋体" w:hAnsi="宋体" w:cs="宋体"/>
              </w:rPr>
              <w:t>1</w:t>
            </w:r>
          </w:p>
        </w:tc>
        <w:tc>
          <w:tcPr>
            <w:tcW w:w="4429" w:type="dxa"/>
            <w:gridSpan w:val="3"/>
            <w:vAlign w:val="center"/>
          </w:tcPr>
          <w:p>
            <w:pPr>
              <w:rPr>
                <w:rFonts w:ascii="宋体" w:hAnsi="Calibri" w:eastAsia="宋体" w:cs="Times New Roman"/>
                <w:kern w:val="2"/>
                <w:sz w:val="21"/>
                <w:szCs w:val="21"/>
                <w:lang w:val="en-US" w:eastAsia="zh-CN" w:bidi="ar-SA"/>
              </w:rPr>
            </w:pPr>
            <w:r>
              <w:rPr>
                <w:rFonts w:hint="eastAsia"/>
              </w:rPr>
              <w:t>身份证件（可提供电子证照）</w:t>
            </w:r>
          </w:p>
        </w:tc>
        <w:tc>
          <w:tcPr>
            <w:tcW w:w="960" w:type="dxa"/>
            <w:vAlign w:val="center"/>
          </w:tcPr>
          <w:p>
            <w:pPr>
              <w:jc w:val="center"/>
              <w:rPr>
                <w:rFonts w:ascii="宋体" w:hAnsi="Calibri" w:eastAsia="宋体" w:cs="Times New Roman"/>
                <w:kern w:val="2"/>
                <w:sz w:val="21"/>
                <w:szCs w:val="21"/>
                <w:lang w:val="en-US" w:eastAsia="zh-CN" w:bidi="ar-SA"/>
              </w:rPr>
            </w:pPr>
            <w:r>
              <w:rPr>
                <w:rFonts w:hint="eastAsia" w:ascii="宋体" w:hAnsi="宋体" w:cs="宋体"/>
              </w:rPr>
              <w:t>是</w:t>
            </w:r>
          </w:p>
        </w:tc>
        <w:tc>
          <w:tcPr>
            <w:tcW w:w="1080" w:type="dxa"/>
            <w:vAlign w:val="center"/>
          </w:tcPr>
          <w:p>
            <w:pPr>
              <w:jc w:val="center"/>
              <w:rPr>
                <w:rFonts w:ascii="宋体" w:hAnsi="Calibri" w:eastAsia="宋体" w:cs="Times New Roman"/>
                <w:kern w:val="2"/>
                <w:sz w:val="21"/>
                <w:szCs w:val="21"/>
                <w:lang w:val="en-US" w:eastAsia="zh-CN" w:bidi="ar-SA"/>
              </w:rPr>
            </w:pPr>
            <w:r>
              <w:rPr>
                <w:rFonts w:ascii="宋体" w:hAnsi="宋体" w:cs="宋体"/>
              </w:rPr>
              <w:t>1</w:t>
            </w:r>
          </w:p>
        </w:tc>
        <w:tc>
          <w:tcPr>
            <w:tcW w:w="1592" w:type="dxa"/>
            <w:vAlign w:val="center"/>
          </w:tcPr>
          <w:p>
            <w:pPr>
              <w:jc w:val="center"/>
              <w:rPr>
                <w:rFonts w:ascii="宋体" w:hAnsi="Calibri" w:eastAsia="宋体" w:cs="Times New Roman"/>
                <w:kern w:val="2"/>
                <w:sz w:val="21"/>
                <w:szCs w:val="21"/>
                <w:lang w:val="en-US" w:eastAsia="zh-CN" w:bidi="ar-SA"/>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1264" w:type="dxa"/>
            <w:vMerge w:val="continue"/>
            <w:vAlign w:val="center"/>
          </w:tcPr>
          <w:p>
            <w:pPr>
              <w:jc w:val="center"/>
              <w:rPr>
                <w:rFonts w:ascii="宋体" w:cs="Times New Roman"/>
                <w:sz w:val="21"/>
                <w:szCs w:val="21"/>
              </w:rPr>
            </w:pPr>
          </w:p>
        </w:tc>
        <w:tc>
          <w:tcPr>
            <w:tcW w:w="776" w:type="dxa"/>
            <w:vAlign w:val="center"/>
          </w:tcPr>
          <w:p>
            <w:pPr>
              <w:jc w:val="center"/>
              <w:rPr>
                <w:rFonts w:ascii="宋体" w:hAnsi="Calibri" w:eastAsia="宋体" w:cs="Times New Roman"/>
                <w:kern w:val="2"/>
                <w:sz w:val="21"/>
                <w:szCs w:val="21"/>
                <w:lang w:val="en-US" w:eastAsia="zh-CN" w:bidi="ar-SA"/>
              </w:rPr>
            </w:pPr>
            <w:r>
              <w:rPr>
                <w:rFonts w:ascii="宋体" w:hAnsi="宋体" w:cs="宋体"/>
              </w:rPr>
              <w:t>2</w:t>
            </w:r>
          </w:p>
        </w:tc>
        <w:tc>
          <w:tcPr>
            <w:tcW w:w="4429" w:type="dxa"/>
            <w:gridSpan w:val="3"/>
            <w:vAlign w:val="center"/>
          </w:tcPr>
          <w:p>
            <w:pPr>
              <w:rPr>
                <w:rFonts w:hint="eastAsia" w:ascii="Calibri" w:hAnsi="Calibri" w:eastAsia="宋体" w:cs="Times New Roman"/>
                <w:color w:val="000000"/>
                <w:kern w:val="2"/>
                <w:sz w:val="21"/>
                <w:szCs w:val="21"/>
                <w:shd w:val="clear" w:color="auto" w:fill="FFFFFF"/>
                <w:lang w:val="en-US" w:eastAsia="zh-CN" w:bidi="ar-SA"/>
              </w:rPr>
            </w:pPr>
            <w:r>
              <w:rPr>
                <w:rFonts w:hint="eastAsia"/>
              </w:rPr>
              <w:t>结婚证（可提供电子证照）、</w:t>
            </w:r>
            <w:r>
              <w:rPr>
                <w:rFonts w:hint="eastAsia"/>
                <w:lang w:eastAsia="zh-CN"/>
              </w:rPr>
              <w:t>户口簿</w:t>
            </w:r>
          </w:p>
        </w:tc>
        <w:tc>
          <w:tcPr>
            <w:tcW w:w="960" w:type="dxa"/>
            <w:vAlign w:val="center"/>
          </w:tcPr>
          <w:p>
            <w:pPr>
              <w:jc w:val="center"/>
              <w:rPr>
                <w:rFonts w:ascii="宋体" w:hAnsi="Calibri" w:eastAsia="宋体" w:cs="Times New Roman"/>
                <w:kern w:val="2"/>
                <w:sz w:val="21"/>
                <w:szCs w:val="21"/>
                <w:lang w:val="en-US" w:eastAsia="zh-CN" w:bidi="ar-SA"/>
              </w:rPr>
            </w:pPr>
            <w:r>
              <w:rPr>
                <w:rFonts w:hint="eastAsia" w:ascii="宋体" w:hAnsi="宋体" w:cs="宋体"/>
              </w:rPr>
              <w:t>是</w:t>
            </w:r>
          </w:p>
        </w:tc>
        <w:tc>
          <w:tcPr>
            <w:tcW w:w="1080" w:type="dxa"/>
            <w:vAlign w:val="center"/>
          </w:tcPr>
          <w:p>
            <w:pPr>
              <w:jc w:val="center"/>
              <w:rPr>
                <w:rFonts w:ascii="宋体" w:hAnsi="Calibri" w:eastAsia="宋体" w:cs="Times New Roman"/>
                <w:kern w:val="2"/>
                <w:sz w:val="21"/>
                <w:szCs w:val="21"/>
                <w:lang w:val="en-US" w:eastAsia="zh-CN" w:bidi="ar-SA"/>
              </w:rPr>
            </w:pPr>
            <w:r>
              <w:rPr>
                <w:rFonts w:ascii="宋体" w:hAnsi="宋体" w:cs="宋体"/>
              </w:rPr>
              <w:t>1</w:t>
            </w:r>
          </w:p>
        </w:tc>
        <w:tc>
          <w:tcPr>
            <w:tcW w:w="1592" w:type="dxa"/>
            <w:vAlign w:val="center"/>
          </w:tcPr>
          <w:p>
            <w:pPr>
              <w:jc w:val="center"/>
              <w:rPr>
                <w:rFonts w:ascii="宋体" w:hAnsi="Calibri" w:eastAsia="宋体" w:cs="Times New Roman"/>
                <w:kern w:val="2"/>
                <w:sz w:val="21"/>
                <w:szCs w:val="21"/>
                <w:lang w:val="en-US" w:eastAsia="zh-CN" w:bidi="ar-SA"/>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1264" w:type="dxa"/>
            <w:vMerge w:val="continue"/>
            <w:vAlign w:val="center"/>
          </w:tcPr>
          <w:p>
            <w:pPr>
              <w:jc w:val="center"/>
              <w:rPr>
                <w:rFonts w:ascii="宋体" w:cs="Times New Roman"/>
                <w:sz w:val="21"/>
                <w:szCs w:val="21"/>
              </w:rPr>
            </w:pPr>
          </w:p>
        </w:tc>
        <w:tc>
          <w:tcPr>
            <w:tcW w:w="776" w:type="dxa"/>
            <w:vAlign w:val="center"/>
          </w:tcPr>
          <w:p>
            <w:pPr>
              <w:jc w:val="center"/>
              <w:rPr>
                <w:rFonts w:ascii="宋体" w:hAnsi="Calibri" w:eastAsia="宋体" w:cs="Times New Roman"/>
                <w:kern w:val="2"/>
                <w:sz w:val="21"/>
                <w:szCs w:val="21"/>
                <w:lang w:val="en-US" w:eastAsia="zh-CN" w:bidi="ar-SA"/>
              </w:rPr>
            </w:pPr>
            <w:r>
              <w:rPr>
                <w:rFonts w:ascii="宋体" w:hAnsi="宋体" w:cs="宋体"/>
              </w:rPr>
              <w:t>3</w:t>
            </w:r>
          </w:p>
        </w:tc>
        <w:tc>
          <w:tcPr>
            <w:tcW w:w="4429" w:type="dxa"/>
            <w:gridSpan w:val="3"/>
            <w:vAlign w:val="center"/>
          </w:tcPr>
          <w:p>
            <w:pPr>
              <w:rPr>
                <w:rFonts w:ascii="Calibri" w:hAnsi="Calibri" w:eastAsia="宋体" w:cs="Times New Roman"/>
                <w:color w:val="000000"/>
                <w:kern w:val="2"/>
                <w:sz w:val="21"/>
                <w:szCs w:val="21"/>
                <w:shd w:val="clear" w:color="auto" w:fill="FFFFFF"/>
                <w:lang w:val="en-US" w:eastAsia="zh-CN" w:bidi="ar-SA"/>
              </w:rPr>
            </w:pPr>
            <w:r>
              <w:rPr>
                <w:rFonts w:hint="eastAsia"/>
              </w:rPr>
              <w:t>I类银行储蓄卡或存折</w:t>
            </w:r>
          </w:p>
        </w:tc>
        <w:tc>
          <w:tcPr>
            <w:tcW w:w="960" w:type="dxa"/>
            <w:vAlign w:val="center"/>
          </w:tcPr>
          <w:p>
            <w:pPr>
              <w:jc w:val="center"/>
              <w:rPr>
                <w:rFonts w:ascii="宋体" w:hAnsi="Calibri" w:eastAsia="宋体" w:cs="Times New Roman"/>
                <w:kern w:val="2"/>
                <w:sz w:val="21"/>
                <w:szCs w:val="21"/>
                <w:lang w:val="en-US" w:eastAsia="zh-CN" w:bidi="ar-SA"/>
              </w:rPr>
            </w:pPr>
            <w:r>
              <w:rPr>
                <w:rFonts w:hint="eastAsia" w:ascii="宋体" w:hAnsi="宋体" w:cs="宋体"/>
              </w:rPr>
              <w:t>是</w:t>
            </w:r>
          </w:p>
        </w:tc>
        <w:tc>
          <w:tcPr>
            <w:tcW w:w="1080" w:type="dxa"/>
            <w:vAlign w:val="center"/>
          </w:tcPr>
          <w:p>
            <w:pPr>
              <w:jc w:val="center"/>
              <w:rPr>
                <w:rFonts w:ascii="宋体" w:hAnsi="Calibri" w:eastAsia="宋体" w:cs="Times New Roman"/>
                <w:kern w:val="2"/>
                <w:sz w:val="21"/>
                <w:szCs w:val="21"/>
                <w:lang w:val="en-US" w:eastAsia="zh-CN" w:bidi="ar-SA"/>
              </w:rPr>
            </w:pPr>
            <w:r>
              <w:rPr>
                <w:rFonts w:ascii="宋体" w:hAnsi="宋体" w:cs="宋体"/>
              </w:rPr>
              <w:t>1</w:t>
            </w:r>
          </w:p>
        </w:tc>
        <w:tc>
          <w:tcPr>
            <w:tcW w:w="1592" w:type="dxa"/>
            <w:vAlign w:val="center"/>
          </w:tcPr>
          <w:p>
            <w:pPr>
              <w:jc w:val="center"/>
              <w:rPr>
                <w:rFonts w:ascii="宋体" w:hAnsi="Calibri" w:eastAsia="宋体" w:cs="Times New Roman"/>
                <w:kern w:val="2"/>
                <w:sz w:val="21"/>
                <w:szCs w:val="21"/>
                <w:lang w:val="en-US" w:eastAsia="zh-CN" w:bidi="ar-SA"/>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64" w:type="dxa"/>
            <w:vMerge w:val="continue"/>
            <w:vAlign w:val="center"/>
          </w:tcPr>
          <w:p>
            <w:pPr>
              <w:jc w:val="center"/>
              <w:rPr>
                <w:rFonts w:ascii="宋体" w:cs="Times New Roman"/>
                <w:sz w:val="21"/>
                <w:szCs w:val="21"/>
              </w:rPr>
            </w:pPr>
          </w:p>
        </w:tc>
        <w:tc>
          <w:tcPr>
            <w:tcW w:w="776" w:type="dxa"/>
            <w:vAlign w:val="center"/>
          </w:tcPr>
          <w:p>
            <w:pPr>
              <w:jc w:val="center"/>
              <w:rPr>
                <w:rFonts w:ascii="宋体" w:hAnsi="Calibri" w:eastAsia="宋体" w:cs="Times New Roman"/>
                <w:kern w:val="2"/>
                <w:sz w:val="21"/>
                <w:szCs w:val="21"/>
                <w:lang w:val="en-US" w:eastAsia="zh-CN" w:bidi="ar-SA"/>
              </w:rPr>
            </w:pPr>
            <w:r>
              <w:rPr>
                <w:rFonts w:ascii="宋体" w:hAnsi="宋体" w:cs="宋体"/>
              </w:rPr>
              <w:t>4</w:t>
            </w:r>
          </w:p>
        </w:tc>
        <w:tc>
          <w:tcPr>
            <w:tcW w:w="4429" w:type="dxa"/>
            <w:gridSpan w:val="3"/>
            <w:vAlign w:val="center"/>
          </w:tcPr>
          <w:p>
            <w:pPr>
              <w:rPr>
                <w:rFonts w:ascii="Calibri" w:hAnsi="Calibri" w:eastAsia="宋体" w:cs="Times New Roman"/>
                <w:color w:val="000000"/>
                <w:kern w:val="2"/>
                <w:sz w:val="21"/>
                <w:szCs w:val="21"/>
                <w:lang w:val="en-US" w:eastAsia="zh-CN" w:bidi="ar-SA"/>
              </w:rPr>
            </w:pPr>
            <w:r>
              <w:rPr>
                <w:rFonts w:hint="eastAsia"/>
              </w:rPr>
              <w:t>不动产登记部门出具的夫妻双方的无房证明。单身职工现场签订《个人婚姻状况声明》，离异的还应提供离婚证或加盖民政部门印鉴的离婚协议书或法院判决书。</w:t>
            </w:r>
          </w:p>
        </w:tc>
        <w:tc>
          <w:tcPr>
            <w:tcW w:w="960" w:type="dxa"/>
            <w:vAlign w:val="center"/>
          </w:tcPr>
          <w:p>
            <w:pPr>
              <w:jc w:val="center"/>
              <w:rPr>
                <w:rFonts w:ascii="宋体" w:hAnsi="Calibri" w:eastAsia="宋体" w:cs="Times New Roman"/>
                <w:kern w:val="2"/>
                <w:sz w:val="21"/>
                <w:szCs w:val="21"/>
                <w:lang w:val="en-US" w:eastAsia="zh-CN" w:bidi="ar-SA"/>
              </w:rPr>
            </w:pPr>
            <w:r>
              <w:rPr>
                <w:rFonts w:hint="eastAsia" w:ascii="宋体" w:hAnsi="宋体" w:cs="宋体"/>
              </w:rPr>
              <w:t>是</w:t>
            </w:r>
          </w:p>
        </w:tc>
        <w:tc>
          <w:tcPr>
            <w:tcW w:w="1080" w:type="dxa"/>
            <w:vAlign w:val="center"/>
          </w:tcPr>
          <w:p>
            <w:pPr>
              <w:jc w:val="center"/>
              <w:rPr>
                <w:rFonts w:ascii="宋体" w:hAnsi="Calibri" w:eastAsia="宋体" w:cs="Times New Roman"/>
                <w:kern w:val="2"/>
                <w:sz w:val="21"/>
                <w:szCs w:val="21"/>
                <w:lang w:val="en-US" w:eastAsia="zh-CN" w:bidi="ar-SA"/>
              </w:rPr>
            </w:pPr>
            <w:r>
              <w:rPr>
                <w:rFonts w:ascii="宋体" w:hAnsi="宋体" w:cs="宋体"/>
              </w:rPr>
              <w:t>1</w:t>
            </w:r>
          </w:p>
        </w:tc>
        <w:tc>
          <w:tcPr>
            <w:tcW w:w="1592" w:type="dxa"/>
            <w:vAlign w:val="center"/>
          </w:tcPr>
          <w:p>
            <w:pPr>
              <w:jc w:val="center"/>
              <w:rPr>
                <w:rFonts w:ascii="宋体" w:hAnsi="Calibri" w:eastAsia="宋体" w:cs="Times New Roman"/>
                <w:kern w:val="2"/>
                <w:sz w:val="21"/>
                <w:szCs w:val="21"/>
                <w:lang w:val="en-US" w:eastAsia="zh-CN" w:bidi="ar-SA"/>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64" w:type="dxa"/>
            <w:vMerge w:val="continue"/>
            <w:vAlign w:val="center"/>
          </w:tcPr>
          <w:p>
            <w:pPr>
              <w:jc w:val="center"/>
              <w:rPr>
                <w:rFonts w:ascii="宋体" w:cs="Times New Roman"/>
                <w:sz w:val="21"/>
                <w:szCs w:val="21"/>
              </w:rPr>
            </w:pPr>
          </w:p>
        </w:tc>
        <w:tc>
          <w:tcPr>
            <w:tcW w:w="776" w:type="dxa"/>
            <w:vAlign w:val="center"/>
          </w:tcPr>
          <w:p>
            <w:pPr>
              <w:jc w:val="center"/>
              <w:rPr>
                <w:rFonts w:hint="eastAsia" w:ascii="宋体" w:hAnsi="宋体" w:eastAsia="宋体" w:cs="宋体"/>
                <w:lang w:val="en-US" w:eastAsia="zh-CN"/>
              </w:rPr>
            </w:pPr>
            <w:r>
              <w:rPr>
                <w:rFonts w:hint="eastAsia" w:ascii="宋体" w:hAnsi="宋体" w:cs="宋体"/>
                <w:lang w:val="en-US" w:eastAsia="zh-CN"/>
              </w:rPr>
              <w:t>5</w:t>
            </w:r>
          </w:p>
        </w:tc>
        <w:tc>
          <w:tcPr>
            <w:tcW w:w="4429" w:type="dxa"/>
            <w:gridSpan w:val="3"/>
            <w:vAlign w:val="center"/>
          </w:tcPr>
          <w:p>
            <w:pPr>
              <w:rPr>
                <w:rFonts w:hint="eastAsia"/>
              </w:rPr>
            </w:pPr>
            <w:r>
              <w:rPr>
                <w:rFonts w:hint="default" w:eastAsia="宋体"/>
                <w:lang w:val="en-US" w:eastAsia="zh-CN"/>
              </w:rPr>
              <w:t>多子女家庭还需提供证明亲属关系和子女数量的材料：户口簿或出生医学证明。涉及有离异婚史的，需提供能够说明子女抚养情况的材料：经法院判决离婚的，应提供判决材料；协议离婚的，应提供加盖民政部门印鉴的离婚协议书。</w:t>
            </w:r>
          </w:p>
        </w:tc>
        <w:tc>
          <w:tcPr>
            <w:tcW w:w="960" w:type="dxa"/>
            <w:vAlign w:val="center"/>
          </w:tcPr>
          <w:p>
            <w:pPr>
              <w:jc w:val="center"/>
              <w:rPr>
                <w:rFonts w:hint="eastAsia" w:ascii="宋体" w:hAnsi="Calibri" w:eastAsia="宋体" w:cs="Times New Roman"/>
                <w:kern w:val="2"/>
                <w:sz w:val="21"/>
                <w:szCs w:val="21"/>
                <w:lang w:val="en-US" w:eastAsia="zh-CN" w:bidi="ar-SA"/>
              </w:rPr>
            </w:pPr>
            <w:r>
              <w:rPr>
                <w:rFonts w:hint="eastAsia" w:ascii="宋体" w:hAnsi="宋体" w:cs="宋体"/>
              </w:rPr>
              <w:t>是</w:t>
            </w:r>
          </w:p>
        </w:tc>
        <w:tc>
          <w:tcPr>
            <w:tcW w:w="1080" w:type="dxa"/>
            <w:vAlign w:val="center"/>
          </w:tcPr>
          <w:p>
            <w:pPr>
              <w:jc w:val="center"/>
              <w:rPr>
                <w:rFonts w:ascii="宋体" w:hAnsi="Calibri" w:eastAsia="宋体" w:cs="Times New Roman"/>
                <w:kern w:val="2"/>
                <w:sz w:val="21"/>
                <w:szCs w:val="21"/>
                <w:lang w:val="en-US" w:eastAsia="zh-CN" w:bidi="ar-SA"/>
              </w:rPr>
            </w:pPr>
            <w:r>
              <w:rPr>
                <w:rFonts w:ascii="宋体" w:hAnsi="宋体" w:cs="宋体"/>
              </w:rPr>
              <w:t>1</w:t>
            </w:r>
          </w:p>
        </w:tc>
        <w:tc>
          <w:tcPr>
            <w:tcW w:w="1592" w:type="dxa"/>
            <w:vAlign w:val="center"/>
          </w:tcPr>
          <w:p>
            <w:pPr>
              <w:jc w:val="center"/>
              <w:rPr>
                <w:rFonts w:hint="eastAsia" w:ascii="宋体" w:hAnsi="Calibri" w:eastAsia="宋体" w:cs="Times New Roman"/>
                <w:kern w:val="2"/>
                <w:sz w:val="21"/>
                <w:szCs w:val="21"/>
                <w:lang w:val="en-US" w:eastAsia="zh-CN" w:bidi="ar-SA"/>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jc w:val="center"/>
        </w:trPr>
        <w:tc>
          <w:tcPr>
            <w:tcW w:w="1264" w:type="dxa"/>
            <w:vAlign w:val="center"/>
          </w:tcPr>
          <w:p>
            <w:pPr>
              <w:jc w:val="center"/>
              <w:rPr>
                <w:rFonts w:ascii="宋体" w:cs="Times New Roman"/>
                <w:sz w:val="21"/>
                <w:szCs w:val="21"/>
              </w:rPr>
            </w:pPr>
            <w:r>
              <w:rPr>
                <w:rFonts w:hint="eastAsia" w:ascii="宋体" w:hAnsi="宋体" w:cs="宋体"/>
                <w:sz w:val="21"/>
                <w:szCs w:val="21"/>
              </w:rPr>
              <w:t>办理程序</w:t>
            </w:r>
          </w:p>
        </w:tc>
        <w:tc>
          <w:tcPr>
            <w:tcW w:w="8837" w:type="dxa"/>
            <w:gridSpan w:val="7"/>
            <w:vAlign w:val="center"/>
          </w:tcPr>
          <w:p>
            <w:pPr>
              <w:numPr>
                <w:ilvl w:val="0"/>
                <w:numId w:val="0"/>
              </w:numPr>
              <w:rPr>
                <w:rFonts w:hint="eastAsia" w:ascii="宋体" w:hAnsi="宋体" w:eastAsia="宋体" w:cs="宋体"/>
                <w:sz w:val="21"/>
                <w:szCs w:val="21"/>
                <w:lang w:eastAsia="zh-CN"/>
              </w:rPr>
            </w:pPr>
            <w:r>
              <w:rPr>
                <w:rFonts w:hint="eastAsia" w:ascii="宋体" w:hAnsi="宋体" w:cs="宋体"/>
                <w:sz w:val="21"/>
                <w:szCs w:val="21"/>
                <w:lang w:val="en-US" w:eastAsia="zh-CN"/>
              </w:rPr>
              <w:t>1.</w:t>
            </w:r>
            <w:r>
              <w:rPr>
                <w:rFonts w:hint="eastAsia" w:ascii="宋体" w:hAnsi="宋体" w:cs="宋体"/>
                <w:sz w:val="21"/>
                <w:szCs w:val="21"/>
              </w:rPr>
              <w:t>申请人提报材料至</w:t>
            </w:r>
            <w:r>
              <w:rPr>
                <w:rFonts w:hint="eastAsia" w:ascii="宋体" w:hAnsi="宋体" w:cs="宋体"/>
                <w:sz w:val="21"/>
                <w:szCs w:val="21"/>
                <w:lang w:eastAsia="zh-CN"/>
              </w:rPr>
              <w:t>公积金服务</w:t>
            </w:r>
            <w:r>
              <w:rPr>
                <w:rFonts w:hint="eastAsia" w:ascii="宋体" w:hAnsi="宋体" w:cs="宋体"/>
                <w:sz w:val="21"/>
                <w:szCs w:val="21"/>
              </w:rPr>
              <w:t>窗口</w:t>
            </w:r>
            <w:r>
              <w:rPr>
                <w:rFonts w:hint="eastAsia" w:ascii="宋体" w:hAnsi="宋体" w:cs="宋体"/>
                <w:sz w:val="21"/>
                <w:szCs w:val="21"/>
                <w:lang w:eastAsia="zh-CN"/>
              </w:rPr>
              <w:t>。</w:t>
            </w:r>
          </w:p>
          <w:p>
            <w:pPr>
              <w:numPr>
                <w:ilvl w:val="0"/>
                <w:numId w:val="0"/>
              </w:numPr>
              <w:ind w:left="0" w:leftChars="0" w:firstLine="0" w:firstLineChars="0"/>
              <w:rPr>
                <w:rFonts w:ascii="宋体" w:cs="Times New Roman"/>
                <w:sz w:val="21"/>
                <w:szCs w:val="21"/>
              </w:rPr>
            </w:pPr>
            <w:r>
              <w:rPr>
                <w:rFonts w:hint="eastAsia" w:ascii="宋体" w:hAnsi="宋体" w:cs="宋体"/>
                <w:sz w:val="21"/>
                <w:szCs w:val="21"/>
                <w:lang w:val="en-US" w:eastAsia="zh-CN"/>
              </w:rPr>
              <w:t>2.</w:t>
            </w:r>
            <w:r>
              <w:rPr>
                <w:rFonts w:hint="eastAsia" w:ascii="宋体" w:hAnsi="宋体" w:cs="宋体"/>
                <w:sz w:val="21"/>
                <w:szCs w:val="21"/>
              </w:rPr>
              <w:t>窗口人员受理后立即办理并及时将办理结果告知缴存职工。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jc w:val="center"/>
        </w:trPr>
        <w:tc>
          <w:tcPr>
            <w:tcW w:w="1264" w:type="dxa"/>
            <w:vAlign w:val="center"/>
          </w:tcPr>
          <w:p>
            <w:pPr>
              <w:jc w:val="center"/>
              <w:rPr>
                <w:rFonts w:hint="eastAsia" w:ascii="宋体" w:eastAsia="宋体" w:cs="Times New Roman"/>
                <w:sz w:val="21"/>
                <w:szCs w:val="21"/>
                <w:lang w:eastAsia="zh-CN"/>
              </w:rPr>
            </w:pPr>
            <w:r>
              <w:rPr>
                <w:rFonts w:hint="eastAsia" w:ascii="宋体" w:hAnsi="宋体" w:cs="宋体"/>
                <w:sz w:val="21"/>
                <w:szCs w:val="21"/>
                <w:lang w:eastAsia="zh-CN"/>
              </w:rPr>
              <w:t>办理时限</w:t>
            </w:r>
          </w:p>
        </w:tc>
        <w:tc>
          <w:tcPr>
            <w:tcW w:w="8837" w:type="dxa"/>
            <w:gridSpan w:val="7"/>
            <w:vAlign w:val="center"/>
          </w:tcPr>
          <w:p>
            <w:pPr>
              <w:rPr>
                <w:rFonts w:ascii="宋体" w:cs="Times New Roman"/>
                <w:sz w:val="21"/>
                <w:szCs w:val="21"/>
              </w:rPr>
            </w:pPr>
            <w:r>
              <w:rPr>
                <w:rFonts w:hint="eastAsia" w:ascii="宋体" w:hAnsi="宋体" w:cs="宋体"/>
                <w:color w:val="000000"/>
                <w:kern w:val="0"/>
                <w:sz w:val="21"/>
                <w:szCs w:val="21"/>
                <w:shd w:val="clear" w:color="auto" w:fill="FFFFFF"/>
              </w:rPr>
              <w:t>法定时限</w:t>
            </w:r>
            <w:r>
              <w:rPr>
                <w:rFonts w:hint="eastAsia" w:ascii="宋体" w:hAnsi="宋体" w:cs="宋体"/>
                <w:color w:val="000000"/>
                <w:kern w:val="0"/>
                <w:sz w:val="21"/>
                <w:szCs w:val="21"/>
                <w:shd w:val="clear" w:color="auto" w:fill="FFFFFF"/>
                <w:lang w:eastAsia="zh-CN"/>
              </w:rPr>
              <w:t>：</w:t>
            </w:r>
            <w:r>
              <w:rPr>
                <w:rFonts w:hint="eastAsia" w:asciiTheme="minorEastAsia" w:hAnsiTheme="minorEastAsia" w:cstheme="minorEastAsia"/>
                <w:color w:val="000000"/>
                <w:kern w:val="0"/>
                <w:sz w:val="21"/>
                <w:szCs w:val="21"/>
                <w:lang w:val="en-US" w:eastAsia="zh-CN" w:bidi="ar"/>
              </w:rPr>
              <w:t>手续齐全情况下，不超过3个工作日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jc w:val="center"/>
        </w:trPr>
        <w:tc>
          <w:tcPr>
            <w:tcW w:w="1264" w:type="dxa"/>
            <w:vAlign w:val="center"/>
          </w:tcPr>
          <w:p>
            <w:pPr>
              <w:jc w:val="center"/>
              <w:rPr>
                <w:rFonts w:ascii="宋体" w:cs="Times New Roman"/>
                <w:sz w:val="21"/>
                <w:szCs w:val="21"/>
              </w:rPr>
            </w:pPr>
            <w:r>
              <w:rPr>
                <w:rFonts w:hint="eastAsia" w:ascii="宋体" w:hAnsi="宋体" w:cs="宋体"/>
                <w:sz w:val="21"/>
                <w:szCs w:val="21"/>
              </w:rPr>
              <w:t>承诺时限</w:t>
            </w:r>
          </w:p>
        </w:tc>
        <w:tc>
          <w:tcPr>
            <w:tcW w:w="8837" w:type="dxa"/>
            <w:gridSpan w:val="7"/>
            <w:vAlign w:val="center"/>
          </w:tcPr>
          <w:p>
            <w:pPr>
              <w:rPr>
                <w:rFonts w:ascii="宋体" w:cs="Times New Roman"/>
                <w:sz w:val="21"/>
                <w:szCs w:val="21"/>
              </w:rPr>
            </w:pPr>
            <w:r>
              <w:rPr>
                <w:rFonts w:hint="eastAsia" w:ascii="宋体" w:hAnsi="宋体" w:cs="宋体"/>
                <w:color w:val="000000"/>
                <w:kern w:val="0"/>
                <w:sz w:val="21"/>
                <w:szCs w:val="21"/>
                <w:shd w:val="clear" w:color="auto" w:fill="FFFFFF"/>
                <w:lang w:val="en-US" w:eastAsia="zh-CN"/>
              </w:rPr>
              <w:t>3个工作日，</w:t>
            </w:r>
            <w:r>
              <w:rPr>
                <w:rFonts w:hint="eastAsia" w:ascii="宋体" w:hAnsi="宋体" w:cs="宋体"/>
                <w:color w:val="000000"/>
                <w:kern w:val="0"/>
                <w:sz w:val="21"/>
                <w:szCs w:val="21"/>
                <w:shd w:val="clear" w:color="auto" w:fill="FFFFFF"/>
              </w:rPr>
              <w:t>符合条件的即时办理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jc w:val="center"/>
        </w:trPr>
        <w:tc>
          <w:tcPr>
            <w:tcW w:w="1264" w:type="dxa"/>
            <w:vAlign w:val="center"/>
          </w:tcPr>
          <w:p>
            <w:pPr>
              <w:jc w:val="center"/>
              <w:rPr>
                <w:rFonts w:ascii="宋体" w:cs="Times New Roman"/>
                <w:sz w:val="21"/>
                <w:szCs w:val="21"/>
              </w:rPr>
            </w:pPr>
            <w:r>
              <w:rPr>
                <w:rFonts w:hint="eastAsia" w:ascii="宋体" w:hAnsi="宋体" w:cs="宋体"/>
                <w:sz w:val="21"/>
                <w:szCs w:val="21"/>
              </w:rPr>
              <w:t>收费标准</w:t>
            </w:r>
          </w:p>
        </w:tc>
        <w:tc>
          <w:tcPr>
            <w:tcW w:w="8837" w:type="dxa"/>
            <w:gridSpan w:val="7"/>
            <w:vAlign w:val="center"/>
          </w:tcPr>
          <w:p>
            <w:pPr>
              <w:rPr>
                <w:rFonts w:ascii="宋体" w:cs="Times New Roman"/>
                <w:sz w:val="21"/>
                <w:szCs w:val="21"/>
              </w:rPr>
            </w:pPr>
            <w:r>
              <w:rPr>
                <w:rFonts w:hint="eastAsia" w:ascii="宋体" w:hAnsi="宋体" w:cs="宋体"/>
                <w:sz w:val="21"/>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jc w:val="center"/>
        </w:trPr>
        <w:tc>
          <w:tcPr>
            <w:tcW w:w="1264" w:type="dxa"/>
            <w:vAlign w:val="center"/>
          </w:tcPr>
          <w:p>
            <w:pPr>
              <w:jc w:val="center"/>
              <w:rPr>
                <w:rFonts w:hint="eastAsia" w:ascii="宋体" w:eastAsia="宋体" w:cs="Times New Roman"/>
                <w:sz w:val="21"/>
                <w:szCs w:val="21"/>
                <w:lang w:eastAsia="zh-CN"/>
              </w:rPr>
            </w:pPr>
            <w:r>
              <w:rPr>
                <w:rFonts w:hint="eastAsia" w:ascii="宋体" w:hAnsi="宋体" w:cs="宋体"/>
                <w:sz w:val="21"/>
                <w:szCs w:val="21"/>
                <w:lang w:eastAsia="zh-CN"/>
              </w:rPr>
              <w:t>收费依据</w:t>
            </w:r>
          </w:p>
        </w:tc>
        <w:tc>
          <w:tcPr>
            <w:tcW w:w="8837" w:type="dxa"/>
            <w:gridSpan w:val="7"/>
            <w:vAlign w:val="center"/>
          </w:tcPr>
          <w:p>
            <w:pPr>
              <w:rPr>
                <w:rFonts w:hint="eastAsia" w:ascii="宋体" w:eastAsia="宋体" w:cs="Times New Roman"/>
                <w:sz w:val="21"/>
                <w:szCs w:val="21"/>
                <w:lang w:eastAsia="zh-CN"/>
              </w:rPr>
            </w:pPr>
            <w:r>
              <w:rPr>
                <w:rFonts w:hint="eastAsia" w:ascii="宋体" w:hAnsi="宋体" w:cs="宋体"/>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jc w:val="center"/>
        </w:trPr>
        <w:tc>
          <w:tcPr>
            <w:tcW w:w="1264" w:type="dxa"/>
            <w:vAlign w:val="center"/>
          </w:tcPr>
          <w:p>
            <w:pPr>
              <w:jc w:val="center"/>
              <w:rPr>
                <w:rFonts w:ascii="宋体" w:cs="Times New Roman"/>
                <w:sz w:val="21"/>
                <w:szCs w:val="21"/>
              </w:rPr>
            </w:pPr>
            <w:r>
              <w:rPr>
                <w:rFonts w:hint="eastAsia" w:ascii="宋体" w:hAnsi="宋体" w:cs="宋体"/>
                <w:sz w:val="21"/>
                <w:szCs w:val="21"/>
              </w:rPr>
              <w:t>咨询电话</w:t>
            </w:r>
          </w:p>
        </w:tc>
        <w:tc>
          <w:tcPr>
            <w:tcW w:w="2415" w:type="dxa"/>
            <w:gridSpan w:val="2"/>
            <w:vAlign w:val="center"/>
          </w:tcPr>
          <w:p>
            <w:pPr>
              <w:rPr>
                <w:rFonts w:ascii="宋体" w:cs="Times New Roman"/>
                <w:sz w:val="21"/>
                <w:szCs w:val="21"/>
              </w:rPr>
            </w:pPr>
            <w:r>
              <w:rPr>
                <w:rFonts w:ascii="宋体" w:hAnsi="宋体" w:cs="宋体"/>
                <w:sz w:val="21"/>
                <w:szCs w:val="21"/>
              </w:rPr>
              <w:t>0537-12329</w:t>
            </w:r>
          </w:p>
        </w:tc>
        <w:tc>
          <w:tcPr>
            <w:tcW w:w="1515" w:type="dxa"/>
            <w:vAlign w:val="center"/>
          </w:tcPr>
          <w:p>
            <w:pPr>
              <w:rPr>
                <w:rFonts w:ascii="宋体" w:cs="Times New Roman"/>
                <w:sz w:val="21"/>
                <w:szCs w:val="21"/>
              </w:rPr>
            </w:pPr>
            <w:r>
              <w:rPr>
                <w:rFonts w:hint="eastAsia" w:ascii="宋体" w:hAnsi="宋体" w:cs="宋体"/>
                <w:sz w:val="21"/>
                <w:szCs w:val="21"/>
                <w:lang w:eastAsia="zh-CN"/>
              </w:rPr>
              <w:t>监督</w:t>
            </w:r>
            <w:r>
              <w:rPr>
                <w:rFonts w:hint="eastAsia" w:ascii="宋体" w:hAnsi="宋体" w:cs="宋体"/>
                <w:sz w:val="21"/>
                <w:szCs w:val="21"/>
              </w:rPr>
              <w:t>投诉电话</w:t>
            </w:r>
          </w:p>
        </w:tc>
        <w:tc>
          <w:tcPr>
            <w:tcW w:w="4907" w:type="dxa"/>
            <w:gridSpan w:val="4"/>
            <w:vAlign w:val="center"/>
          </w:tcPr>
          <w:p>
            <w:pPr>
              <w:rPr>
                <w:rFonts w:ascii="宋体" w:cs="Times New Roman"/>
                <w:sz w:val="21"/>
                <w:szCs w:val="21"/>
              </w:rPr>
            </w:pPr>
            <w:r>
              <w:rPr>
                <w:rFonts w:ascii="宋体" w:hAnsi="宋体" w:cs="宋体"/>
                <w:sz w:val="21"/>
                <w:szCs w:val="21"/>
              </w:rPr>
              <w:t>0537-12329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jc w:val="center"/>
        </w:trPr>
        <w:tc>
          <w:tcPr>
            <w:tcW w:w="1264" w:type="dxa"/>
            <w:vAlign w:val="center"/>
          </w:tcPr>
          <w:p>
            <w:pPr>
              <w:rPr>
                <w:rFonts w:hint="eastAsia" w:ascii="宋体" w:hAnsi="宋体" w:eastAsia="宋体" w:cs="宋体"/>
                <w:sz w:val="21"/>
                <w:szCs w:val="21"/>
                <w:lang w:eastAsia="zh-CN"/>
              </w:rPr>
            </w:pPr>
            <w:r>
              <w:rPr>
                <w:rFonts w:hint="eastAsia" w:ascii="宋体" w:hAnsi="宋体" w:eastAsia="宋体" w:cs="宋体"/>
                <w:kern w:val="2"/>
                <w:sz w:val="21"/>
                <w:szCs w:val="21"/>
                <w:lang w:val="en-US" w:eastAsia="zh-CN" w:bidi="ar-SA"/>
              </w:rPr>
              <w:t>评价渠道</w:t>
            </w:r>
          </w:p>
        </w:tc>
        <w:tc>
          <w:tcPr>
            <w:tcW w:w="8837" w:type="dxa"/>
            <w:gridSpan w:val="7"/>
            <w:vAlign w:val="center"/>
          </w:tcPr>
          <w:p>
            <w:pPr>
              <w:rPr>
                <w:rFonts w:hint="eastAsia" w:ascii="宋体" w:hAnsi="宋体" w:eastAsia="宋体" w:cs="宋体"/>
                <w:sz w:val="21"/>
                <w:szCs w:val="21"/>
                <w:lang w:eastAsia="zh-CN"/>
              </w:rPr>
            </w:pPr>
            <w:r>
              <w:rPr>
                <w:rFonts w:hint="eastAsia" w:ascii="宋体" w:hAnsi="宋体" w:eastAsia="宋体" w:cs="宋体"/>
                <w:kern w:val="2"/>
                <w:sz w:val="21"/>
                <w:szCs w:val="21"/>
                <w:lang w:val="en-US" w:eastAsia="zh-CN" w:bidi="ar-SA"/>
              </w:rPr>
              <w:t>现场评价、济宁政务服务网评价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jc w:val="center"/>
        </w:trPr>
        <w:tc>
          <w:tcPr>
            <w:tcW w:w="1264" w:type="dxa"/>
            <w:vAlign w:val="center"/>
          </w:tcPr>
          <w:p>
            <w:pPr>
              <w:rPr>
                <w:rFonts w:hint="eastAsia" w:ascii="宋体" w:hAnsi="宋体" w:cs="宋体"/>
                <w:sz w:val="21"/>
                <w:szCs w:val="21"/>
                <w:lang w:eastAsia="zh-CN"/>
              </w:rPr>
            </w:pPr>
            <w:r>
              <w:rPr>
                <w:rFonts w:hint="eastAsia" w:ascii="宋体" w:hAnsi="宋体" w:eastAsia="宋体" w:cs="宋体"/>
                <w:kern w:val="2"/>
                <w:sz w:val="21"/>
                <w:szCs w:val="21"/>
                <w:lang w:val="en-US" w:eastAsia="zh-CN" w:bidi="ar-SA"/>
              </w:rPr>
              <w:t>救济渠道</w:t>
            </w:r>
          </w:p>
        </w:tc>
        <w:tc>
          <w:tcPr>
            <w:tcW w:w="8837" w:type="dxa"/>
            <w:gridSpan w:val="7"/>
            <w:vAlign w:val="center"/>
          </w:tcPr>
          <w:p>
            <w:pPr>
              <w:rPr>
                <w:rFonts w:ascii="宋体" w:hAnsi="宋体" w:cs="宋体"/>
                <w:sz w:val="21"/>
                <w:szCs w:val="21"/>
              </w:rPr>
            </w:pPr>
            <w:r>
              <w:rPr>
                <w:rFonts w:hint="eastAsia" w:ascii="宋体" w:hAnsi="宋体" w:eastAsia="宋体" w:cs="宋体"/>
                <w:kern w:val="2"/>
                <w:sz w:val="21"/>
                <w:szCs w:val="21"/>
                <w:lang w:val="en-US" w:eastAsia="zh-CN" w:bidi="ar-SA"/>
              </w:rPr>
              <w:t>向济宁市人民政府行政复议办公室提起行政复议，向济宁市中级人民法院太白湖新区审判庭提起行政诉讼</w:t>
            </w:r>
          </w:p>
        </w:tc>
      </w:tr>
    </w:tbl>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0226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022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rPr>
                              <w:rFonts w:hint="eastAsia"/>
                              <w:lang w:val="en-US" w:eastAsia="zh-CN"/>
                            </w:rPr>
                            <w:t>28</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23.8pt;mso-position-horizontal:center;mso-position-horizontal-relative:margin;z-index:251658240;mso-width-relative:page;mso-height-relative:page;" filled="f" stroked="f" coordsize="21600,21600" o:gfxdata="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Yiczz1AAAAAQBAAAPAAAA&#10;AAAAAAEAIAAAACIAAABkcnMvZG93bnJldi54bWxQSwECFAAUAAAACACHTuJAwlRhzRkCAAAUBAAA&#10;DgAAAAAAAAABACAAAAAjAQAAZHJzL2Uyb0RvYy54bWxQSwUGAAAAAAYABgBZAQAArgUAAAAA&#10;">
              <v:fill on="f" focussize="0,0"/>
              <v:stroke on="f" weight="0.5pt"/>
              <v:imagedata o:title=""/>
              <o:lock v:ext="edit" aspectratio="f"/>
              <v:textbox inset="0mm,0mm,0mm,0mm" style="mso-fit-shape-to-text:t;">
                <w:txbxContent>
                  <w:p>
                    <w:pPr>
                      <w:pStyle w:val="2"/>
                      <w:rPr>
                        <w:rFonts w:hint="default" w:eastAsia="宋体"/>
                        <w:lang w:val="en-US" w:eastAsia="zh-CN"/>
                      </w:rPr>
                    </w:pPr>
                    <w:r>
                      <w:rPr>
                        <w:rFonts w:hint="eastAsia"/>
                        <w:lang w:val="en-US" w:eastAsia="zh-CN"/>
                      </w:rPr>
                      <w:t>28</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A7F25"/>
    <w:rsid w:val="07F43337"/>
    <w:rsid w:val="0FE8389C"/>
    <w:rsid w:val="14342E74"/>
    <w:rsid w:val="167C0FE4"/>
    <w:rsid w:val="1D194E54"/>
    <w:rsid w:val="216C17FB"/>
    <w:rsid w:val="249B68BA"/>
    <w:rsid w:val="27411DAF"/>
    <w:rsid w:val="2E1407BB"/>
    <w:rsid w:val="2E401D8A"/>
    <w:rsid w:val="385D3CCF"/>
    <w:rsid w:val="39806B14"/>
    <w:rsid w:val="39873367"/>
    <w:rsid w:val="47174F1A"/>
    <w:rsid w:val="47EA7F25"/>
    <w:rsid w:val="69AA08B1"/>
    <w:rsid w:val="6B426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2020-06-23T02:59:00Z</dcterms:created>
  <dc:creator>萌啊萌</dc:creator>
  <cp:lastModifiedBy>一叶翩鸿</cp:lastModifiedBy>
  <cp:lastPrinted>2021-04-15T08:37:00Z</cp:lastPrinted>
  <dcterms:modified xsi:type="dcterms:W3CDTF">2023-01-31T09:18:17Z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