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color w:val="auto"/>
          <w:sz w:val="36"/>
          <w:szCs w:val="3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36"/>
          <w:szCs w:val="36"/>
        </w:rPr>
      </w:pPr>
      <w:r>
        <w:rPr>
          <w:rStyle w:val="5"/>
          <w:color w:val="auto"/>
          <w:spacing w:val="0"/>
          <w:sz w:val="36"/>
          <w:szCs w:val="36"/>
        </w:rPr>
        <w:t>济宁市建立健全职工基本医疗保险门诊共济保障机制实施细则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auto"/>
          <w:sz w:val="21"/>
          <w:szCs w:val="21"/>
        </w:rPr>
      </w:pPr>
      <w:r>
        <w:rPr>
          <w:color w:val="auto"/>
          <w:sz w:val="22"/>
          <w:szCs w:val="22"/>
        </w:rPr>
        <w:t>近日，《济宁</w:t>
      </w:r>
      <w:r>
        <w:rPr>
          <w:rFonts w:ascii="微软雅黑" w:hAnsi="微软雅黑" w:eastAsia="微软雅黑" w:cs="微软雅黑"/>
          <w:color w:val="auto"/>
          <w:sz w:val="22"/>
          <w:szCs w:val="22"/>
        </w:rPr>
        <w:t>市人民政府办公室关于印发济宁市建立健全职工基本医疗保险门诊共济保障机制实施细则的通知》（济政办发〔2022〕13号）发</w:t>
      </w:r>
      <w:r>
        <w:rPr>
          <w:color w:val="auto"/>
          <w:sz w:val="22"/>
          <w:szCs w:val="22"/>
        </w:rPr>
        <w:t>布。该实施细则自2023年1月1日起施行，有效期至2027年12月31日。</w:t>
      </w:r>
      <w:bookmarkStart w:id="0" w:name="_GoBack"/>
      <w:bookmarkEnd w:id="0"/>
    </w:p>
    <w:p>
      <w:pPr>
        <w:keepNext w:val="0"/>
        <w:keepLines w:val="0"/>
        <w:widowControl/>
        <w:suppressLineNumbers w:val="0"/>
        <w:jc w:val="left"/>
        <w:rPr>
          <w:color w:va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Style w:val="5"/>
          <w:rFonts w:hint="eastAsia" w:ascii="微软雅黑" w:hAnsi="微软雅黑" w:eastAsia="微软雅黑" w:cs="微软雅黑"/>
          <w:color w:val="auto"/>
          <w:sz w:val="22"/>
          <w:szCs w:val="22"/>
        </w:rPr>
        <w:t>实施范围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rPr>
      </w:pPr>
      <w:r>
        <w:rPr>
          <w:color w:val="auto"/>
          <w:sz w:val="22"/>
          <w:szCs w:val="22"/>
        </w:rPr>
        <w:t>职工基本医疗保险门诊共济保障机制适用于全市所有参加城镇职工基本医疗保险的在职职工和退休人员。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p>
    <w:p>
      <w:pPr>
        <w:keepNext w:val="0"/>
        <w:keepLines w:val="0"/>
        <w:widowControl/>
        <w:suppressLineNumbers w:val="0"/>
        <w:jc w:val="left"/>
        <w:rPr>
          <w:color w:va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Style w:val="5"/>
          <w:color w:val="auto"/>
          <w:sz w:val="22"/>
          <w:szCs w:val="22"/>
        </w:rPr>
        <w:t>待遇政策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pacing w:val="15"/>
        </w:rPr>
      </w:pPr>
      <w:r>
        <w:rPr>
          <w:rStyle w:val="5"/>
          <w:color w:val="auto"/>
          <w:spacing w:val="15"/>
          <w:sz w:val="22"/>
          <w:szCs w:val="22"/>
        </w:rPr>
        <w:t>全面落实职工普通门诊统筹待遇支付政策</w:t>
      </w:r>
    </w:p>
    <w:p>
      <w:pPr>
        <w:keepNext w:val="0"/>
        <w:keepLines w:val="0"/>
        <w:widowControl/>
        <w:suppressLineNumbers w:val="0"/>
        <w:jc w:val="left"/>
        <w:rPr>
          <w:color w:va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sz w:val="21"/>
          <w:szCs w:val="21"/>
        </w:rPr>
      </w:pPr>
      <w:r>
        <w:rPr>
          <w:rStyle w:val="5"/>
          <w:color w:val="auto"/>
          <w:sz w:val="22"/>
          <w:szCs w:val="22"/>
        </w:rPr>
        <w:t>1.起付标准。</w:t>
      </w:r>
      <w:r>
        <w:rPr>
          <w:color w:val="auto"/>
          <w:sz w:val="22"/>
          <w:szCs w:val="22"/>
        </w:rPr>
        <w:t>一个自然年度内，职工医保门诊统筹累计计算起付标准。</w:t>
      </w:r>
      <w:r>
        <w:rPr>
          <w:rStyle w:val="5"/>
          <w:color w:val="auto"/>
          <w:sz w:val="22"/>
          <w:szCs w:val="22"/>
        </w:rPr>
        <w:t>参保人员在一、二、三级医疗机构门诊就医，医疗保险统筹基金支付的起付标准分别为100元、200元、300元。</w:t>
      </w:r>
      <w:r>
        <w:rPr>
          <w:color w:val="auto"/>
          <w:sz w:val="22"/>
          <w:szCs w:val="22"/>
        </w:rPr>
        <w:t>参保人员在一、二、三级医疗机构门诊就医，职工医保普通门诊统筹起付标准实行累计补差计算。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sz w:val="21"/>
          <w:szCs w:val="21"/>
        </w:rPr>
      </w:pPr>
      <w:r>
        <w:rPr>
          <w:rStyle w:val="5"/>
          <w:color w:val="auto"/>
          <w:sz w:val="22"/>
          <w:szCs w:val="22"/>
        </w:rPr>
        <w:t>2.支付比例。</w:t>
      </w:r>
      <w:r>
        <w:rPr>
          <w:color w:val="auto"/>
          <w:sz w:val="22"/>
          <w:szCs w:val="22"/>
        </w:rPr>
        <w:t>参保人员普通门诊发生的政策范围内医疗费用，在起付标准以上至最高支付限额以下的部分，</w:t>
      </w:r>
      <w:r>
        <w:rPr>
          <w:rStyle w:val="5"/>
          <w:color w:val="auto"/>
          <w:sz w:val="22"/>
          <w:szCs w:val="22"/>
        </w:rPr>
        <w:t>在职职工</w:t>
      </w:r>
      <w:r>
        <w:rPr>
          <w:color w:val="auto"/>
          <w:sz w:val="22"/>
          <w:szCs w:val="22"/>
        </w:rPr>
        <w:t>在一、二、三级医疗机构的</w:t>
      </w:r>
      <w:r>
        <w:rPr>
          <w:rStyle w:val="5"/>
          <w:color w:val="auto"/>
          <w:sz w:val="22"/>
          <w:szCs w:val="22"/>
        </w:rPr>
        <w:t>基金支付比例分别为70%、60%、50%</w:t>
      </w:r>
      <w:r>
        <w:rPr>
          <w:color w:val="auto"/>
          <w:sz w:val="22"/>
          <w:szCs w:val="22"/>
        </w:rPr>
        <w:t>；</w:t>
      </w:r>
      <w:r>
        <w:rPr>
          <w:rStyle w:val="5"/>
          <w:color w:val="auto"/>
          <w:sz w:val="22"/>
          <w:szCs w:val="22"/>
        </w:rPr>
        <w:t>退休人员</w:t>
      </w:r>
      <w:r>
        <w:rPr>
          <w:color w:val="auto"/>
          <w:sz w:val="22"/>
          <w:szCs w:val="22"/>
        </w:rPr>
        <w:t>在一、二、三级医疗机构的基金</w:t>
      </w:r>
      <w:r>
        <w:rPr>
          <w:rStyle w:val="5"/>
          <w:color w:val="auto"/>
          <w:sz w:val="22"/>
          <w:szCs w:val="22"/>
        </w:rPr>
        <w:t>支付比例分别为75%、65%、55%。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sz w:val="22"/>
          <w:szCs w:val="22"/>
        </w:rPr>
      </w:pPr>
      <w:r>
        <w:rPr>
          <w:rStyle w:val="5"/>
          <w:color w:val="auto"/>
          <w:sz w:val="22"/>
          <w:szCs w:val="22"/>
        </w:rPr>
        <w:t>3.最高支付限额。</w:t>
      </w:r>
      <w:r>
        <w:rPr>
          <w:color w:val="auto"/>
          <w:sz w:val="22"/>
          <w:szCs w:val="22"/>
        </w:rPr>
        <w:t>一个自然年度内，参保人员发生的政策范围内普通门诊医疗费用，</w:t>
      </w:r>
      <w:r>
        <w:rPr>
          <w:rStyle w:val="5"/>
          <w:color w:val="auto"/>
          <w:sz w:val="22"/>
          <w:szCs w:val="22"/>
        </w:rPr>
        <w:t>医疗保险统筹基金的最高支付限额为2000元</w:t>
      </w:r>
      <w:r>
        <w:rPr>
          <w:color w:val="auto"/>
          <w:sz w:val="22"/>
          <w:szCs w:val="22"/>
        </w:rPr>
        <w:t>，随个人账户改革分布到位，逐步提高普通门诊医保支付限额。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color w:val="auto"/>
          <w:sz w:val="30"/>
          <w:szCs w:val="30"/>
        </w:rPr>
      </w:pPr>
      <w:r>
        <w:rPr>
          <w:b/>
          <w:bCs/>
          <w:color w:val="auto"/>
          <w:sz w:val="30"/>
          <w:szCs w:val="30"/>
        </w:rPr>
        <w:t>济宁市职工基本医疗保险门诊统筹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30"/>
          <w:szCs w:val="30"/>
        </w:rPr>
      </w:pPr>
      <w:r>
        <w:rPr>
          <w:rStyle w:val="5"/>
          <w:color w:val="auto"/>
          <w:sz w:val="30"/>
          <w:szCs w:val="30"/>
        </w:rPr>
        <w:t>待遇支付政策明细表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rPr>
          <w:color w:val="auto"/>
        </w:rPr>
      </w:pPr>
      <w:r>
        <w:rPr>
          <w:rStyle w:val="6"/>
          <w:i/>
          <w:iCs/>
          <w:color w:val="auto"/>
          <w:sz w:val="18"/>
          <w:szCs w:val="18"/>
        </w:rPr>
        <w:t>一个自然年度内最高支付限额2000元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pacing w:val="15"/>
          <w:sz w:val="21"/>
          <w:szCs w:val="21"/>
        </w:rPr>
      </w:pPr>
    </w:p>
    <w:tbl>
      <w:tblPr>
        <w:tblStyle w:val="3"/>
        <w:tblW w:w="9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20"/>
        <w:gridCol w:w="2428"/>
        <w:gridCol w:w="2428"/>
        <w:gridCol w:w="2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000" w:type="dxa"/>
            <w:tcBorders>
              <w:top w:val="dashed" w:color="BDBDBD" w:sz="6" w:space="0"/>
              <w:left w:val="dashed" w:color="BDBDBD" w:sz="6" w:space="0"/>
              <w:bottom w:val="dashed" w:color="BDBDBD" w:sz="6" w:space="0"/>
              <w:right w:val="dashed" w:color="BDBDB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75" w:beforeAutospacing="0" w:after="75" w:afterAutospacing="0"/>
              <w:ind w:left="150" w:right="150"/>
              <w:jc w:val="left"/>
              <w:rPr>
                <w:color w:val="auto"/>
              </w:rPr>
            </w:pPr>
            <w:r>
              <w:rPr>
                <w:rFonts w:ascii="宋体" w:hAnsi="宋体" w:eastAsia="宋体" w:cs="宋体"/>
                <w:color w:val="auto"/>
                <w:spacing w:val="0"/>
                <w:kern w:val="0"/>
                <w:sz w:val="21"/>
                <w:szCs w:val="21"/>
                <w:lang w:val="en-US" w:eastAsia="zh-CN" w:bidi="ar"/>
              </w:rPr>
              <w:t>项目名称</w:t>
            </w:r>
          </w:p>
        </w:tc>
        <w:tc>
          <w:tcPr>
            <w:tcW w:w="6000" w:type="dxa"/>
            <w:tcBorders>
              <w:top w:val="dashed" w:color="BDBDBD" w:sz="6" w:space="0"/>
              <w:left w:val="dashed" w:color="BDBDBD" w:sz="6" w:space="0"/>
              <w:bottom w:val="dashed" w:color="BDBDBD" w:sz="6" w:space="0"/>
              <w:right w:val="dashed" w:color="BDBDBD" w:sz="6"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rPr>
                <w:color w:val="auto"/>
              </w:rPr>
            </w:pPr>
            <w:r>
              <w:rPr>
                <w:rStyle w:val="5"/>
                <w:color w:val="auto"/>
                <w:spacing w:val="0"/>
                <w:sz w:val="21"/>
                <w:szCs w:val="21"/>
              </w:rPr>
              <w:t>一级</w:t>
            </w:r>
            <w:r>
              <w:rPr>
                <w:rStyle w:val="5"/>
                <w:color w:val="auto"/>
                <w:spacing w:val="0"/>
                <w:sz w:val="21"/>
                <w:szCs w:val="21"/>
              </w:rPr>
              <w:br w:type="textWrapping"/>
            </w:r>
            <w:r>
              <w:rPr>
                <w:rStyle w:val="5"/>
                <w:color w:val="auto"/>
                <w:spacing w:val="0"/>
                <w:sz w:val="21"/>
                <w:szCs w:val="21"/>
              </w:rPr>
              <w:t>医疗机构</w:t>
            </w:r>
          </w:p>
        </w:tc>
        <w:tc>
          <w:tcPr>
            <w:tcW w:w="6000" w:type="dxa"/>
            <w:tcBorders>
              <w:top w:val="dashed" w:color="BDBDBD" w:sz="6" w:space="0"/>
              <w:left w:val="dashed" w:color="BDBDBD" w:sz="6" w:space="0"/>
              <w:bottom w:val="dashed" w:color="BDBDBD" w:sz="6" w:space="0"/>
              <w:right w:val="dashed" w:color="BDBDBD" w:sz="6"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rPr>
                <w:color w:val="auto"/>
              </w:rPr>
            </w:pPr>
            <w:r>
              <w:rPr>
                <w:rStyle w:val="5"/>
                <w:color w:val="auto"/>
                <w:spacing w:val="0"/>
                <w:sz w:val="21"/>
                <w:szCs w:val="21"/>
              </w:rPr>
              <w:t>二级</w:t>
            </w:r>
            <w:r>
              <w:rPr>
                <w:rStyle w:val="5"/>
                <w:color w:val="auto"/>
                <w:spacing w:val="0"/>
                <w:sz w:val="21"/>
                <w:szCs w:val="21"/>
              </w:rPr>
              <w:br w:type="textWrapping"/>
            </w:r>
            <w:r>
              <w:rPr>
                <w:rStyle w:val="5"/>
                <w:color w:val="auto"/>
                <w:spacing w:val="0"/>
                <w:sz w:val="21"/>
                <w:szCs w:val="21"/>
              </w:rPr>
              <w:t>医疗机构</w:t>
            </w:r>
          </w:p>
        </w:tc>
        <w:tc>
          <w:tcPr>
            <w:tcW w:w="6000" w:type="dxa"/>
            <w:tcBorders>
              <w:top w:val="dashed" w:color="BDBDBD" w:sz="6" w:space="0"/>
              <w:left w:val="dashed" w:color="BDBDBD" w:sz="6" w:space="0"/>
              <w:bottom w:val="dashed" w:color="BDBDBD" w:sz="6" w:space="0"/>
              <w:right w:val="dashed" w:color="BDBDBD" w:sz="6"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rPr>
                <w:color w:val="auto"/>
              </w:rPr>
            </w:pPr>
            <w:r>
              <w:rPr>
                <w:rStyle w:val="5"/>
                <w:color w:val="auto"/>
                <w:spacing w:val="0"/>
                <w:sz w:val="21"/>
                <w:szCs w:val="21"/>
              </w:rPr>
              <w:t>三级</w:t>
            </w:r>
            <w:r>
              <w:rPr>
                <w:rStyle w:val="5"/>
                <w:color w:val="auto"/>
                <w:spacing w:val="0"/>
                <w:sz w:val="21"/>
                <w:szCs w:val="21"/>
              </w:rPr>
              <w:br w:type="textWrapping"/>
            </w:r>
            <w:r>
              <w:rPr>
                <w:rStyle w:val="5"/>
                <w:color w:val="auto"/>
                <w:spacing w:val="0"/>
                <w:sz w:val="21"/>
                <w:szCs w:val="21"/>
              </w:rPr>
              <w:t>医疗机构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000" w:type="dxa"/>
            <w:tcBorders>
              <w:top w:val="dashed" w:color="BDBDBD" w:sz="6" w:space="0"/>
              <w:left w:val="dashed" w:color="BDBDBD" w:sz="6" w:space="0"/>
              <w:bottom w:val="dashed" w:color="BDBDBD" w:sz="6" w:space="0"/>
              <w:right w:val="dashed" w:color="BDBDBD" w:sz="6"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auto"/>
                <w:spacing w:val="15"/>
              </w:rPr>
            </w:pPr>
            <w:r>
              <w:rPr>
                <w:color w:val="auto"/>
                <w:spacing w:val="15"/>
                <w:sz w:val="21"/>
                <w:szCs w:val="21"/>
              </w:rPr>
              <w:t>起付标准</w:t>
            </w:r>
          </w:p>
        </w:tc>
        <w:tc>
          <w:tcPr>
            <w:tcW w:w="6000" w:type="dxa"/>
            <w:tcBorders>
              <w:top w:val="dashed" w:color="BDBDBD" w:sz="6" w:space="0"/>
              <w:left w:val="dashed" w:color="BDBDBD" w:sz="6" w:space="0"/>
              <w:bottom w:val="dashed" w:color="BDBDBD" w:sz="6" w:space="0"/>
              <w:right w:val="dashed" w:color="BDBDB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75" w:beforeAutospacing="0" w:after="75" w:afterAutospacing="0"/>
              <w:ind w:left="150" w:right="150"/>
              <w:jc w:val="left"/>
              <w:rPr>
                <w:color w:val="auto"/>
              </w:rPr>
            </w:pPr>
            <w:r>
              <w:rPr>
                <w:rStyle w:val="5"/>
                <w:rFonts w:ascii="宋体" w:hAnsi="宋体" w:eastAsia="宋体" w:cs="宋体"/>
                <w:color w:val="auto"/>
                <w:kern w:val="0"/>
                <w:sz w:val="22"/>
                <w:szCs w:val="22"/>
                <w:lang w:val="en-US" w:eastAsia="zh-CN" w:bidi="ar"/>
              </w:rPr>
              <w:t>100</w:t>
            </w:r>
          </w:p>
        </w:tc>
        <w:tc>
          <w:tcPr>
            <w:tcW w:w="6000" w:type="dxa"/>
            <w:tcBorders>
              <w:top w:val="dashed" w:color="BDBDBD" w:sz="6" w:space="0"/>
              <w:left w:val="dashed" w:color="BDBDBD" w:sz="6" w:space="0"/>
              <w:bottom w:val="dashed" w:color="BDBDBD" w:sz="6" w:space="0"/>
              <w:right w:val="dashed" w:color="BDBDB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75" w:beforeAutospacing="0" w:after="75" w:afterAutospacing="0"/>
              <w:ind w:left="150" w:right="150"/>
              <w:jc w:val="left"/>
              <w:rPr>
                <w:color w:val="auto"/>
              </w:rPr>
            </w:pPr>
            <w:r>
              <w:rPr>
                <w:rStyle w:val="5"/>
                <w:rFonts w:ascii="宋体" w:hAnsi="宋体" w:eastAsia="宋体" w:cs="宋体"/>
                <w:color w:val="auto"/>
                <w:spacing w:val="0"/>
                <w:kern w:val="0"/>
                <w:sz w:val="22"/>
                <w:szCs w:val="22"/>
                <w:lang w:val="en-US" w:eastAsia="zh-CN" w:bidi="ar"/>
              </w:rPr>
              <w:t>200</w:t>
            </w:r>
          </w:p>
        </w:tc>
        <w:tc>
          <w:tcPr>
            <w:tcW w:w="6000" w:type="dxa"/>
            <w:tcBorders>
              <w:top w:val="dashed" w:color="BDBDBD" w:sz="6" w:space="0"/>
              <w:left w:val="dashed" w:color="BDBDBD" w:sz="6" w:space="0"/>
              <w:bottom w:val="dashed" w:color="BDBDBD" w:sz="6" w:space="0"/>
              <w:right w:val="dashed" w:color="BDBDB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75" w:beforeAutospacing="0" w:after="75" w:afterAutospacing="0"/>
              <w:ind w:left="150" w:right="150"/>
              <w:jc w:val="left"/>
              <w:rPr>
                <w:color w:val="auto"/>
              </w:rPr>
            </w:pPr>
            <w:r>
              <w:rPr>
                <w:rStyle w:val="5"/>
                <w:rFonts w:ascii="宋体" w:hAnsi="宋体" w:eastAsia="宋体" w:cs="宋体"/>
                <w:color w:val="auto"/>
                <w:kern w:val="0"/>
                <w:sz w:val="22"/>
                <w:szCs w:val="22"/>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000" w:type="dxa"/>
            <w:tcBorders>
              <w:top w:val="dashed" w:color="BDBDBD" w:sz="6" w:space="0"/>
              <w:left w:val="dashed" w:color="BDBDBD" w:sz="6" w:space="0"/>
              <w:bottom w:val="dashed" w:color="BDBDBD" w:sz="6" w:space="0"/>
              <w:right w:val="dashed" w:color="BDBDBD" w:sz="6" w:space="0"/>
            </w:tcBorders>
            <w:shd w:val="clear" w:color="auto" w:fill="auto"/>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auto"/>
              </w:rPr>
            </w:pPr>
            <w:r>
              <w:rPr>
                <w:color w:val="auto"/>
                <w:spacing w:val="0"/>
                <w:sz w:val="21"/>
                <w:szCs w:val="21"/>
              </w:rPr>
              <w:t>在职职工</w:t>
            </w:r>
          </w:p>
          <w:p>
            <w:pPr>
              <w:keepNext w:val="0"/>
              <w:keepLines w:val="0"/>
              <w:widowControl/>
              <w:suppressLineNumbers w:val="0"/>
              <w:wordWrap w:val="0"/>
              <w:spacing w:before="75" w:beforeAutospacing="0" w:after="75" w:afterAutospacing="0"/>
              <w:ind w:left="150" w:right="150"/>
              <w:jc w:val="left"/>
              <w:rPr>
                <w:color w:val="auto"/>
              </w:rPr>
            </w:pPr>
            <w:r>
              <w:rPr>
                <w:rFonts w:ascii="宋体" w:hAnsi="宋体" w:eastAsia="宋体" w:cs="宋体"/>
                <w:color w:val="auto"/>
                <w:spacing w:val="0"/>
                <w:kern w:val="0"/>
                <w:sz w:val="21"/>
                <w:szCs w:val="21"/>
                <w:lang w:val="en-US" w:eastAsia="zh-CN" w:bidi="ar"/>
              </w:rPr>
              <w:t>报销比例</w:t>
            </w:r>
          </w:p>
        </w:tc>
        <w:tc>
          <w:tcPr>
            <w:tcW w:w="6000" w:type="dxa"/>
            <w:tcBorders>
              <w:top w:val="dashed" w:color="BDBDBD" w:sz="6" w:space="0"/>
              <w:left w:val="dashed" w:color="BDBDBD" w:sz="6" w:space="0"/>
              <w:bottom w:val="dashed" w:color="BDBDBD" w:sz="6" w:space="0"/>
              <w:right w:val="dashed" w:color="BDBDB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75" w:beforeAutospacing="0" w:after="75" w:afterAutospacing="0"/>
              <w:ind w:left="150" w:right="150"/>
              <w:jc w:val="left"/>
              <w:rPr>
                <w:color w:val="auto"/>
              </w:rPr>
            </w:pPr>
            <w:r>
              <w:rPr>
                <w:rStyle w:val="5"/>
                <w:rFonts w:ascii="宋体" w:hAnsi="宋体" w:eastAsia="宋体" w:cs="宋体"/>
                <w:color w:val="auto"/>
                <w:kern w:val="0"/>
                <w:sz w:val="22"/>
                <w:szCs w:val="22"/>
                <w:lang w:val="en-US" w:eastAsia="zh-CN" w:bidi="ar"/>
              </w:rPr>
              <w:t>70%</w:t>
            </w:r>
          </w:p>
        </w:tc>
        <w:tc>
          <w:tcPr>
            <w:tcW w:w="6000" w:type="dxa"/>
            <w:tcBorders>
              <w:top w:val="dashed" w:color="BDBDBD" w:sz="6" w:space="0"/>
              <w:left w:val="dashed" w:color="BDBDBD" w:sz="6" w:space="0"/>
              <w:bottom w:val="dashed" w:color="BDBDBD" w:sz="6" w:space="0"/>
              <w:right w:val="dashed" w:color="BDBDB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75" w:beforeAutospacing="0" w:after="75" w:afterAutospacing="0"/>
              <w:ind w:left="150" w:right="150"/>
              <w:jc w:val="left"/>
              <w:rPr>
                <w:color w:val="auto"/>
              </w:rPr>
            </w:pPr>
            <w:r>
              <w:rPr>
                <w:rStyle w:val="5"/>
                <w:rFonts w:ascii="宋体" w:hAnsi="宋体" w:eastAsia="宋体" w:cs="宋体"/>
                <w:color w:val="auto"/>
                <w:kern w:val="0"/>
                <w:sz w:val="22"/>
                <w:szCs w:val="22"/>
                <w:lang w:val="en-US" w:eastAsia="zh-CN" w:bidi="ar"/>
              </w:rPr>
              <w:t>60%</w:t>
            </w:r>
          </w:p>
        </w:tc>
        <w:tc>
          <w:tcPr>
            <w:tcW w:w="6000" w:type="dxa"/>
            <w:tcBorders>
              <w:top w:val="dashed" w:color="BDBDBD" w:sz="6" w:space="0"/>
              <w:left w:val="dashed" w:color="BDBDBD" w:sz="6" w:space="0"/>
              <w:bottom w:val="dashed" w:color="BDBDBD" w:sz="6" w:space="0"/>
              <w:right w:val="dashed" w:color="BDBDB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75" w:beforeAutospacing="0" w:after="75" w:afterAutospacing="0"/>
              <w:ind w:left="150" w:right="150"/>
              <w:jc w:val="left"/>
              <w:rPr>
                <w:color w:val="auto"/>
              </w:rPr>
            </w:pPr>
            <w:r>
              <w:rPr>
                <w:rStyle w:val="5"/>
                <w:rFonts w:ascii="宋体" w:hAnsi="宋体" w:eastAsia="宋体" w:cs="宋体"/>
                <w:color w:val="auto"/>
                <w:kern w:val="0"/>
                <w:sz w:val="22"/>
                <w:szCs w:val="22"/>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000" w:type="dxa"/>
            <w:tcBorders>
              <w:top w:val="dashed" w:color="BDBDBD" w:sz="6" w:space="0"/>
              <w:left w:val="dashed" w:color="BDBDBD" w:sz="6" w:space="0"/>
              <w:bottom w:val="dashed" w:color="BDBDBD" w:sz="6" w:space="0"/>
              <w:right w:val="dashed" w:color="BDBDB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75" w:beforeAutospacing="0" w:after="75" w:afterAutospacing="0"/>
              <w:ind w:left="150" w:right="150"/>
              <w:jc w:val="left"/>
              <w:rPr>
                <w:color w:val="auto"/>
              </w:rPr>
            </w:pPr>
            <w:r>
              <w:rPr>
                <w:rFonts w:ascii="宋体" w:hAnsi="宋体" w:eastAsia="宋体" w:cs="宋体"/>
                <w:color w:val="auto"/>
                <w:kern w:val="0"/>
                <w:sz w:val="21"/>
                <w:szCs w:val="21"/>
                <w:lang w:val="en-US" w:eastAsia="zh-CN" w:bidi="ar"/>
              </w:rPr>
              <w:t>退休</w:t>
            </w:r>
            <w:r>
              <w:rPr>
                <w:rFonts w:ascii="宋体" w:hAnsi="宋体" w:eastAsia="宋体" w:cs="宋体"/>
                <w:color w:val="auto"/>
                <w:spacing w:val="0"/>
                <w:kern w:val="0"/>
                <w:sz w:val="21"/>
                <w:szCs w:val="21"/>
                <w:lang w:val="en-US" w:eastAsia="zh-CN" w:bidi="ar"/>
              </w:rPr>
              <w:t>职工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auto"/>
              </w:rPr>
            </w:pPr>
            <w:r>
              <w:rPr>
                <w:color w:val="auto"/>
                <w:spacing w:val="0"/>
                <w:sz w:val="21"/>
                <w:szCs w:val="21"/>
              </w:rPr>
              <w:t>报销比例</w:t>
            </w:r>
          </w:p>
        </w:tc>
        <w:tc>
          <w:tcPr>
            <w:tcW w:w="6000" w:type="dxa"/>
            <w:tcBorders>
              <w:top w:val="dashed" w:color="BDBDBD" w:sz="6" w:space="0"/>
              <w:left w:val="dashed" w:color="BDBDBD" w:sz="6" w:space="0"/>
              <w:bottom w:val="dashed" w:color="BDBDBD" w:sz="6" w:space="0"/>
              <w:right w:val="dashed" w:color="BDBDB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75" w:beforeAutospacing="0" w:after="75" w:afterAutospacing="0"/>
              <w:ind w:left="150" w:right="150"/>
              <w:jc w:val="left"/>
              <w:rPr>
                <w:color w:val="auto"/>
              </w:rPr>
            </w:pPr>
            <w:r>
              <w:rPr>
                <w:rStyle w:val="5"/>
                <w:rFonts w:ascii="宋体" w:hAnsi="宋体" w:eastAsia="宋体" w:cs="宋体"/>
                <w:color w:val="auto"/>
                <w:kern w:val="0"/>
                <w:sz w:val="22"/>
                <w:szCs w:val="22"/>
                <w:lang w:val="en-US" w:eastAsia="zh-CN" w:bidi="ar"/>
              </w:rPr>
              <w:t>75%</w:t>
            </w:r>
          </w:p>
        </w:tc>
        <w:tc>
          <w:tcPr>
            <w:tcW w:w="6000" w:type="dxa"/>
            <w:tcBorders>
              <w:top w:val="dashed" w:color="BDBDBD" w:sz="6" w:space="0"/>
              <w:left w:val="dashed" w:color="BDBDBD" w:sz="6" w:space="0"/>
              <w:bottom w:val="dashed" w:color="BDBDBD" w:sz="6" w:space="0"/>
              <w:right w:val="dashed" w:color="BDBDB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75" w:beforeAutospacing="0" w:after="75" w:afterAutospacing="0"/>
              <w:ind w:left="150" w:right="150"/>
              <w:jc w:val="left"/>
              <w:rPr>
                <w:color w:val="auto"/>
              </w:rPr>
            </w:pPr>
            <w:r>
              <w:rPr>
                <w:rStyle w:val="5"/>
                <w:rFonts w:ascii="宋体" w:hAnsi="宋体" w:eastAsia="宋体" w:cs="宋体"/>
                <w:color w:val="auto"/>
                <w:kern w:val="0"/>
                <w:sz w:val="22"/>
                <w:szCs w:val="22"/>
                <w:lang w:val="en-US" w:eastAsia="zh-CN" w:bidi="ar"/>
              </w:rPr>
              <w:t>65%</w:t>
            </w:r>
          </w:p>
        </w:tc>
        <w:tc>
          <w:tcPr>
            <w:tcW w:w="6000" w:type="dxa"/>
            <w:tcBorders>
              <w:top w:val="dashed" w:color="BDBDBD" w:sz="6" w:space="0"/>
              <w:left w:val="dashed" w:color="BDBDBD" w:sz="6" w:space="0"/>
              <w:bottom w:val="dashed" w:color="BDBDBD" w:sz="6" w:space="0"/>
              <w:right w:val="dashed" w:color="BDBDB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75" w:beforeAutospacing="0" w:after="75" w:afterAutospacing="0"/>
              <w:ind w:left="150" w:right="150"/>
              <w:jc w:val="left"/>
              <w:rPr>
                <w:color w:val="auto"/>
              </w:rPr>
            </w:pPr>
            <w:r>
              <w:rPr>
                <w:rStyle w:val="5"/>
                <w:rFonts w:ascii="宋体" w:hAnsi="宋体" w:eastAsia="宋体" w:cs="宋体"/>
                <w:color w:val="auto"/>
                <w:kern w:val="0"/>
                <w:sz w:val="22"/>
                <w:szCs w:val="22"/>
                <w:lang w:val="en-US" w:eastAsia="zh-CN" w:bidi="ar"/>
              </w:rPr>
              <w:t>55%</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color w:val="auto"/>
          <w:spacing w:val="15"/>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color w:val="auto"/>
          <w:spacing w:val="15"/>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pacing w:val="15"/>
        </w:rPr>
      </w:pPr>
      <w:r>
        <w:rPr>
          <w:rStyle w:val="5"/>
          <w:color w:val="auto"/>
          <w:spacing w:val="15"/>
          <w:sz w:val="22"/>
          <w:szCs w:val="22"/>
        </w:rPr>
        <w:t>改革职工医保个人账户计入办法</w:t>
      </w:r>
    </w:p>
    <w:p>
      <w:pPr>
        <w:keepNext w:val="0"/>
        <w:keepLines w:val="0"/>
        <w:widowControl/>
        <w:suppressLineNumbers w:val="0"/>
        <w:jc w:val="left"/>
        <w:rPr>
          <w:color w:va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sz w:val="21"/>
          <w:szCs w:val="21"/>
        </w:rPr>
      </w:pPr>
      <w:r>
        <w:rPr>
          <w:color w:val="auto"/>
          <w:sz w:val="22"/>
          <w:szCs w:val="22"/>
        </w:rPr>
        <w:t>个人账户计入办法调整与健全门诊共济保障机制于2023年1月1日同步开始实施。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sz w:val="21"/>
          <w:szCs w:val="21"/>
        </w:rPr>
      </w:pPr>
      <w:r>
        <w:rPr>
          <w:rStyle w:val="5"/>
          <w:color w:val="auto"/>
          <w:sz w:val="22"/>
          <w:szCs w:val="22"/>
        </w:rPr>
        <w:t>1.在职职工个人缴纳的基本医疗保险费：</w:t>
      </w:r>
      <w:r>
        <w:rPr>
          <w:color w:val="auto"/>
          <w:sz w:val="22"/>
          <w:szCs w:val="22"/>
        </w:rPr>
        <w:t>全部划入本人医保个人账户。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sz w:val="21"/>
          <w:szCs w:val="21"/>
        </w:rPr>
      </w:pPr>
      <w:r>
        <w:rPr>
          <w:rStyle w:val="5"/>
          <w:color w:val="auto"/>
          <w:sz w:val="22"/>
          <w:szCs w:val="22"/>
        </w:rPr>
        <w:t>2.用人单位缴纳的基本医疗保险费：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sz w:val="21"/>
          <w:szCs w:val="21"/>
        </w:rPr>
      </w:pPr>
      <w:r>
        <w:rPr>
          <w:rStyle w:val="5"/>
          <w:color w:val="auto"/>
          <w:sz w:val="22"/>
          <w:szCs w:val="22"/>
        </w:rPr>
        <w:t>★★2023年1月1日起，用人单位缴纳的基本医疗保险费计入在职职工个人账户部分调减到现行标准的50%，退休人员个人账户计入政策保持不变。</w:t>
      </w:r>
      <w:r>
        <w:rPr>
          <w:color w:val="auto"/>
          <w:sz w:val="22"/>
          <w:szCs w:val="22"/>
        </w:rPr>
        <w:t>在职职工年龄45岁（含45岁）以下的，按本人缴费基数的0.5%计入个人账户；在职职工45岁以上的，按本人缴费基数的0.75%计入个人账户。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sz w:val="21"/>
          <w:szCs w:val="21"/>
        </w:rPr>
      </w:pPr>
      <w:r>
        <w:rPr>
          <w:rStyle w:val="5"/>
          <w:color w:val="auto"/>
          <w:sz w:val="22"/>
          <w:szCs w:val="22"/>
        </w:rPr>
        <w:t>★★2024年1月1日起，在职职工单位缴纳的基本医疗保险费不再划入个人账户，全部计入统筹基金；退休人员个人账户由统筹基金按定额划入。</w:t>
      </w:r>
      <w:r>
        <w:rPr>
          <w:color w:val="auto"/>
          <w:sz w:val="22"/>
          <w:szCs w:val="22"/>
        </w:rPr>
        <w:t>70周岁以下退休人员，划入额度统一调整为济宁市2023年度基本养老金平均水平的2%，70周岁及以上退休人员，划入额度统一调整为济宁市2023年度基本养老金平均水平的2.5%。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sz w:val="21"/>
          <w:szCs w:val="21"/>
        </w:rPr>
      </w:pPr>
      <w:r>
        <w:rPr>
          <w:rStyle w:val="5"/>
          <w:color w:val="auto"/>
          <w:sz w:val="22"/>
          <w:szCs w:val="22"/>
        </w:rPr>
        <w:t>3.在职转退休的职工，自次月起享受退休人员个人账户待遇。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sz w:val="21"/>
          <w:szCs w:val="21"/>
        </w:rPr>
      </w:pPr>
      <w:r>
        <w:rPr>
          <w:rStyle w:val="5"/>
          <w:color w:val="auto"/>
          <w:sz w:val="22"/>
          <w:szCs w:val="22"/>
        </w:rPr>
        <w:t>4.灵活就业人员按规定享受退休人员基本医疗保险待遇的，个人账户政策按本规定标准执行。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pacing w:val="15"/>
        </w:rPr>
      </w:pPr>
      <w:r>
        <w:rPr>
          <w:rStyle w:val="5"/>
          <w:color w:val="auto"/>
          <w:spacing w:val="15"/>
        </w:rPr>
        <w:t>规范职工医保个人账户使用</w:t>
      </w:r>
    </w:p>
    <w:p>
      <w:pPr>
        <w:keepNext w:val="0"/>
        <w:keepLines w:val="0"/>
        <w:widowControl/>
        <w:suppressLineNumbers w:val="0"/>
        <w:jc w:val="left"/>
        <w:rPr>
          <w:color w:va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sz w:val="21"/>
          <w:szCs w:val="21"/>
        </w:rPr>
      </w:pPr>
      <w:r>
        <w:rPr>
          <w:color w:val="auto"/>
          <w:sz w:val="22"/>
          <w:szCs w:val="22"/>
        </w:rPr>
        <w:t>进一步明确个人账户支付范围，拓宽个人账户支付渠道，规范个人账户使用管理。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rPr>
          <w:color w:val="auto"/>
          <w:sz w:val="21"/>
          <w:szCs w:val="21"/>
        </w:rPr>
      </w:pPr>
      <w:r>
        <w:rPr>
          <w:rStyle w:val="5"/>
          <w:color w:val="auto"/>
          <w:sz w:val="22"/>
          <w:szCs w:val="22"/>
        </w:rPr>
        <w:t>1.个人账户资金主要用于支付参保人员在定点医药机构发生的政策范围内自付费用</w:t>
      </w:r>
      <w:r>
        <w:rPr>
          <w:color w:val="auto"/>
          <w:sz w:val="22"/>
          <w:szCs w:val="22"/>
        </w:rPr>
        <w:t>。</w:t>
      </w:r>
      <w:r>
        <w:rPr>
          <w:rStyle w:val="5"/>
          <w:color w:val="auto"/>
          <w:sz w:val="22"/>
          <w:szCs w:val="22"/>
        </w:rPr>
        <w:t>可以用于支付：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rPr>
          <w:color w:val="auto"/>
          <w:sz w:val="21"/>
          <w:szCs w:val="21"/>
        </w:rPr>
      </w:pPr>
      <w:r>
        <w:rPr>
          <w:color w:val="auto"/>
          <w:sz w:val="22"/>
          <w:szCs w:val="22"/>
        </w:rPr>
        <w:t>参保人员本人及其配偶、父母、子女在定点医疗机构就医发生的由个人负担的医疗费用，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rPr>
          <w:color w:val="auto"/>
          <w:sz w:val="21"/>
          <w:szCs w:val="21"/>
        </w:rPr>
      </w:pPr>
      <w:r>
        <w:rPr>
          <w:color w:val="auto"/>
          <w:sz w:val="22"/>
          <w:szCs w:val="22"/>
        </w:rPr>
        <w:t>在定点零售药店购买药品、医疗器械、医用耗材发生的由个人负担的费用，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rPr>
          <w:color w:val="auto"/>
          <w:sz w:val="21"/>
          <w:szCs w:val="21"/>
        </w:rPr>
      </w:pPr>
      <w:r>
        <w:rPr>
          <w:color w:val="auto"/>
          <w:sz w:val="22"/>
          <w:szCs w:val="22"/>
        </w:rPr>
        <w:t>配偶、父母、子女参加居民基本医疗保险、长期护理保险、政府指导的普惠型商业医疗保险、灵活就业退休人员大额医疗保险等的个人缴费。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rPr>
          <w:color w:val="auto"/>
          <w:sz w:val="21"/>
          <w:szCs w:val="21"/>
        </w:rPr>
      </w:pPr>
      <w:r>
        <w:rPr>
          <w:rStyle w:val="5"/>
          <w:color w:val="auto"/>
          <w:sz w:val="22"/>
          <w:szCs w:val="22"/>
        </w:rPr>
        <w:t>2.个人账户不得用于公共卫生费用、体育健身或养生保健消费等不属于基本医疗保险保障范围的支出。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rPr>
          <w:color w:val="auto"/>
          <w:sz w:val="21"/>
          <w:szCs w:val="21"/>
        </w:rPr>
      </w:pPr>
      <w:r>
        <w:rPr>
          <w:rStyle w:val="5"/>
          <w:color w:val="auto"/>
          <w:sz w:val="22"/>
          <w:szCs w:val="22"/>
        </w:rPr>
        <w:t>3.个人账户资金可以结转使用和继承。</w:t>
      </w:r>
      <w:r>
        <w:rPr>
          <w:color w:val="auto"/>
          <w:sz w:val="22"/>
          <w:szCs w:val="22"/>
        </w:rPr>
        <w:t>职工调离我市时，个人账户结余资金可随同转移或一次性拨付给本人。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p>
    <w:p>
      <w:pPr>
        <w:keepNext w:val="0"/>
        <w:keepLines w:val="0"/>
        <w:widowControl/>
        <w:suppressLineNumbers w:val="0"/>
        <w:jc w:val="left"/>
        <w:rPr>
          <w:color w:va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rStyle w:val="5"/>
          <w:color w:val="auto"/>
          <w:sz w:val="22"/>
          <w:szCs w:val="22"/>
        </w:rPr>
        <w:t>医疗管理服务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rPr>
      </w:pPr>
      <w:r>
        <w:rPr>
          <w:rStyle w:val="5"/>
          <w:color w:val="auto"/>
          <w:sz w:val="22"/>
          <w:szCs w:val="22"/>
        </w:rPr>
        <w:t>扩大职工医保门诊统筹定点就医购药范围。</w:t>
      </w:r>
      <w:r>
        <w:rPr>
          <w:color w:val="auto"/>
          <w:sz w:val="22"/>
          <w:szCs w:val="22"/>
        </w:rPr>
        <w:t>取消职工门诊统筹就医定点限制，</w:t>
      </w:r>
      <w:r>
        <w:rPr>
          <w:rStyle w:val="5"/>
          <w:color w:val="auto"/>
          <w:sz w:val="22"/>
          <w:szCs w:val="22"/>
        </w:rPr>
        <w:t>不再实行签约定点就医服务</w:t>
      </w:r>
      <w:r>
        <w:rPr>
          <w:color w:val="auto"/>
          <w:sz w:val="22"/>
          <w:szCs w:val="22"/>
        </w:rPr>
        <w:t>，参保人员可以自主选择全市一、二、三级定点医疗机构门诊就医。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rPr>
      </w:pPr>
      <w:r>
        <w:rPr>
          <w:rStyle w:val="5"/>
          <w:color w:val="auto"/>
          <w:sz w:val="22"/>
          <w:szCs w:val="22"/>
        </w:rPr>
        <w:t>就医实行实名认证。</w:t>
      </w:r>
      <w:r>
        <w:rPr>
          <w:color w:val="auto"/>
          <w:sz w:val="22"/>
          <w:szCs w:val="22"/>
        </w:rPr>
        <w:t>参保人员在定点医疗机构就医时，应出具本人医保电子凭证或社会保障卡等身份认证凭证。接诊医生应认真核对其身份，如实记录就医情况，确保人证相符。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rPr>
      </w:pPr>
      <w:r>
        <w:rPr>
          <w:rStyle w:val="5"/>
          <w:color w:val="auto"/>
          <w:sz w:val="22"/>
          <w:szCs w:val="22"/>
        </w:rPr>
        <w:t>优化就医服务。</w:t>
      </w:r>
      <w:r>
        <w:rPr>
          <w:color w:val="auto"/>
          <w:sz w:val="22"/>
          <w:szCs w:val="22"/>
        </w:rPr>
        <w:t>定点医疗机构要配备人员，加强信息系统建设，增设服务窗口，改善就医环境，简化化医疗费用结算流程。通过医保信息系统及时、准确上传参保人员的就医信息和医疗费用明细，积极为参保人员提供优质医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rPr>
      </w:pPr>
      <w:r>
        <w:rPr>
          <w:rStyle w:val="5"/>
          <w:color w:val="auto"/>
          <w:sz w:val="22"/>
          <w:szCs w:val="22"/>
        </w:rPr>
        <w:t>严格医保基金支付范围。</w:t>
      </w:r>
      <w:r>
        <w:rPr>
          <w:color w:val="auto"/>
          <w:sz w:val="22"/>
          <w:szCs w:val="22"/>
        </w:rPr>
        <w:t>职工医保门诊统筹执行全省统一的医疗保险药品目录、诊疗项目目录和医疗服务设施标准。医疗机构在使用医保范围外项目时，应告知患者或其亲属。超出目录范围的费用，医保基金不予支付。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rPr>
      </w:pPr>
      <w:r>
        <w:rPr>
          <w:rStyle w:val="5"/>
          <w:color w:val="auto"/>
          <w:sz w:val="22"/>
          <w:szCs w:val="22"/>
        </w:rPr>
        <w:t>促进分级诊疗。</w:t>
      </w:r>
      <w:r>
        <w:rPr>
          <w:color w:val="auto"/>
          <w:sz w:val="22"/>
          <w:szCs w:val="22"/>
        </w:rPr>
        <w:t>做好家庭医生签约服务与普通门诊、门诊慢特病管理措施的衔接，引导参保人员在基层就医首诊，促进基层医疗卫生服务体系健全完善。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p>
    <w:p>
      <w:pPr>
        <w:keepNext w:val="0"/>
        <w:keepLines w:val="0"/>
        <w:widowControl/>
        <w:suppressLineNumbers w:val="0"/>
        <w:jc w:val="left"/>
        <w:rPr>
          <w:color w:va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color w:val="auto"/>
          <w:sz w:val="22"/>
          <w:szCs w:val="22"/>
        </w:rPr>
        <w:t>费用结算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rPr>
      </w:pPr>
      <w:r>
        <w:rPr>
          <w:rStyle w:val="5"/>
          <w:color w:val="auto"/>
          <w:sz w:val="22"/>
          <w:szCs w:val="22"/>
        </w:rPr>
        <w:t>门诊费用实行联网即时结算。</w:t>
      </w:r>
      <w:r>
        <w:rPr>
          <w:color w:val="auto"/>
          <w:sz w:val="22"/>
          <w:szCs w:val="22"/>
        </w:rPr>
        <w:t>参保人员在定点医疗机构发生的门诊费用，实行联网即时结算，参保人员只支付个人负担部分，其余部分由医保经办机构与定点医疗机构结算。完善普通门诊市内和跨市异地就医统筹支付政策，简化异地就医人员分类和备案。参保人员在定点医疗机构门诊就医的，市域外不能联网结算的符合规定的普通门诊医疗费用，由参保所属地医保经办机构予以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rPr>
      </w:pPr>
      <w:r>
        <w:rPr>
          <w:rStyle w:val="5"/>
          <w:color w:val="auto"/>
          <w:sz w:val="22"/>
          <w:szCs w:val="22"/>
        </w:rPr>
        <w:t>及时拨付门诊统筹医保基金。</w:t>
      </w:r>
      <w:r>
        <w:rPr>
          <w:color w:val="auto"/>
          <w:sz w:val="22"/>
          <w:szCs w:val="22"/>
        </w:rPr>
        <w:t>按照属地结算管理原则，门诊统筹医保基金拨付和管理实行全市统一政策，市、县分级负责，门诊统筹管理和基金拨付按照住院结算的模式和定点医疗机构范围执行，市级医保经办机构负责市级医疗机构职工医保门诊统筹费用结算和全市清算，县级医保机构经办负责本辖区内定点医疗机构职工门诊统筹费用结算和清算。各级医保定点医疗机构要按时上报门诊统筹有关结算材料，医保经办机构要严格审核门诊统筹医疗费用，及时拨付门诊统筹医保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color w:val="auto"/>
        </w:rPr>
      </w:pPr>
      <w:r>
        <w:rPr>
          <w:rStyle w:val="5"/>
          <w:color w:val="auto"/>
          <w:sz w:val="22"/>
          <w:szCs w:val="22"/>
        </w:rPr>
        <w:t>完善医疗费用结算支付方式。</w:t>
      </w:r>
      <w:r>
        <w:rPr>
          <w:color w:val="auto"/>
          <w:sz w:val="22"/>
          <w:szCs w:val="22"/>
        </w:rPr>
        <w:t>将门诊医疗服务纳入医保定点机构协议管理内容，建立门诊费用统计分析制度。推进门诊支付方式改革，对普通门诊服务，实行总额控制、按人头付费等付费方式；对不宜打包付费的门诊费用，可按项目付费。对实行单独支付的国家医保谈判药品，不纳入定点医疗机构医保费用总额范围。</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jZDUzY2I0ZjAwYjljYjhiMzIyNGE0ZjIwMjMxZDcifQ=="/>
  </w:docVars>
  <w:rsids>
    <w:rsidRoot w:val="626D17CC"/>
    <w:rsid w:val="58055374"/>
    <w:rsid w:val="626D1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2323</Words>
  <Characters>2420</Characters>
  <Lines>0</Lines>
  <Paragraphs>0</Paragraphs>
  <TotalTime>1</TotalTime>
  <ScaleCrop>false</ScaleCrop>
  <LinksUpToDate>false</LinksUpToDate>
  <CharactersWithSpaces>2420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2023-01-04T00:33:00Z</dcterms:created>
  <dc:creator>Administrator</dc:creator>
  <cp:lastModifiedBy>Administrator</cp:lastModifiedBy>
  <dcterms:modified xsi:type="dcterms:W3CDTF">2023-01-04T00:35:27Z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43B530C9F9154A0BB62548E33CC021BC</vt:lpwstr>
  </property>
</Properties>
</file>