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b/>
          <w:sz w:val="44"/>
          <w:szCs w:val="44"/>
        </w:rPr>
      </w:pPr>
      <w:bookmarkStart w:id="0" w:name="_GoBack"/>
      <w:bookmarkEnd w:id="0"/>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b/>
          <w:sz w:val="44"/>
          <w:szCs w:val="44"/>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关于印发《202</w:t>
      </w:r>
      <w:r>
        <w:rPr>
          <w:rFonts w:hint="eastAsia" w:ascii="Times New Roman" w:hAnsi="Times New Roman" w:eastAsia="方正小标宋简体" w:cs="Times New Roman"/>
          <w:b/>
          <w:sz w:val="44"/>
          <w:szCs w:val="44"/>
          <w:lang w:val="en-US" w:eastAsia="zh-CN"/>
        </w:rPr>
        <w:t>1</w:t>
      </w:r>
      <w:r>
        <w:rPr>
          <w:rFonts w:ascii="Times New Roman" w:hAnsi="Times New Roman" w:eastAsia="方正小标宋简体" w:cs="Times New Roman"/>
          <w:b/>
          <w:sz w:val="44"/>
          <w:szCs w:val="44"/>
        </w:rPr>
        <w:t>年全市投资促进工作要点》的</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通知</w:t>
      </w: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简体" w:cs="Times New Roman"/>
          <w:b/>
          <w:sz w:val="44"/>
          <w:szCs w:val="44"/>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各县（市、区）投资促进服务中心，济宁高新区、太白湖新区、济宁经济技术开发区、曲阜文化建设示范区投资促进中心（局），局机关各科室、市投资促进服务中心：</w:t>
      </w:r>
    </w:p>
    <w:p>
      <w:pPr>
        <w:keepNext w:val="0"/>
        <w:keepLines w:val="0"/>
        <w:pageBreakBefore w:val="0"/>
        <w:widowControl w:val="0"/>
        <w:kinsoku/>
        <w:overflowPunct/>
        <w:topLinePunct w:val="0"/>
        <w:autoSpaceDE/>
        <w:autoSpaceDN/>
        <w:bidi w:val="0"/>
        <w:adjustRightInd/>
        <w:snapToGrid/>
        <w:spacing w:line="600" w:lineRule="exact"/>
        <w:ind w:firstLine="643" w:firstLineChars="200"/>
        <w:jc w:val="left"/>
        <w:textAlignment w:val="auto"/>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现将《202</w:t>
      </w:r>
      <w:r>
        <w:rPr>
          <w:rFonts w:hint="eastAsia" w:ascii="Times New Roman" w:hAnsi="Times New Roman" w:eastAsia="方正仿宋简体" w:cs="Times New Roman"/>
          <w:b/>
          <w:sz w:val="32"/>
          <w:szCs w:val="32"/>
          <w:lang w:val="en-US" w:eastAsia="zh-CN"/>
        </w:rPr>
        <w:t>1</w:t>
      </w:r>
      <w:r>
        <w:rPr>
          <w:rFonts w:ascii="Times New Roman" w:hAnsi="Times New Roman" w:eastAsia="方正仿宋简体" w:cs="Times New Roman"/>
          <w:b/>
          <w:sz w:val="32"/>
          <w:szCs w:val="32"/>
        </w:rPr>
        <w:t>年全市投资促进工作要点》印发给你们，请结合实际，认真贯彻执行。</w:t>
      </w: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简体" w:cs="Times New Roman"/>
          <w:b/>
          <w:sz w:val="32"/>
          <w:szCs w:val="32"/>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简体" w:cs="Times New Roman"/>
          <w:b/>
          <w:sz w:val="32"/>
          <w:szCs w:val="32"/>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简体" w:cs="Times New Roman"/>
          <w:b/>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济宁市投资促进局</w:t>
      </w:r>
    </w:p>
    <w:p>
      <w:pPr>
        <w:spacing w:line="600" w:lineRule="exact"/>
        <w:jc w:val="right"/>
        <w:rPr>
          <w:rFonts w:hint="eastAsia" w:ascii="方正小标宋简体" w:hAnsi="方正小标宋简体" w:eastAsia="方正小标宋简体" w:cs="方正小标宋简体"/>
          <w:sz w:val="44"/>
          <w:szCs w:val="44"/>
        </w:rPr>
      </w:pPr>
      <w:r>
        <w:rPr>
          <w:rFonts w:ascii="Times New Roman" w:hAnsi="Times New Roman" w:eastAsia="方正仿宋简体" w:cs="Times New Roman"/>
          <w:b/>
          <w:sz w:val="32"/>
          <w:szCs w:val="32"/>
        </w:rPr>
        <w:t>202</w:t>
      </w:r>
      <w:r>
        <w:rPr>
          <w:rFonts w:hint="eastAsia" w:ascii="Times New Roman" w:hAnsi="Times New Roman" w:eastAsia="方正仿宋简体" w:cs="Times New Roman"/>
          <w:b/>
          <w:sz w:val="32"/>
          <w:szCs w:val="32"/>
          <w:lang w:val="en-US" w:eastAsia="zh-CN"/>
        </w:rPr>
        <w:t>1</w:t>
      </w:r>
      <w:r>
        <w:rPr>
          <w:rFonts w:ascii="Times New Roman" w:hAnsi="Times New Roman" w:eastAsia="方正仿宋简体" w:cs="Times New Roman"/>
          <w:b/>
          <w:sz w:val="32"/>
          <w:szCs w:val="32"/>
        </w:rPr>
        <w:t>年2月</w:t>
      </w:r>
      <w:r>
        <w:rPr>
          <w:rFonts w:hint="eastAsia" w:ascii="Times New Roman" w:hAnsi="Times New Roman" w:eastAsia="方正仿宋简体" w:cs="Times New Roman"/>
          <w:b/>
          <w:sz w:val="32"/>
          <w:szCs w:val="32"/>
          <w:lang w:val="en-US" w:eastAsia="zh-CN"/>
        </w:rPr>
        <w:t>20</w:t>
      </w:r>
      <w:r>
        <w:rPr>
          <w:rFonts w:ascii="Times New Roman" w:hAnsi="Times New Roman" w:eastAsia="方正仿宋简体" w:cs="Times New Roman"/>
          <w:b/>
          <w:sz w:val="32"/>
          <w:szCs w:val="32"/>
        </w:rPr>
        <w:t>日</w:t>
      </w:r>
    </w:p>
    <w:p>
      <w:pPr>
        <w:spacing w:line="600" w:lineRule="exact"/>
        <w:jc w:val="both"/>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2021年全市投资促进工作要点</w:t>
      </w:r>
    </w:p>
    <w:p>
      <w:pPr>
        <w:tabs>
          <w:tab w:val="left" w:pos="4680"/>
        </w:tabs>
        <w:spacing w:line="600" w:lineRule="exact"/>
        <w:ind w:firstLine="643" w:firstLineChars="200"/>
        <w:rPr>
          <w:rFonts w:ascii="Times New Roman" w:hAnsi="Times New Roman" w:eastAsia="方正仿宋简体" w:cs="Times New Roman"/>
          <w:b/>
          <w:sz w:val="32"/>
          <w:szCs w:val="32"/>
        </w:rPr>
      </w:pPr>
    </w:p>
    <w:p>
      <w:pPr>
        <w:tabs>
          <w:tab w:val="left" w:pos="4680"/>
        </w:tabs>
        <w:spacing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2021年是</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十四五</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开局之年</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也是</w:t>
      </w:r>
      <w:r>
        <w:rPr>
          <w:rFonts w:hint="eastAsia" w:ascii="Times New Roman" w:hAnsi="Times New Roman" w:eastAsia="方正仿宋简体" w:cs="Times New Roman"/>
          <w:b/>
          <w:sz w:val="32"/>
          <w:szCs w:val="32"/>
        </w:rPr>
        <w:t>我市建设现代化强市的起步之年</w:t>
      </w:r>
      <w:r>
        <w:rPr>
          <w:rFonts w:ascii="Times New Roman" w:hAnsi="Times New Roman" w:eastAsia="方正仿宋简体" w:cs="Times New Roman"/>
          <w:b/>
          <w:sz w:val="32"/>
          <w:szCs w:val="32"/>
        </w:rPr>
        <w:t>，投资促进工作面临诸多新机遇新挑战。全市投资促进工作的总体思路是：</w:t>
      </w:r>
      <w:r>
        <w:rPr>
          <w:rFonts w:ascii="Times New Roman" w:hAnsi="Times New Roman" w:eastAsia="方正楷体简体" w:cs="Times New Roman"/>
          <w:b/>
          <w:bCs/>
          <w:sz w:val="32"/>
          <w:szCs w:val="32"/>
        </w:rPr>
        <w:t>以习近平新时代中国特色社会主义思想为指导，</w:t>
      </w:r>
      <w:r>
        <w:rPr>
          <w:rFonts w:hint="eastAsia" w:ascii="Times New Roman" w:hAnsi="Times New Roman" w:eastAsia="方正楷体简体" w:cs="Times New Roman"/>
          <w:b/>
          <w:bCs/>
          <w:sz w:val="32"/>
          <w:szCs w:val="32"/>
        </w:rPr>
        <w:t>全面贯彻党的十九大和十九届二中、三中、四中、五中全会精神，深入落实中央和省、市委经济工作会议精神，</w:t>
      </w:r>
      <w:r>
        <w:rPr>
          <w:rFonts w:ascii="Times New Roman" w:hAnsi="Times New Roman" w:eastAsia="方正楷体简体" w:cs="Times New Roman"/>
          <w:b/>
          <w:bCs/>
          <w:sz w:val="32"/>
          <w:szCs w:val="32"/>
        </w:rPr>
        <w:t>不断增强</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四个意识</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、坚定</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四个自信</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、做到</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两个维护</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w:t>
      </w:r>
      <w:r>
        <w:rPr>
          <w:rFonts w:hint="eastAsia" w:ascii="Times New Roman" w:hAnsi="Times New Roman" w:eastAsia="方正楷体简体" w:cs="Times New Roman"/>
          <w:b/>
          <w:bCs/>
          <w:sz w:val="32"/>
          <w:szCs w:val="32"/>
        </w:rPr>
        <w:t>立足新发展阶段，</w:t>
      </w:r>
      <w:r>
        <w:rPr>
          <w:rFonts w:ascii="Times New Roman" w:hAnsi="Times New Roman" w:eastAsia="方正楷体简体" w:cs="Times New Roman"/>
          <w:b/>
          <w:bCs/>
          <w:sz w:val="32"/>
          <w:szCs w:val="32"/>
        </w:rPr>
        <w:t>贯彻新发展理念，</w:t>
      </w:r>
      <w:r>
        <w:rPr>
          <w:rFonts w:hint="eastAsia" w:ascii="Times New Roman" w:hAnsi="Times New Roman" w:eastAsia="方正楷体简体" w:cs="Times New Roman"/>
          <w:b/>
          <w:bCs/>
          <w:sz w:val="32"/>
          <w:szCs w:val="32"/>
        </w:rPr>
        <w:t>融入新发展格局，聚焦“五个济宁建设”“八个强市突破”，</w:t>
      </w:r>
      <w:r>
        <w:rPr>
          <w:rFonts w:ascii="Times New Roman" w:hAnsi="Times New Roman" w:eastAsia="方正楷体简体" w:cs="Times New Roman"/>
          <w:b/>
          <w:bCs/>
          <w:sz w:val="32"/>
          <w:szCs w:val="32"/>
        </w:rPr>
        <w:t>抢抓</w:t>
      </w:r>
      <w:r>
        <w:rPr>
          <w:rFonts w:hint="eastAsia" w:ascii="Times New Roman" w:hAnsi="Times New Roman" w:eastAsia="方正楷体简体" w:cs="Times New Roman"/>
          <w:b/>
          <w:bCs/>
          <w:sz w:val="32"/>
          <w:szCs w:val="32"/>
        </w:rPr>
        <w:t>新发展</w:t>
      </w:r>
      <w:r>
        <w:rPr>
          <w:rFonts w:ascii="Times New Roman" w:hAnsi="Times New Roman" w:eastAsia="方正楷体简体" w:cs="Times New Roman"/>
          <w:b/>
          <w:bCs/>
          <w:sz w:val="32"/>
          <w:szCs w:val="32"/>
        </w:rPr>
        <w:t>机遇，按照</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创新驱动、产业引领、招大引强</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的工作思路，以先进制造业</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231</w:t>
      </w:r>
      <w:r>
        <w:rPr>
          <w:rFonts w:hint="eastAsia" w:ascii="Times New Roman" w:hAnsi="Times New Roman" w:eastAsia="方正楷体简体" w:cs="Times New Roman"/>
          <w:b/>
          <w:bCs/>
          <w:sz w:val="32"/>
          <w:szCs w:val="32"/>
        </w:rPr>
        <w:t>”</w:t>
      </w:r>
      <w:r>
        <w:rPr>
          <w:rFonts w:ascii="Times New Roman" w:hAnsi="Times New Roman" w:eastAsia="方正楷体简体" w:cs="Times New Roman"/>
          <w:b/>
          <w:bCs/>
          <w:sz w:val="32"/>
          <w:szCs w:val="32"/>
        </w:rPr>
        <w:t>产业集群和现代物流业</w:t>
      </w:r>
      <w:r>
        <w:rPr>
          <w:rFonts w:hint="eastAsia" w:ascii="Times New Roman" w:hAnsi="Times New Roman" w:eastAsia="方正楷体简体" w:cs="Times New Roman"/>
          <w:b/>
          <w:bCs/>
          <w:sz w:val="32"/>
          <w:szCs w:val="32"/>
        </w:rPr>
        <w:t>招商</w:t>
      </w:r>
      <w:r>
        <w:rPr>
          <w:rFonts w:ascii="Times New Roman" w:hAnsi="Times New Roman" w:eastAsia="方正楷体简体" w:cs="Times New Roman"/>
          <w:b/>
          <w:bCs/>
          <w:sz w:val="32"/>
          <w:szCs w:val="32"/>
        </w:rPr>
        <w:t>为重点，</w:t>
      </w:r>
      <w:r>
        <w:rPr>
          <w:rFonts w:hint="eastAsia" w:ascii="Times New Roman" w:hAnsi="Times New Roman" w:eastAsia="方正楷体简体" w:cs="Times New Roman"/>
          <w:b/>
          <w:bCs/>
          <w:sz w:val="32"/>
          <w:szCs w:val="32"/>
        </w:rPr>
        <w:t>以产业链招商为主线，以区域招商为支撑，以园区招商和以企招商为抓手，创新招商引资体制机制和方式方法，全力突破建链强链延链补链重大产业项目，扎实推进高质量“双招双引”，确保“十四五”开好局、起好步，以优异成绩迎接建党100周年。</w:t>
      </w:r>
      <w:r>
        <w:rPr>
          <w:rFonts w:ascii="Times New Roman" w:hAnsi="Times New Roman" w:eastAsia="方正仿宋简体" w:cs="Times New Roman"/>
          <w:b/>
          <w:sz w:val="32"/>
          <w:szCs w:val="32"/>
        </w:rPr>
        <w:t>主要任务目标是：</w:t>
      </w:r>
      <w:r>
        <w:rPr>
          <w:rFonts w:hint="eastAsia" w:ascii="Times New Roman" w:hAnsi="Times New Roman" w:eastAsia="方正仿宋简体" w:cs="Times New Roman"/>
          <w:b/>
          <w:sz w:val="32"/>
          <w:szCs w:val="32"/>
        </w:rPr>
        <w:t>全市到位市外资金600亿元以上。</w:t>
      </w:r>
    </w:p>
    <w:p>
      <w:pPr>
        <w:spacing w:line="580" w:lineRule="exact"/>
        <w:ind w:firstLine="643" w:firstLineChars="200"/>
        <w:rPr>
          <w:rFonts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rPr>
        <w:t>一、坚持党建引领，扎实推进全面从严治党</w:t>
      </w:r>
    </w:p>
    <w:p>
      <w:pPr>
        <w:tabs>
          <w:tab w:val="left" w:pos="4680"/>
        </w:tabs>
        <w:spacing w:line="58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bCs/>
          <w:sz w:val="32"/>
          <w:szCs w:val="32"/>
        </w:rPr>
        <w:t>1、</w:t>
      </w:r>
      <w:r>
        <w:rPr>
          <w:rFonts w:hint="eastAsia" w:ascii="Times New Roman" w:hAnsi="Times New Roman" w:eastAsia="方正楷体简体" w:cs="Times New Roman"/>
          <w:b/>
          <w:bCs/>
          <w:sz w:val="32"/>
          <w:szCs w:val="32"/>
        </w:rPr>
        <w:t>加强理论学习，用习近平新时代中国特色社会主义思想武装头脑</w:t>
      </w:r>
      <w:r>
        <w:rPr>
          <w:rFonts w:hint="eastAsia" w:ascii="Times New Roman" w:hAnsi="Times New Roman" w:eastAsia="方正楷体简体" w:cs="Times New Roman"/>
          <w:b/>
          <w:bCs/>
          <w:sz w:val="32"/>
          <w:szCs w:val="32"/>
          <w:lang w:eastAsia="zh-CN"/>
        </w:rPr>
        <w:t>。</w:t>
      </w:r>
      <w:r>
        <w:rPr>
          <w:rFonts w:hint="eastAsia" w:ascii="Times New Roman" w:hAnsi="Times New Roman" w:eastAsia="方正仿宋简体" w:cs="Times New Roman"/>
          <w:b/>
          <w:sz w:val="32"/>
          <w:szCs w:val="32"/>
        </w:rPr>
        <w:t>认真学习习近平总书记重要讲话和视察山东视察济宁重要讲话重要指示精神，</w:t>
      </w:r>
      <w:r>
        <w:rPr>
          <w:rFonts w:ascii="Times New Roman" w:hAnsi="Times New Roman" w:eastAsia="方正仿宋简体" w:cs="Times New Roman"/>
          <w:b/>
          <w:sz w:val="32"/>
          <w:szCs w:val="32"/>
        </w:rPr>
        <w:t>深入学习贯彻党的十九大和十九届二中、三中、四中</w:t>
      </w:r>
      <w:r>
        <w:rPr>
          <w:rFonts w:hint="eastAsia" w:ascii="Times New Roman" w:hAnsi="Times New Roman" w:eastAsia="方正仿宋简体" w:cs="Times New Roman"/>
          <w:b/>
          <w:sz w:val="32"/>
          <w:szCs w:val="32"/>
        </w:rPr>
        <w:t>、五中</w:t>
      </w:r>
      <w:r>
        <w:rPr>
          <w:rFonts w:ascii="Times New Roman" w:hAnsi="Times New Roman" w:eastAsia="方正仿宋简体" w:cs="Times New Roman"/>
          <w:b/>
          <w:sz w:val="32"/>
          <w:szCs w:val="32"/>
        </w:rPr>
        <w:t>全会精神，</w:t>
      </w:r>
      <w:r>
        <w:rPr>
          <w:rFonts w:hint="eastAsia" w:ascii="Times New Roman" w:hAnsi="Times New Roman" w:eastAsia="方正仿宋简体" w:cs="Times New Roman"/>
          <w:b/>
          <w:sz w:val="32"/>
          <w:szCs w:val="32"/>
        </w:rPr>
        <w:t>特别是把学习贯彻党的十九届五中全会精神作为一项重要政治任务，学懂弄通做实，用先进的思想武装广大党员干部头脑，不断提高政治判断力、政治领悟力、政治执行力。创新党员教育学习方式，</w:t>
      </w:r>
      <w:r>
        <w:rPr>
          <w:rFonts w:ascii="Times New Roman" w:hAnsi="Times New Roman" w:eastAsia="方正仿宋简体" w:cs="Times New Roman"/>
          <w:b/>
          <w:sz w:val="32"/>
          <w:szCs w:val="32"/>
        </w:rPr>
        <w:t>充分利用</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学习强国</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灯塔-党建在线</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等平台以及微信公众号等宣传载体，开展党员干部学习教育活动，</w:t>
      </w:r>
      <w:r>
        <w:rPr>
          <w:rFonts w:hint="eastAsia" w:ascii="Times New Roman" w:hAnsi="Times New Roman" w:eastAsia="方正仿宋简体" w:cs="Times New Roman"/>
          <w:b/>
          <w:sz w:val="32"/>
          <w:szCs w:val="32"/>
        </w:rPr>
        <w:t>建立学习档案，每月通报学习情况。</w:t>
      </w:r>
    </w:p>
    <w:p>
      <w:pPr>
        <w:tabs>
          <w:tab w:val="left" w:pos="4680"/>
        </w:tabs>
        <w:spacing w:line="580" w:lineRule="exact"/>
        <w:ind w:firstLine="643" w:firstLineChars="200"/>
        <w:rPr>
          <w:rFonts w:ascii="Times New Roman" w:hAnsi="Times New Roman" w:eastAsia="方正仿宋简体" w:cs="Times New Roman"/>
          <w:b/>
          <w:sz w:val="32"/>
          <w:szCs w:val="32"/>
        </w:rPr>
      </w:pPr>
      <w:r>
        <w:rPr>
          <w:rFonts w:hint="eastAsia" w:ascii="Times New Roman" w:hAnsi="Times New Roman" w:eastAsia="方正楷体简体" w:cs="Times New Roman"/>
          <w:b/>
          <w:bCs/>
          <w:sz w:val="32"/>
          <w:szCs w:val="32"/>
        </w:rPr>
        <w:t>2、严格落实机关党建</w:t>
      </w:r>
      <w:r>
        <w:rPr>
          <w:rFonts w:ascii="Times New Roman" w:hAnsi="Times New Roman" w:eastAsia="方正楷体简体" w:cs="Times New Roman"/>
          <w:b/>
          <w:bCs/>
          <w:sz w:val="32"/>
          <w:szCs w:val="32"/>
        </w:rPr>
        <w:t>主体责任</w:t>
      </w:r>
      <w:r>
        <w:rPr>
          <w:rFonts w:hint="eastAsia" w:ascii="Times New Roman" w:hAnsi="Times New Roman" w:eastAsia="方正楷体简体" w:cs="Times New Roman"/>
          <w:b/>
          <w:bCs/>
          <w:sz w:val="32"/>
          <w:szCs w:val="32"/>
        </w:rPr>
        <w:t>，加强基层组织建设。</w:t>
      </w:r>
      <w:r>
        <w:rPr>
          <w:rFonts w:hint="eastAsia" w:ascii="Times New Roman" w:hAnsi="Times New Roman" w:eastAsia="方正仿宋简体" w:cs="Times New Roman"/>
          <w:b/>
          <w:sz w:val="32"/>
          <w:szCs w:val="32"/>
        </w:rPr>
        <w:t>落实党组履行全面从严治党主体责任和党组书记抓机关党建“第一责任人”责任。严格落实“第一议题”制度，党组研究重点工作要将学习习近平总书记有关重要论述作为第一议题。研究</w:t>
      </w:r>
      <w:r>
        <w:rPr>
          <w:rFonts w:ascii="Times New Roman" w:hAnsi="Times New Roman" w:eastAsia="方正仿宋简体" w:cs="Times New Roman"/>
          <w:b/>
          <w:sz w:val="32"/>
          <w:szCs w:val="32"/>
        </w:rPr>
        <w:t>制定202</w:t>
      </w:r>
      <w:r>
        <w:rPr>
          <w:rFonts w:hint="eastAsia" w:ascii="Times New Roman" w:hAnsi="Times New Roman" w:eastAsia="方正仿宋简体" w:cs="Times New Roman"/>
          <w:b/>
          <w:sz w:val="32"/>
          <w:szCs w:val="32"/>
        </w:rPr>
        <w:t>1</w:t>
      </w:r>
      <w:r>
        <w:rPr>
          <w:rFonts w:ascii="Times New Roman" w:hAnsi="Times New Roman" w:eastAsia="方正仿宋简体" w:cs="Times New Roman"/>
          <w:b/>
          <w:sz w:val="32"/>
          <w:szCs w:val="32"/>
        </w:rPr>
        <w:t>年度机关党建工作要点</w:t>
      </w:r>
      <w:r>
        <w:rPr>
          <w:rFonts w:hint="eastAsia" w:ascii="Times New Roman" w:hAnsi="Times New Roman" w:eastAsia="方正仿宋简体" w:cs="Times New Roman"/>
          <w:b/>
          <w:sz w:val="32"/>
          <w:szCs w:val="32"/>
        </w:rPr>
        <w:t>，把机关党建工作列入重要议事日程，定期听取机关党建工作汇报，研究、解决机关党建工作存在的问题，促进机关党建工作与投资促进、招商引资工作深度融合。</w:t>
      </w:r>
      <w:r>
        <w:rPr>
          <w:rFonts w:hint="eastAsia" w:ascii="Times New Roman" w:hAnsi="Times New Roman" w:eastAsia="方正仿宋简体" w:cs="Times New Roman"/>
          <w:b/>
          <w:kern w:val="0"/>
          <w:sz w:val="32"/>
          <w:szCs w:val="32"/>
          <w:shd w:val="clear" w:color="auto" w:fill="FFFFFF"/>
        </w:rPr>
        <w:t>以庆祝中国共产党成立100周年为契机，深入进行理想信念教育、爱国主义教育，广泛开展党史、新中国史、改革开放史、社会主义发展史教育，及时组织开展相关活动。</w:t>
      </w:r>
      <w:r>
        <w:rPr>
          <w:rFonts w:hint="eastAsia" w:ascii="Times New Roman" w:hAnsi="Times New Roman" w:eastAsia="方正仿宋简体" w:cs="Times New Roman"/>
          <w:b/>
          <w:sz w:val="32"/>
          <w:szCs w:val="32"/>
        </w:rPr>
        <w:t>扎实开展“民意 5 来听”及“双报到”工作，聚焦疫情防控、文明创建及群众关切的重点问题，开展党员志愿服务活动，实现联系服务群众常态化长效化。加强党员活动阵地建设，保障党建工作经费，认真执行党内规章制度，切实</w:t>
      </w:r>
      <w:r>
        <w:rPr>
          <w:rFonts w:ascii="Times New Roman" w:hAnsi="Times New Roman" w:eastAsia="方正仿宋简体" w:cs="Times New Roman"/>
          <w:b/>
          <w:sz w:val="32"/>
          <w:szCs w:val="32"/>
        </w:rPr>
        <w:t>发挥</w:t>
      </w:r>
      <w:r>
        <w:rPr>
          <w:rFonts w:hint="eastAsia" w:ascii="Times New Roman" w:hAnsi="Times New Roman" w:eastAsia="方正仿宋简体" w:cs="Times New Roman"/>
          <w:b/>
          <w:sz w:val="32"/>
          <w:szCs w:val="32"/>
        </w:rPr>
        <w:t>好</w:t>
      </w:r>
      <w:r>
        <w:rPr>
          <w:rFonts w:ascii="Times New Roman" w:hAnsi="Times New Roman" w:eastAsia="方正仿宋简体" w:cs="Times New Roman"/>
          <w:b/>
          <w:sz w:val="32"/>
          <w:szCs w:val="32"/>
        </w:rPr>
        <w:t>党员先锋模范作用和党支部战斗堡垒作用，增强党组织的凝聚力和战斗力。</w:t>
      </w:r>
    </w:p>
    <w:p>
      <w:pPr>
        <w:spacing w:line="580" w:lineRule="exact"/>
        <w:ind w:firstLine="643" w:firstLineChars="200"/>
        <w:jc w:val="left"/>
        <w:rPr>
          <w:rFonts w:ascii="Times New Roman" w:hAnsi="Times New Roman" w:eastAsia="方正仿宋简体" w:cs="Times New Roman"/>
          <w:b/>
          <w:sz w:val="32"/>
          <w:szCs w:val="32"/>
        </w:rPr>
      </w:pPr>
      <w:r>
        <w:rPr>
          <w:rFonts w:hint="eastAsia" w:ascii="Times New Roman" w:hAnsi="Times New Roman" w:eastAsia="方正楷体简体" w:cs="Times New Roman"/>
          <w:b/>
          <w:sz w:val="32"/>
          <w:szCs w:val="32"/>
        </w:rPr>
        <w:t>3</w:t>
      </w:r>
      <w:r>
        <w:rPr>
          <w:rFonts w:ascii="Times New Roman" w:hAnsi="Times New Roman" w:eastAsia="方正楷体简体" w:cs="Times New Roman"/>
          <w:b/>
          <w:sz w:val="32"/>
          <w:szCs w:val="32"/>
        </w:rPr>
        <w:t>、</w:t>
      </w:r>
      <w:r>
        <w:rPr>
          <w:rFonts w:hint="eastAsia" w:ascii="Times New Roman" w:hAnsi="Times New Roman" w:eastAsia="方正楷体简体" w:cs="Times New Roman"/>
          <w:b/>
          <w:sz w:val="32"/>
          <w:szCs w:val="32"/>
        </w:rPr>
        <w:t>树立底线思维，推进党风廉政建设</w:t>
      </w:r>
      <w:r>
        <w:rPr>
          <w:rFonts w:ascii="Times New Roman" w:hAnsi="Times New Roman" w:eastAsia="方正楷体简体" w:cs="Times New Roman"/>
          <w:b/>
          <w:sz w:val="32"/>
          <w:szCs w:val="32"/>
        </w:rPr>
        <w:t>。</w:t>
      </w:r>
      <w:r>
        <w:rPr>
          <w:rFonts w:ascii="Times New Roman" w:hAnsi="Times New Roman" w:eastAsia="方正仿宋简体" w:cs="Times New Roman"/>
          <w:b/>
          <w:kern w:val="0"/>
          <w:sz w:val="32"/>
          <w:szCs w:val="32"/>
          <w:shd w:val="clear" w:color="auto" w:fill="FFFFFF"/>
        </w:rPr>
        <w:t>严格</w:t>
      </w:r>
      <w:r>
        <w:rPr>
          <w:rFonts w:hint="eastAsia" w:ascii="Times New Roman" w:hAnsi="Times New Roman" w:eastAsia="方正仿宋简体" w:cs="Times New Roman"/>
          <w:b/>
          <w:kern w:val="0"/>
          <w:sz w:val="32"/>
          <w:szCs w:val="32"/>
          <w:shd w:val="clear" w:color="auto" w:fill="FFFFFF"/>
        </w:rPr>
        <w:t>遵守党的政治纪律和政治规矩，坚决</w:t>
      </w:r>
      <w:r>
        <w:rPr>
          <w:rFonts w:ascii="Times New Roman" w:hAnsi="Times New Roman" w:eastAsia="方正仿宋简体" w:cs="Times New Roman"/>
          <w:b/>
          <w:kern w:val="0"/>
          <w:sz w:val="32"/>
          <w:szCs w:val="32"/>
          <w:shd w:val="clear" w:color="auto" w:fill="FFFFFF"/>
        </w:rPr>
        <w:t>落实中央八项规定及其实施细则精神和省委、市委实施办法，</w:t>
      </w:r>
      <w:r>
        <w:rPr>
          <w:rFonts w:ascii="Times New Roman" w:hAnsi="Times New Roman" w:eastAsia="方正仿宋简体" w:cs="Times New Roman"/>
          <w:b/>
          <w:sz w:val="32"/>
          <w:szCs w:val="32"/>
        </w:rPr>
        <w:t>研究制定党风廉政建设责任清单，</w:t>
      </w:r>
      <w:r>
        <w:rPr>
          <w:rFonts w:ascii="Times New Roman" w:hAnsi="Times New Roman" w:eastAsia="方正仿宋简体" w:cs="Times New Roman"/>
          <w:b/>
          <w:kern w:val="0"/>
          <w:sz w:val="32"/>
          <w:szCs w:val="32"/>
          <w:shd w:val="clear" w:color="auto" w:fill="FFFFFF"/>
        </w:rPr>
        <w:t>扎实开展党风党纪教育、廉洁教育</w:t>
      </w:r>
      <w:r>
        <w:rPr>
          <w:rFonts w:hint="eastAsia" w:ascii="Times New Roman" w:hAnsi="Times New Roman" w:eastAsia="方正仿宋简体" w:cs="Times New Roman"/>
          <w:b/>
          <w:kern w:val="0"/>
          <w:sz w:val="32"/>
          <w:szCs w:val="32"/>
          <w:shd w:val="clear" w:color="auto" w:fill="FFFFFF"/>
        </w:rPr>
        <w:t>、</w:t>
      </w:r>
      <w:r>
        <w:rPr>
          <w:rFonts w:ascii="Times New Roman" w:hAnsi="Times New Roman" w:eastAsia="方正仿宋简体" w:cs="Times New Roman"/>
          <w:b/>
          <w:kern w:val="0"/>
          <w:sz w:val="32"/>
          <w:szCs w:val="32"/>
          <w:shd w:val="clear" w:color="auto" w:fill="FFFFFF"/>
        </w:rPr>
        <w:t>警示教育</w:t>
      </w:r>
      <w:r>
        <w:rPr>
          <w:rFonts w:hint="eastAsia" w:ascii="Times New Roman" w:hAnsi="Times New Roman" w:eastAsia="方正仿宋简体" w:cs="Times New Roman"/>
          <w:b/>
          <w:kern w:val="0"/>
          <w:sz w:val="32"/>
          <w:szCs w:val="32"/>
          <w:shd w:val="clear" w:color="auto" w:fill="FFFFFF"/>
        </w:rPr>
        <w:t>和谈心谈话</w:t>
      </w:r>
      <w:r>
        <w:rPr>
          <w:rFonts w:ascii="Times New Roman" w:hAnsi="Times New Roman" w:eastAsia="方正仿宋简体" w:cs="Times New Roman"/>
          <w:b/>
          <w:kern w:val="0"/>
          <w:sz w:val="32"/>
          <w:szCs w:val="32"/>
          <w:shd w:val="clear" w:color="auto" w:fill="FFFFFF"/>
        </w:rPr>
        <w:t>活动，加大廉政风险防控。根据投资促进工作特点和具体实际，严格执行重大事项请示报告制度，严格落实向派驻纪检监察组每季度报告党组会研究问题情况、每半年报告局机关党风廉政建设情况。</w:t>
      </w:r>
    </w:p>
    <w:p>
      <w:pPr>
        <w:spacing w:line="580" w:lineRule="exact"/>
        <w:ind w:firstLine="643" w:firstLineChars="200"/>
        <w:rPr>
          <w:rFonts w:ascii="Times New Roman" w:hAnsi="Times New Roman" w:eastAsia="方正仿宋简体" w:cs="Times New Roman"/>
          <w:b/>
          <w:sz w:val="32"/>
          <w:szCs w:val="32"/>
        </w:rPr>
      </w:pPr>
      <w:r>
        <w:rPr>
          <w:rFonts w:hint="eastAsia" w:ascii="Times New Roman" w:hAnsi="Times New Roman" w:eastAsia="方正楷体简体" w:cs="Times New Roman"/>
          <w:b/>
          <w:sz w:val="32"/>
          <w:szCs w:val="32"/>
        </w:rPr>
        <w:t>4</w:t>
      </w:r>
      <w:r>
        <w:rPr>
          <w:rFonts w:ascii="Times New Roman" w:hAnsi="Times New Roman" w:eastAsia="方正楷体简体" w:cs="Times New Roman"/>
          <w:b/>
          <w:sz w:val="32"/>
          <w:szCs w:val="32"/>
        </w:rPr>
        <w:t>、落实</w:t>
      </w:r>
      <w:r>
        <w:rPr>
          <w:rFonts w:hint="eastAsia" w:ascii="Times New Roman" w:hAnsi="Times New Roman" w:eastAsia="方正楷体简体" w:cs="Times New Roman"/>
          <w:b/>
          <w:sz w:val="32"/>
          <w:szCs w:val="32"/>
        </w:rPr>
        <w:t>意识形态工作责任制，坚守意识形态阵地。</w:t>
      </w:r>
      <w:r>
        <w:rPr>
          <w:rFonts w:hint="eastAsia" w:ascii="Times New Roman" w:hAnsi="Times New Roman" w:eastAsia="方正仿宋简体" w:cs="Times New Roman"/>
          <w:b/>
          <w:sz w:val="32"/>
          <w:szCs w:val="32"/>
        </w:rPr>
        <w:t>认真学习贯彻《党委（党组）意识形态工作责任制实施办法》等中央关于意识形态工作的决策部署和省委、市委有关会议、文件精神，及时</w:t>
      </w:r>
      <w:r>
        <w:rPr>
          <w:rFonts w:hint="eastAsia" w:ascii="Times New Roman" w:hAnsi="Times New Roman" w:eastAsia="方正仿宋简体" w:cs="Times New Roman"/>
          <w:b/>
          <w:kern w:val="0"/>
          <w:sz w:val="32"/>
          <w:szCs w:val="32"/>
          <w:shd w:val="clear" w:color="auto" w:fill="FFFFFF"/>
        </w:rPr>
        <w:t>制定完善贯彻落实措施。</w:t>
      </w:r>
      <w:r>
        <w:rPr>
          <w:rFonts w:ascii="Times New Roman" w:hAnsi="Times New Roman" w:eastAsia="方正仿宋简体" w:cs="Times New Roman"/>
          <w:b/>
          <w:kern w:val="0"/>
          <w:sz w:val="32"/>
          <w:szCs w:val="32"/>
          <w:shd w:val="clear" w:color="auto" w:fill="FFFFFF"/>
        </w:rPr>
        <w:t>局党组每年至少</w:t>
      </w:r>
      <w:r>
        <w:rPr>
          <w:rFonts w:hint="eastAsia" w:ascii="Times New Roman" w:hAnsi="Times New Roman" w:eastAsia="方正仿宋简体" w:cs="Times New Roman"/>
          <w:b/>
          <w:kern w:val="0"/>
          <w:sz w:val="32"/>
          <w:szCs w:val="32"/>
          <w:shd w:val="clear" w:color="auto" w:fill="FFFFFF"/>
        </w:rPr>
        <w:t>2</w:t>
      </w:r>
      <w:r>
        <w:rPr>
          <w:rFonts w:ascii="Times New Roman" w:hAnsi="Times New Roman" w:eastAsia="方正仿宋简体" w:cs="Times New Roman"/>
          <w:b/>
          <w:kern w:val="0"/>
          <w:sz w:val="32"/>
          <w:szCs w:val="32"/>
          <w:shd w:val="clear" w:color="auto" w:fill="FFFFFF"/>
        </w:rPr>
        <w:t>次专题研究意识形态工作</w:t>
      </w:r>
      <w:r>
        <w:rPr>
          <w:rFonts w:hint="eastAsia" w:ascii="Times New Roman" w:hAnsi="Times New Roman" w:eastAsia="方正仿宋简体" w:cs="Times New Roman"/>
          <w:b/>
          <w:kern w:val="0"/>
          <w:sz w:val="32"/>
          <w:szCs w:val="32"/>
          <w:shd w:val="clear" w:color="auto" w:fill="FFFFFF"/>
        </w:rPr>
        <w:t>。建立健全意识形态工作领导体制机制，每年至少召开 2 次领导小组会议，</w:t>
      </w:r>
      <w:r>
        <w:rPr>
          <w:rFonts w:ascii="Times New Roman" w:hAnsi="Times New Roman" w:eastAsia="方正仿宋简体" w:cs="Times New Roman"/>
          <w:b/>
          <w:kern w:val="0"/>
          <w:sz w:val="32"/>
          <w:szCs w:val="32"/>
          <w:shd w:val="clear" w:color="auto" w:fill="FFFFFF"/>
        </w:rPr>
        <w:t>每半年将意识形态工作情况向上级党</w:t>
      </w:r>
      <w:r>
        <w:rPr>
          <w:rFonts w:hint="eastAsia" w:ascii="Times New Roman" w:hAnsi="Times New Roman" w:eastAsia="方正仿宋简体" w:cs="Times New Roman"/>
          <w:b/>
          <w:kern w:val="0"/>
          <w:sz w:val="32"/>
          <w:szCs w:val="32"/>
          <w:shd w:val="clear" w:color="auto" w:fill="FFFFFF"/>
        </w:rPr>
        <w:t>组织</w:t>
      </w:r>
      <w:r>
        <w:rPr>
          <w:rFonts w:ascii="Times New Roman" w:hAnsi="Times New Roman" w:eastAsia="方正仿宋简体" w:cs="Times New Roman"/>
          <w:b/>
          <w:kern w:val="0"/>
          <w:sz w:val="32"/>
          <w:szCs w:val="32"/>
          <w:shd w:val="clear" w:color="auto" w:fill="FFFFFF"/>
        </w:rPr>
        <w:t>汇报并进行通报。</w:t>
      </w:r>
      <w:r>
        <w:rPr>
          <w:rFonts w:hint="eastAsia" w:ascii="Times New Roman" w:hAnsi="Times New Roman" w:eastAsia="方正仿宋简体" w:cs="Times New Roman"/>
          <w:b/>
          <w:bCs/>
          <w:sz w:val="32"/>
          <w:szCs w:val="32"/>
          <w:shd w:val="clear" w:color="auto" w:fill="FFFFFF"/>
        </w:rPr>
        <w:t>学习贯彻</w:t>
      </w:r>
      <w:r>
        <w:rPr>
          <w:rFonts w:hint="eastAsia" w:ascii="Times New Roman" w:hAnsi="Times New Roman" w:eastAsia="方正仿宋简体" w:cs="Times New Roman"/>
          <w:b/>
          <w:sz w:val="32"/>
          <w:szCs w:val="32"/>
        </w:rPr>
        <w:t>《中国共产党统一战线工作条例》，将统战工作纳入党组重要议事日程，扎实推进统一战线工作。</w:t>
      </w:r>
      <w:r>
        <w:rPr>
          <w:rFonts w:ascii="Times New Roman" w:hAnsi="Times New Roman" w:eastAsia="方正仿宋简体" w:cs="Times New Roman"/>
          <w:b/>
          <w:kern w:val="0"/>
          <w:sz w:val="32"/>
          <w:szCs w:val="32"/>
          <w:shd w:val="clear" w:color="auto" w:fill="FFFFFF"/>
        </w:rPr>
        <w:t>落实</w:t>
      </w:r>
      <w:r>
        <w:rPr>
          <w:rFonts w:ascii="Times New Roman" w:hAnsi="Times New Roman" w:eastAsia="方正仿宋简体" w:cs="Times New Roman"/>
          <w:b/>
          <w:sz w:val="32"/>
          <w:szCs w:val="32"/>
        </w:rPr>
        <w:t>党组网络意识形态责任制，开展意识形态领域风险隐患排查整改</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对市投资促进局网站、</w:t>
      </w:r>
      <w:r>
        <w:rPr>
          <w:rFonts w:hint="eastAsia" w:ascii="Times New Roman" w:hAnsi="Times New Roman" w:eastAsia="方正仿宋简体" w:cs="Times New Roman"/>
          <w:b/>
          <w:sz w:val="32"/>
          <w:szCs w:val="32"/>
        </w:rPr>
        <w:t>局</w:t>
      </w:r>
      <w:r>
        <w:rPr>
          <w:rFonts w:ascii="Times New Roman" w:hAnsi="Times New Roman" w:eastAsia="方正仿宋简体" w:cs="Times New Roman"/>
          <w:b/>
          <w:sz w:val="32"/>
          <w:szCs w:val="32"/>
        </w:rPr>
        <w:t>微信公众号等新媒体，严格规范管理，及时防范化解网络安全风险，做好重大舆情应对处置。</w:t>
      </w:r>
    </w:p>
    <w:p>
      <w:pPr>
        <w:spacing w:line="580" w:lineRule="exact"/>
        <w:ind w:firstLine="643" w:firstLineChars="200"/>
        <w:rPr>
          <w:rFonts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rPr>
        <w:t>二、抢抓新发展机遇，扎实推进“双招双引”</w:t>
      </w:r>
      <w:r>
        <w:rPr>
          <w:rFonts w:ascii="Times New Roman" w:hAnsi="Times New Roman" w:eastAsia="方正黑体简体" w:cs="Times New Roman"/>
          <w:b/>
          <w:bCs/>
          <w:sz w:val="32"/>
          <w:szCs w:val="32"/>
        </w:rPr>
        <w:t xml:space="preserve"> </w:t>
      </w:r>
    </w:p>
    <w:p>
      <w:pPr>
        <w:tabs>
          <w:tab w:val="left" w:pos="4680"/>
        </w:tabs>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楷体简体" w:cs="Times New Roman"/>
          <w:b/>
          <w:sz w:val="32"/>
          <w:szCs w:val="32"/>
        </w:rPr>
        <w:t>5、突出产业链招商，</w:t>
      </w:r>
      <w:r>
        <w:rPr>
          <w:rFonts w:ascii="Times New Roman" w:hAnsi="Times New Roman" w:eastAsia="方正楷体简体" w:cs="Times New Roman"/>
          <w:b/>
          <w:bCs/>
          <w:sz w:val="32"/>
          <w:szCs w:val="32"/>
        </w:rPr>
        <w:t>推进</w:t>
      </w:r>
      <w:r>
        <w:rPr>
          <w:rFonts w:hint="eastAsia" w:ascii="Times New Roman" w:hAnsi="Times New Roman" w:eastAsia="方正楷体简体" w:cs="Times New Roman"/>
          <w:b/>
          <w:bCs/>
          <w:sz w:val="32"/>
          <w:szCs w:val="32"/>
        </w:rPr>
        <w:t>先进制造业产业集群和现代物流业</w:t>
      </w:r>
      <w:r>
        <w:rPr>
          <w:rFonts w:ascii="Times New Roman" w:hAnsi="Times New Roman" w:eastAsia="方正楷体简体" w:cs="Times New Roman"/>
          <w:b/>
          <w:bCs/>
          <w:sz w:val="32"/>
          <w:szCs w:val="32"/>
        </w:rPr>
        <w:t>取得新进展</w:t>
      </w:r>
      <w:r>
        <w:rPr>
          <w:rFonts w:hint="eastAsia" w:ascii="Times New Roman" w:hAnsi="Times New Roman" w:eastAsia="方正楷体简体" w:cs="Times New Roman"/>
          <w:b/>
          <w:sz w:val="32"/>
          <w:szCs w:val="32"/>
        </w:rPr>
        <w:t>。</w:t>
      </w:r>
      <w:r>
        <w:rPr>
          <w:rFonts w:hint="eastAsia" w:ascii="Times New Roman" w:hAnsi="Times New Roman" w:eastAsia="方正仿宋简体" w:cs="Times New Roman"/>
          <w:b/>
          <w:kern w:val="0"/>
          <w:sz w:val="32"/>
          <w:szCs w:val="32"/>
          <w:shd w:val="clear" w:color="auto" w:fill="FFFFFF"/>
        </w:rPr>
        <w:t>围绕建设“制造业强市”，落实好“231”先进制造业集群、物流产业发展三年行动计划，把先进制造业“231”产业集群和现代物流业作为招商工作重中之重，按照“招龙头、补链条、聚集群”的思路，围绕重点打造的30个核心产业链，深入研究产业链上下游资源，梳理绘制产业链图谱，找准产业链关键环节重点目标企业，精心编制产业招商专案，有针对性开展产业链招商，补齐短板、锻造长板。</w:t>
      </w:r>
      <w:r>
        <w:rPr>
          <w:rFonts w:hint="eastAsia" w:ascii="方正楷体简体" w:hAnsi="方正楷体简体" w:eastAsia="方正楷体简体" w:cs="方正楷体简体"/>
          <w:b/>
          <w:kern w:val="0"/>
          <w:sz w:val="32"/>
          <w:szCs w:val="32"/>
          <w:shd w:val="clear" w:color="auto" w:fill="FFFFFF"/>
        </w:rPr>
        <w:t>高端装备产业，</w:t>
      </w:r>
      <w:r>
        <w:rPr>
          <w:rFonts w:hint="eastAsia" w:ascii="Times New Roman" w:hAnsi="Times New Roman" w:eastAsia="方正仿宋简体" w:cs="Times New Roman"/>
          <w:b/>
          <w:kern w:val="0"/>
          <w:sz w:val="32"/>
          <w:szCs w:val="32"/>
          <w:shd w:val="clear" w:color="auto" w:fill="FFFFFF"/>
        </w:rPr>
        <w:t>聚焦工程机械、矿山装备、农机装备、汽车及零部件、高技术船舶、教育装备、高端数控机床及成套装备等7大方向，重点招引精密装备制造、农用机械制造、汽车零部件、智能机器人、矿山机电、智能配电设备、新能源专用车及配套零部件、专用车高端零部件、工程机械等产业项目，打造国家级先进制造业集群。</w:t>
      </w:r>
      <w:r>
        <w:rPr>
          <w:rFonts w:hint="eastAsia" w:ascii="方正楷体简体" w:hAnsi="方正楷体简体" w:eastAsia="方正楷体简体" w:cs="方正楷体简体"/>
          <w:b/>
          <w:kern w:val="0"/>
          <w:sz w:val="32"/>
          <w:szCs w:val="32"/>
          <w:shd w:val="clear" w:color="auto" w:fill="FFFFFF"/>
        </w:rPr>
        <w:t>高端化工产业，</w:t>
      </w:r>
      <w:r>
        <w:rPr>
          <w:rFonts w:hint="eastAsia" w:ascii="Times New Roman" w:hAnsi="Times New Roman" w:eastAsia="方正仿宋简体" w:cs="Times New Roman"/>
          <w:b/>
          <w:kern w:val="0"/>
          <w:sz w:val="32"/>
          <w:szCs w:val="32"/>
          <w:shd w:val="clear" w:color="auto" w:fill="FFFFFF"/>
        </w:rPr>
        <w:t>聚焦煤化工、</w:t>
      </w:r>
      <w:r>
        <w:rPr>
          <w:rFonts w:hint="eastAsia" w:ascii="Times New Roman" w:hAnsi="Times New Roman" w:eastAsia="方正仿宋简体" w:cs="Times New Roman"/>
          <w:b/>
          <w:kern w:val="0"/>
          <w:sz w:val="32"/>
          <w:szCs w:val="32"/>
          <w:shd w:val="clear" w:color="auto" w:fill="FFFFFF"/>
          <w:lang w:val="en-US" w:eastAsia="zh-CN"/>
        </w:rPr>
        <w:t>盐化工、</w:t>
      </w:r>
      <w:r>
        <w:rPr>
          <w:rFonts w:hint="eastAsia" w:ascii="Times New Roman" w:hAnsi="Times New Roman" w:eastAsia="方正仿宋简体" w:cs="Times New Roman"/>
          <w:b/>
          <w:kern w:val="0"/>
          <w:sz w:val="32"/>
          <w:szCs w:val="32"/>
          <w:shd w:val="clear" w:color="auto" w:fill="FFFFFF"/>
        </w:rPr>
        <w:t>精细化工、化工新材料等4大方向，做强做优7家化工园区，重点招引煤炭精深加工、盐化工、精细化工、化工新材料等项目。</w:t>
      </w:r>
      <w:r>
        <w:rPr>
          <w:rFonts w:hint="eastAsia" w:ascii="方正楷体简体" w:hAnsi="方正楷体简体" w:eastAsia="方正楷体简体" w:cs="方正楷体简体"/>
          <w:b/>
          <w:kern w:val="0"/>
          <w:sz w:val="32"/>
          <w:szCs w:val="32"/>
          <w:shd w:val="clear" w:color="auto" w:fill="FFFFFF"/>
        </w:rPr>
        <w:t>新一代信息技术产业，</w:t>
      </w:r>
      <w:r>
        <w:rPr>
          <w:rFonts w:hint="eastAsia" w:ascii="Times New Roman" w:hAnsi="Times New Roman" w:eastAsia="方正仿宋简体" w:cs="Times New Roman"/>
          <w:b/>
          <w:kern w:val="0"/>
          <w:sz w:val="32"/>
          <w:szCs w:val="32"/>
          <w:shd w:val="clear" w:color="auto" w:fill="FFFFFF"/>
        </w:rPr>
        <w:t>聚焦智能终端、工业机器人、第三代半导体、印制电路板、数字经济等5大方向，围绕济宁智能终端产业园、邹城机器人产业园、曲阜市电子信息制造业基地、任城区软件信息服务业核心区等产业园区，重点招引信息技术制造业项目。</w:t>
      </w:r>
      <w:r>
        <w:rPr>
          <w:rFonts w:hint="eastAsia" w:ascii="方正楷体简体" w:hAnsi="方正楷体简体" w:eastAsia="方正楷体简体" w:cs="方正楷体简体"/>
          <w:b/>
          <w:kern w:val="0"/>
          <w:sz w:val="32"/>
          <w:szCs w:val="32"/>
          <w:shd w:val="clear" w:color="auto" w:fill="FFFFFF"/>
        </w:rPr>
        <w:t>新能源产业，</w:t>
      </w:r>
      <w:r>
        <w:rPr>
          <w:rFonts w:hint="eastAsia" w:ascii="Times New Roman" w:hAnsi="Times New Roman" w:eastAsia="方正仿宋简体" w:cs="Times New Roman"/>
          <w:b/>
          <w:kern w:val="0"/>
          <w:sz w:val="32"/>
          <w:szCs w:val="32"/>
          <w:shd w:val="clear" w:color="auto" w:fill="FFFFFF"/>
        </w:rPr>
        <w:t>聚焦新能源储能装备、新能源集热装备、新能源汽车装备、氢能源研发与应用等4大方向，围绕打造氢能源产业综合示范区、新能源汽车产业创新及高端装备制造基地等，重点招引引领型、龙头型项目，建设具有济宁特色的新能源产业示范基地。</w:t>
      </w:r>
      <w:r>
        <w:rPr>
          <w:rFonts w:hint="eastAsia" w:ascii="方正楷体简体" w:hAnsi="方正楷体简体" w:eastAsia="方正楷体简体" w:cs="方正楷体简体"/>
          <w:b/>
          <w:kern w:val="0"/>
          <w:sz w:val="32"/>
          <w:szCs w:val="32"/>
          <w:shd w:val="clear" w:color="auto" w:fill="FFFFFF"/>
        </w:rPr>
        <w:t>新材料产业，</w:t>
      </w:r>
      <w:r>
        <w:rPr>
          <w:rFonts w:hint="eastAsia" w:ascii="Times New Roman" w:hAnsi="Times New Roman" w:eastAsia="方正仿宋简体" w:cs="Times New Roman"/>
          <w:b/>
          <w:kern w:val="0"/>
          <w:sz w:val="32"/>
          <w:szCs w:val="32"/>
          <w:shd w:val="clear" w:color="auto" w:fill="FFFFFF"/>
        </w:rPr>
        <w:t>聚焦特种功能材料、石墨烯新材料、生物基新材料、稀土新材料、碳纤维新材料、造纸新材料等6大方向，围绕济宁新材料产业园、任城济北高新技术产业园、济宁高新区新材料产业园、</w:t>
      </w:r>
      <w:r>
        <w:rPr>
          <w:rFonts w:hint="eastAsia" w:ascii="Times New Roman" w:hAnsi="Times New Roman" w:eastAsia="方正仿宋简体" w:cs="Times New Roman"/>
          <w:b/>
          <w:kern w:val="0"/>
          <w:sz w:val="32"/>
          <w:szCs w:val="32"/>
          <w:shd w:val="clear" w:color="auto" w:fill="FFFFFF"/>
          <w:lang w:val="en-US" w:eastAsia="zh-CN"/>
        </w:rPr>
        <w:t>济宁经开区中科新能源新材料产业园、</w:t>
      </w:r>
      <w:r>
        <w:rPr>
          <w:rFonts w:hint="eastAsia" w:ascii="Times New Roman" w:hAnsi="Times New Roman" w:eastAsia="方正仿宋简体" w:cs="Times New Roman"/>
          <w:b/>
          <w:kern w:val="0"/>
          <w:sz w:val="32"/>
          <w:szCs w:val="32"/>
          <w:shd w:val="clear" w:color="auto" w:fill="FFFFFF"/>
        </w:rPr>
        <w:t>微山钢研中铝稀土功能材料产业园等重点园区，重点招引化工新材料、生物新材料、半导体新材料、稀土新材料等特色项目，打造全国知名新材料基地。</w:t>
      </w:r>
      <w:r>
        <w:rPr>
          <w:rFonts w:hint="eastAsia" w:ascii="方正楷体简体" w:hAnsi="方正楷体简体" w:eastAsia="方正楷体简体" w:cs="方正楷体简体"/>
          <w:b/>
          <w:kern w:val="0"/>
          <w:sz w:val="32"/>
          <w:szCs w:val="32"/>
          <w:shd w:val="clear" w:color="auto" w:fill="FFFFFF"/>
        </w:rPr>
        <w:t>医药产业，</w:t>
      </w:r>
      <w:r>
        <w:rPr>
          <w:rFonts w:hint="eastAsia" w:ascii="Times New Roman" w:hAnsi="Times New Roman" w:eastAsia="方正仿宋简体" w:cs="Times New Roman"/>
          <w:b/>
          <w:kern w:val="0"/>
          <w:sz w:val="32"/>
          <w:szCs w:val="32"/>
          <w:shd w:val="clear" w:color="auto" w:fill="FFFFFF"/>
        </w:rPr>
        <w:t>聚焦化学制药、生物制药、现代中药、医疗器械等4大方向，围绕济宁生命科学中心、金科生命健康科技城、邹城市高精新医药孵化园等重点园区，重点招引化学制药、生物制药、现代中药和医疗器械等项目，打造全国生物医药产业高地。</w:t>
      </w:r>
    </w:p>
    <w:p>
      <w:pPr>
        <w:tabs>
          <w:tab w:val="left" w:pos="4680"/>
        </w:tabs>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仿宋简体" w:cs="Times New Roman"/>
          <w:b/>
          <w:kern w:val="0"/>
          <w:sz w:val="32"/>
          <w:szCs w:val="32"/>
          <w:shd w:val="clear" w:color="auto" w:fill="FFFFFF"/>
        </w:rPr>
        <w:t>现代物流业以兖州陆港、京杭运河“一点一线”为牵动，依托新机场、高铁、铁路、高速等综合交通优势，加快推进兖州国际陆港物流聚集区、山东京杭多式联运物流聚集区等5个千亿级物流聚集区，兖州北站物流园等8个百亿级物流园区建设，重点招引多式联运物流、冷链物流、快递物流、电商物流等项目，打造国际公铁航空物流区、临空临港产业园。招引国内外大型物流企业在我市设立总部、分部，建设采购中心、区域分拨中心、配送中心以及二级分支机构等。</w:t>
      </w:r>
    </w:p>
    <w:p>
      <w:pPr>
        <w:pStyle w:val="2"/>
        <w:spacing w:line="580" w:lineRule="exact"/>
        <w:ind w:firstLine="643"/>
        <w:rPr>
          <w:rFonts w:ascii="Times New Roman" w:hAnsi="Times New Roman" w:eastAsia="方正仿宋简体" w:cs="Times New Roman"/>
          <w:b/>
          <w:kern w:val="0"/>
          <w:szCs w:val="32"/>
          <w:shd w:val="clear" w:color="auto" w:fill="FFFFFF"/>
        </w:rPr>
      </w:pPr>
      <w:r>
        <w:rPr>
          <w:rFonts w:hint="eastAsia" w:ascii="Times New Roman" w:hAnsi="Times New Roman" w:eastAsia="方正楷体简体" w:cs="Times New Roman"/>
          <w:b/>
          <w:szCs w:val="32"/>
        </w:rPr>
        <w:t>6、搭建活动平台，推进招大引强取得新进展。</w:t>
      </w:r>
      <w:r>
        <w:rPr>
          <w:rFonts w:hint="eastAsia" w:ascii="Times New Roman" w:hAnsi="Times New Roman" w:eastAsia="方正仿宋简体" w:cs="Times New Roman"/>
          <w:b/>
          <w:kern w:val="0"/>
          <w:szCs w:val="32"/>
          <w:shd w:val="clear" w:color="auto" w:fill="FFFFFF"/>
        </w:rPr>
        <w:t>围绕“231”产业集群和现代物流业，紧盯长三角、珠三角、京津冀、成渝等重点招商区域和世界500强、国内500强、产业（行业）龙头、瞪羚、独角兽等招商重点目标企业，在北京、上海、深圳等地举办5次“231”产业集群高质量发展合作峰会暨重大项目签约仪式。每次活动都提前印发方案，督导调度县市区走访项目、签约项目，并对项目情况进行排名通报。深挖世界500强、中国企业500强和大型央企、民企、行业龙头企业资源，拓展合作渠道与合作空间，对已梳理完成的50家重点招商目标企业深入研究，制定跟踪对接计划，精准招商对接。重点推动已与市政府签订全面战略合作协议的世茂集团、传化集团、中国煤炭地质总局等尽快形成具体合作项目；做好上海均和、深圳怡亚通、海王等已签约项目的落地投产工作；推动比亚迪集团、宝能集团、复星集团、正威集团等项目尽快签约。</w:t>
      </w:r>
    </w:p>
    <w:p>
      <w:pPr>
        <w:spacing w:line="580" w:lineRule="exact"/>
        <w:ind w:firstLine="643" w:firstLineChars="200"/>
        <w:rPr>
          <w:rFonts w:ascii="Times New Roman" w:hAnsi="Times New Roman" w:eastAsia="方正楷体简体" w:cs="Times New Roman"/>
          <w:b/>
          <w:bCs/>
          <w:color w:val="C00000"/>
          <w:sz w:val="32"/>
          <w:szCs w:val="32"/>
        </w:rPr>
      </w:pPr>
      <w:r>
        <w:rPr>
          <w:rFonts w:hint="eastAsia" w:ascii="Times New Roman" w:hAnsi="Times New Roman" w:eastAsia="方正楷体简体" w:cs="Times New Roman"/>
          <w:b/>
          <w:bCs/>
          <w:sz w:val="32"/>
          <w:szCs w:val="32"/>
        </w:rPr>
        <w:t>7、</w:t>
      </w:r>
      <w:r>
        <w:rPr>
          <w:rFonts w:ascii="Times New Roman" w:hAnsi="Times New Roman" w:eastAsia="方正楷体简体" w:cs="Times New Roman"/>
          <w:b/>
          <w:bCs/>
          <w:sz w:val="32"/>
          <w:szCs w:val="32"/>
        </w:rPr>
        <w:t>创新体制机制，推进招商方式取得新进展。</w:t>
      </w:r>
      <w:r>
        <w:rPr>
          <w:rFonts w:ascii="Times New Roman" w:hAnsi="Times New Roman" w:eastAsia="方正仿宋简体" w:cs="Times New Roman"/>
          <w:b/>
          <w:sz w:val="32"/>
          <w:szCs w:val="32"/>
        </w:rPr>
        <w:t>认真分析研判疫情防控常态化情况下，招商引资工作面临的新形势，不断创新招商</w:t>
      </w:r>
      <w:r>
        <w:rPr>
          <w:rFonts w:hint="eastAsia" w:ascii="Times New Roman" w:hAnsi="Times New Roman" w:eastAsia="方正仿宋简体" w:cs="Times New Roman"/>
          <w:b/>
          <w:sz w:val="32"/>
          <w:szCs w:val="32"/>
        </w:rPr>
        <w:t>引资</w:t>
      </w:r>
      <w:r>
        <w:rPr>
          <w:rFonts w:ascii="Times New Roman" w:hAnsi="Times New Roman" w:eastAsia="方正仿宋简体" w:cs="Times New Roman"/>
          <w:b/>
          <w:sz w:val="32"/>
          <w:szCs w:val="32"/>
        </w:rPr>
        <w:t>体制机制</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充分利用互联网、微信群、短视频等现代信息手段，搜寻项目投资信息，宣传推介投资环境，发布重点招商项目</w:t>
      </w:r>
      <w:r>
        <w:rPr>
          <w:rFonts w:hint="eastAsia" w:ascii="Times New Roman" w:hAnsi="Times New Roman" w:eastAsia="方正仿宋简体" w:cs="Times New Roman"/>
          <w:b/>
          <w:sz w:val="32"/>
          <w:szCs w:val="32"/>
        </w:rPr>
        <w:t>，积极主动</w:t>
      </w:r>
      <w:r>
        <w:rPr>
          <w:rFonts w:ascii="Times New Roman" w:hAnsi="Times New Roman" w:eastAsia="方正仿宋简体" w:cs="Times New Roman"/>
          <w:b/>
          <w:sz w:val="32"/>
          <w:szCs w:val="32"/>
        </w:rPr>
        <w:t>开展网上招商。引导支持济宁高新区</w:t>
      </w:r>
      <w:r>
        <w:rPr>
          <w:rFonts w:hint="eastAsia" w:ascii="Times New Roman" w:hAnsi="Times New Roman" w:eastAsia="方正仿宋简体" w:cs="Times New Roman"/>
          <w:b/>
          <w:sz w:val="32"/>
          <w:szCs w:val="32"/>
        </w:rPr>
        <w:t>等</w:t>
      </w:r>
      <w:r>
        <w:rPr>
          <w:rFonts w:ascii="Times New Roman" w:hAnsi="Times New Roman" w:eastAsia="方正仿宋简体" w:cs="Times New Roman"/>
          <w:b/>
          <w:sz w:val="32"/>
          <w:szCs w:val="32"/>
        </w:rPr>
        <w:t>在上海、深圳等地筹建飞地招商平台，建设双向离岸孵化器，探索</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飞地</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招商新模式。依托济宁金融中心建设，重点面向深圳、上海金融机构、私募基金、券商机构、风投公司等，更大力度开展资本招商。面向重点招商区域的国内外知名机构、商会协会、跨国公司中国区总部和我市企业驻外机构，在市级层面聘请有重要影响力和人脉关系的人士为市政府经济顾问和招商大使，加强与专业机构和经济组织的合作，通过市场化方式，开展委托代理招商。发挥异地济宁商会作用，延伸招商触角，搭建招商平台</w:t>
      </w:r>
      <w:r>
        <w:rPr>
          <w:rFonts w:hint="eastAsia" w:ascii="Times New Roman" w:hAnsi="Times New Roman" w:eastAsia="方正仿宋简体" w:cs="Times New Roman"/>
          <w:b/>
          <w:sz w:val="32"/>
          <w:szCs w:val="32"/>
        </w:rPr>
        <w:t>，以“乡音”唤起“乡情”，打好“亲情牌”“回乡牌”，鼓励引导有实力的济宁籍企业家、高层次人才回乡创业，</w:t>
      </w:r>
      <w:r>
        <w:rPr>
          <w:rFonts w:ascii="Times New Roman" w:hAnsi="Times New Roman" w:eastAsia="方正仿宋简体" w:cs="Times New Roman"/>
          <w:b/>
          <w:sz w:val="32"/>
          <w:szCs w:val="32"/>
        </w:rPr>
        <w:t>开展</w:t>
      </w:r>
      <w:r>
        <w:rPr>
          <w:rFonts w:hint="eastAsia" w:ascii="Times New Roman" w:hAnsi="Times New Roman" w:eastAsia="方正仿宋简体" w:cs="Times New Roman"/>
          <w:b/>
          <w:sz w:val="32"/>
          <w:szCs w:val="32"/>
        </w:rPr>
        <w:t>亲情</w:t>
      </w:r>
      <w:r>
        <w:rPr>
          <w:rFonts w:ascii="Times New Roman" w:hAnsi="Times New Roman" w:eastAsia="方正仿宋简体" w:cs="Times New Roman"/>
          <w:b/>
          <w:sz w:val="32"/>
          <w:szCs w:val="32"/>
        </w:rPr>
        <w:t>招商。</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楷体简体" w:cs="Times New Roman"/>
          <w:b/>
          <w:sz w:val="32"/>
          <w:szCs w:val="32"/>
        </w:rPr>
        <w:t>8、拓展招商资源，推进区域招商取得新进展。</w:t>
      </w:r>
      <w:r>
        <w:rPr>
          <w:rFonts w:hint="eastAsia" w:ascii="Times New Roman" w:hAnsi="Times New Roman" w:eastAsia="方正仿宋简体" w:cs="Times New Roman"/>
          <w:b/>
          <w:kern w:val="0"/>
          <w:sz w:val="32"/>
          <w:szCs w:val="32"/>
          <w:shd w:val="clear" w:color="auto" w:fill="FFFFFF"/>
        </w:rPr>
        <w:t>精准锁定产业契合度高、合作紧密、交流密切的京津冀、长三角、珠三角、成渝等重点招商区域，深化拓展与当地国内外知名机构、商会协会、跨国公司和我市企业驻外机构的合作，根据各区域产业特点，分别制定个性化招商方案，扎实开展区域招商。进一步完善市政府驻上海、深圳和重庆3个驻外联络处体制机制，充实精干力量，加强管理，积极对接长三角、珠三角、成渝等重点区域产业转移，聚焦产业互补，强力攻坚突破，重点招引投资规模大、科技含量高的大项目、好项目。加大对县市区驻外招商人员的管理服务，定期督导调度县市区驻外联络处工作开展情况和实际成效。</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方正楷体简体" w:hAnsi="方正楷体简体" w:eastAsia="方正楷体简体" w:cs="方正楷体简体"/>
          <w:b/>
          <w:bCs/>
          <w:sz w:val="32"/>
          <w:szCs w:val="32"/>
        </w:rPr>
        <w:t>9、发挥企业招商主体作用，推进以企招商取得新进展。</w:t>
      </w:r>
      <w:r>
        <w:rPr>
          <w:rFonts w:hint="eastAsia" w:ascii="Times New Roman" w:hAnsi="Times New Roman" w:eastAsia="方正仿宋简体" w:cs="Times New Roman"/>
          <w:b/>
          <w:kern w:val="0"/>
          <w:sz w:val="32"/>
          <w:szCs w:val="32"/>
          <w:shd w:val="clear" w:color="auto" w:fill="FFFFFF"/>
        </w:rPr>
        <w:t>围绕实施企业攀登工程，筛选部分市场前景好、产品配套关联度高、成长性强的骨干企业，建立包保联络机制。市投资促进局班子成员负责联系包保县市区、功能区，统筹指导县市区、功能区抓好以企招商。各县市区、功能区投资促进中心班子成员各联系2家“231”产业集群重点企业，定期组织到企业开展产业调研，及时了解企业需求、发展方向和产业链资源，</w:t>
      </w:r>
      <w:r>
        <w:rPr>
          <w:rFonts w:hint="eastAsia" w:ascii="Times New Roman" w:hAnsi="Times New Roman" w:eastAsia="方正仿宋简体" w:cs="Times New Roman"/>
          <w:b/>
          <w:bCs/>
          <w:sz w:val="32"/>
          <w:szCs w:val="32"/>
          <w:shd w:val="clear" w:color="auto" w:fill="FFFFFF"/>
        </w:rPr>
        <w:t>帮助企业量身制作招商专案。</w:t>
      </w:r>
      <w:r>
        <w:rPr>
          <w:rFonts w:hint="eastAsia" w:ascii="Times New Roman" w:hAnsi="Times New Roman" w:eastAsia="方正仿宋简体" w:cs="Times New Roman"/>
          <w:b/>
          <w:kern w:val="0"/>
          <w:sz w:val="32"/>
          <w:szCs w:val="32"/>
          <w:shd w:val="clear" w:color="auto" w:fill="FFFFFF"/>
        </w:rPr>
        <w:t>在市级层面组织举办的招商活动中，积极邀请本地企业参会，推动本地企业与500强和行业龙头企业对接交流，扩大对外合作。利用大数据手段对现有企业发展情况进行判断分析，对“僵尸”企业及低效企业，通过破产或鼓励对外合资合作等方式，有效盘活企业资产，推动土地高效利用。对企业闲置厂房和土地，积极寻求对外招商合作，加快推进企业以商招商。对以企招商“母企业”给予重奖。</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楷体简体" w:cs="Times New Roman"/>
          <w:b/>
          <w:sz w:val="32"/>
          <w:szCs w:val="32"/>
        </w:rPr>
        <w:t>10、完善要素保障，推进园区招商取得新进展。</w:t>
      </w:r>
      <w:r>
        <w:rPr>
          <w:rFonts w:hint="eastAsia" w:ascii="Times New Roman" w:hAnsi="Times New Roman" w:eastAsia="方正仿宋简体" w:cs="Times New Roman"/>
          <w:b/>
          <w:kern w:val="0"/>
          <w:sz w:val="32"/>
          <w:szCs w:val="32"/>
          <w:shd w:val="clear" w:color="auto" w:fill="FFFFFF"/>
        </w:rPr>
        <w:t>坚持“亩均论英雄”理念，突出园区“招商主战场”地位，认真分析梳理园区主导产业链条，加强与开发区国有平台及招商公司合作，按照“产业园区+标准厂房+产业基金+资本运作”模式，鼓励引导有条件的园区大力度建设标准化厂房，强化土地、资金、产业配套等要素保障，重点开展产业链招商，主动承接“231”产业转移项目</w:t>
      </w:r>
      <w:r>
        <w:rPr>
          <w:rFonts w:ascii="Times New Roman" w:hAnsi="Times New Roman" w:eastAsia="方正仿宋简体" w:cs="Times New Roman"/>
          <w:b/>
          <w:bCs/>
          <w:sz w:val="32"/>
          <w:szCs w:val="32"/>
          <w:shd w:val="clear" w:color="auto" w:fill="FFFFFF"/>
        </w:rPr>
        <w:t>，为项目提供</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拎包入住</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条件，加速项目落地。</w:t>
      </w:r>
      <w:r>
        <w:rPr>
          <w:rFonts w:hint="eastAsia" w:ascii="Times New Roman" w:hAnsi="Times New Roman" w:eastAsia="方正仿宋简体" w:cs="Times New Roman"/>
          <w:b/>
          <w:kern w:val="0"/>
          <w:sz w:val="32"/>
          <w:szCs w:val="32"/>
          <w:shd w:val="clear" w:color="auto" w:fill="FFFFFF"/>
        </w:rPr>
        <w:t>围绕高新区智能终端产业园、曲阜电子信息制造产业园、嘉祥县高铁产业园等新一代信息技术产业，兖州农机装备、邹城矿山机械、梁山专用汽车</w:t>
      </w:r>
      <w:r>
        <w:rPr>
          <w:rFonts w:hint="eastAsia" w:ascii="Times New Roman" w:hAnsi="Times New Roman" w:eastAsia="方正仿宋简体" w:cs="Times New Roman"/>
          <w:b/>
          <w:kern w:val="0"/>
          <w:sz w:val="32"/>
          <w:szCs w:val="32"/>
          <w:shd w:val="clear" w:color="auto" w:fill="FFFFFF"/>
          <w:lang w:eastAsia="zh-CN"/>
        </w:rPr>
        <w:t>、</w:t>
      </w:r>
      <w:r>
        <w:rPr>
          <w:rFonts w:hint="eastAsia" w:ascii="Times New Roman" w:hAnsi="Times New Roman" w:eastAsia="方正仿宋简体" w:cs="Times New Roman"/>
          <w:b/>
          <w:kern w:val="0"/>
          <w:sz w:val="32"/>
          <w:szCs w:val="32"/>
          <w:shd w:val="clear" w:color="auto" w:fill="FFFFFF"/>
          <w:lang w:val="en-US" w:eastAsia="zh-CN"/>
        </w:rPr>
        <w:t>济宁经开区教育装备</w:t>
      </w:r>
      <w:r>
        <w:rPr>
          <w:rFonts w:hint="eastAsia" w:ascii="Times New Roman" w:hAnsi="Times New Roman" w:eastAsia="方正仿宋简体" w:cs="Times New Roman"/>
          <w:b/>
          <w:kern w:val="0"/>
          <w:sz w:val="32"/>
          <w:szCs w:val="32"/>
          <w:shd w:val="clear" w:color="auto" w:fill="FFFFFF"/>
        </w:rPr>
        <w:t>等高端制造产业，金乡、鱼台、邹城、汶上等高端化工产业，联合园区有针对性开展产业项目推介活动，招引一批高质量产业转移项目。</w:t>
      </w:r>
    </w:p>
    <w:p>
      <w:pPr>
        <w:spacing w:line="580" w:lineRule="exact"/>
        <w:ind w:firstLine="643" w:firstLineChars="200"/>
        <w:rPr>
          <w:rFonts w:ascii="Times New Roman" w:hAnsi="Times New Roman" w:eastAsia="方正仿宋简体" w:cs="Times New Roman"/>
          <w:b/>
          <w:bCs/>
          <w:sz w:val="32"/>
          <w:szCs w:val="32"/>
          <w:shd w:val="clear" w:color="auto" w:fill="FFFFFF"/>
        </w:rPr>
      </w:pPr>
      <w:r>
        <w:rPr>
          <w:rFonts w:hint="eastAsia" w:ascii="Times New Roman" w:hAnsi="Times New Roman" w:eastAsia="方正楷体简体" w:cs="Times New Roman"/>
          <w:b/>
          <w:bCs/>
          <w:sz w:val="32"/>
          <w:szCs w:val="32"/>
        </w:rPr>
        <w:t>11、运用现代信息技术</w:t>
      </w:r>
      <w:r>
        <w:rPr>
          <w:rFonts w:ascii="Times New Roman" w:hAnsi="Times New Roman" w:eastAsia="方正楷体简体" w:cs="Times New Roman"/>
          <w:b/>
          <w:bCs/>
          <w:sz w:val="32"/>
          <w:szCs w:val="32"/>
        </w:rPr>
        <w:t>，推进</w:t>
      </w:r>
      <w:r>
        <w:rPr>
          <w:rFonts w:hint="eastAsia" w:ascii="Times New Roman" w:hAnsi="Times New Roman" w:eastAsia="方正楷体简体" w:cs="Times New Roman"/>
          <w:b/>
          <w:bCs/>
          <w:sz w:val="32"/>
          <w:szCs w:val="32"/>
        </w:rPr>
        <w:t>精准</w:t>
      </w:r>
      <w:r>
        <w:rPr>
          <w:rFonts w:ascii="Times New Roman" w:hAnsi="Times New Roman" w:eastAsia="方正楷体简体" w:cs="Times New Roman"/>
          <w:b/>
          <w:bCs/>
          <w:sz w:val="32"/>
          <w:szCs w:val="32"/>
        </w:rPr>
        <w:t>招商取得新进展。</w:t>
      </w:r>
      <w:r>
        <w:rPr>
          <w:rFonts w:ascii="Times New Roman" w:hAnsi="Times New Roman" w:eastAsia="方正仿宋简体" w:cs="Times New Roman"/>
          <w:b/>
          <w:bCs/>
          <w:sz w:val="32"/>
          <w:szCs w:val="32"/>
          <w:shd w:val="clear" w:color="auto" w:fill="FFFFFF"/>
        </w:rPr>
        <w:t>牢固树立全市招商</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一盘棋</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思想，积极推动全市招商信息资源共享。</w:t>
      </w:r>
      <w:r>
        <w:rPr>
          <w:rFonts w:hint="eastAsia" w:ascii="Times New Roman" w:hAnsi="Times New Roman" w:eastAsia="方正仿宋简体" w:cs="Times New Roman"/>
          <w:b/>
          <w:bCs/>
          <w:sz w:val="32"/>
          <w:szCs w:val="32"/>
          <w:shd w:val="clear" w:color="auto" w:fill="FFFFFF"/>
        </w:rPr>
        <w:t>学习借鉴先进地区经验，</w:t>
      </w:r>
      <w:r>
        <w:rPr>
          <w:rFonts w:ascii="Times New Roman" w:hAnsi="Times New Roman" w:eastAsia="方正仿宋简体" w:cs="Times New Roman"/>
          <w:b/>
          <w:bCs/>
          <w:sz w:val="32"/>
          <w:szCs w:val="32"/>
          <w:shd w:val="clear" w:color="auto" w:fill="FFFFFF"/>
        </w:rPr>
        <w:t>加快开发建设</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济宁市大数据精准招商云平台</w:t>
      </w:r>
      <w:r>
        <w:rPr>
          <w:rFonts w:hint="eastAsia" w:ascii="Times New Roman" w:hAnsi="Times New Roman" w:eastAsia="方正仿宋简体" w:cs="Times New Roman"/>
          <w:b/>
          <w:bCs/>
          <w:sz w:val="32"/>
          <w:szCs w:val="32"/>
          <w:shd w:val="clear" w:color="auto" w:fill="FFFFFF"/>
        </w:rPr>
        <w:t>及项目调度OA系统”</w:t>
      </w:r>
      <w:r>
        <w:rPr>
          <w:rFonts w:ascii="Times New Roman" w:hAnsi="Times New Roman" w:eastAsia="方正仿宋简体" w:cs="Times New Roman"/>
          <w:b/>
          <w:bCs/>
          <w:sz w:val="32"/>
          <w:szCs w:val="32"/>
          <w:shd w:val="clear" w:color="auto" w:fill="FFFFFF"/>
        </w:rPr>
        <w:t>，通过大数据分析梳理产业链</w:t>
      </w:r>
      <w:r>
        <w:rPr>
          <w:rFonts w:hint="eastAsia" w:ascii="Times New Roman" w:hAnsi="Times New Roman" w:eastAsia="方正仿宋简体" w:cs="Times New Roman"/>
          <w:b/>
          <w:bCs/>
          <w:sz w:val="32"/>
          <w:szCs w:val="32"/>
          <w:shd w:val="clear" w:color="auto" w:fill="FFFFFF"/>
        </w:rPr>
        <w:t>，建立产业发展地图，</w:t>
      </w:r>
      <w:r>
        <w:rPr>
          <w:rFonts w:ascii="Times New Roman" w:hAnsi="Times New Roman" w:eastAsia="方正仿宋简体" w:cs="Times New Roman"/>
          <w:b/>
          <w:bCs/>
          <w:sz w:val="32"/>
          <w:szCs w:val="32"/>
          <w:shd w:val="clear" w:color="auto" w:fill="FFFFFF"/>
        </w:rPr>
        <w:t>分析挖掘投资信息</w:t>
      </w:r>
      <w:r>
        <w:rPr>
          <w:rFonts w:hint="eastAsia" w:ascii="Times New Roman" w:hAnsi="Times New Roman" w:eastAsia="方正仿宋简体" w:cs="Times New Roman"/>
          <w:b/>
          <w:bCs/>
          <w:sz w:val="32"/>
          <w:szCs w:val="32"/>
          <w:shd w:val="clear" w:color="auto" w:fill="FFFFFF"/>
        </w:rPr>
        <w:t>，</w:t>
      </w:r>
      <w:r>
        <w:rPr>
          <w:rFonts w:ascii="Times New Roman" w:hAnsi="Times New Roman" w:eastAsia="方正仿宋简体" w:cs="Times New Roman"/>
          <w:b/>
          <w:bCs/>
          <w:sz w:val="32"/>
          <w:szCs w:val="32"/>
          <w:shd w:val="clear" w:color="auto" w:fill="FFFFFF"/>
        </w:rPr>
        <w:t>整合招商资源，</w:t>
      </w:r>
      <w:r>
        <w:rPr>
          <w:rFonts w:hint="eastAsia" w:ascii="Times New Roman" w:hAnsi="Times New Roman" w:eastAsia="方正仿宋简体" w:cs="Times New Roman"/>
          <w:b/>
          <w:bCs/>
          <w:sz w:val="32"/>
          <w:szCs w:val="32"/>
          <w:shd w:val="clear" w:color="auto" w:fill="FFFFFF"/>
        </w:rPr>
        <w:t>开展大数据招商、精准招商。</w:t>
      </w:r>
    </w:p>
    <w:p>
      <w:pPr>
        <w:spacing w:line="580" w:lineRule="exact"/>
        <w:ind w:firstLine="643" w:firstLineChars="200"/>
        <w:rPr>
          <w:rFonts w:ascii="Times New Roman" w:hAnsi="Times New Roman" w:eastAsia="方正楷体简体" w:cs="Times New Roman"/>
          <w:b/>
          <w:sz w:val="32"/>
          <w:szCs w:val="32"/>
        </w:rPr>
      </w:pPr>
      <w:r>
        <w:rPr>
          <w:rFonts w:hint="eastAsia" w:ascii="Times New Roman" w:hAnsi="Times New Roman" w:eastAsia="方正楷体简体" w:cs="Times New Roman"/>
          <w:b/>
          <w:sz w:val="32"/>
          <w:szCs w:val="32"/>
        </w:rPr>
        <w:t>12、统筹谋划安排，推进招才引智取得新进展。把</w:t>
      </w:r>
      <w:r>
        <w:rPr>
          <w:rFonts w:hint="eastAsia" w:ascii="Times New Roman" w:hAnsi="Times New Roman" w:eastAsia="方正仿宋简体" w:cs="Times New Roman"/>
          <w:b/>
          <w:kern w:val="0"/>
          <w:sz w:val="32"/>
          <w:szCs w:val="32"/>
          <w:shd w:val="clear" w:color="auto" w:fill="FFFFFF"/>
        </w:rPr>
        <w:t>实体经济发展与“人才、智力、信息”等要素有机结合，加强与大院大所合作，在项目推介发布和项目对接洽谈工作中，及时对接人才、信息、技术合作，通过招才引智工作，提升新兴产业发展的智能化、集约化和社会化水平，为新旧动能转换提供更好支撑。</w:t>
      </w:r>
    </w:p>
    <w:p>
      <w:pPr>
        <w:spacing w:line="580" w:lineRule="exact"/>
        <w:ind w:firstLine="643" w:firstLineChars="200"/>
        <w:rPr>
          <w:rFonts w:ascii="Times New Roman" w:hAnsi="Times New Roman" w:eastAsia="方正仿宋简体" w:cs="Times New Roman"/>
          <w:b/>
          <w:bCs/>
          <w:sz w:val="32"/>
          <w:szCs w:val="32"/>
          <w:shd w:val="clear" w:color="auto" w:fill="FFFFFF"/>
        </w:rPr>
      </w:pPr>
      <w:r>
        <w:rPr>
          <w:rFonts w:hint="eastAsia" w:ascii="方正楷体简体" w:hAnsi="方正楷体简体" w:eastAsia="方正楷体简体" w:cs="方正楷体简体"/>
          <w:b/>
          <w:bCs/>
          <w:sz w:val="32"/>
          <w:szCs w:val="32"/>
        </w:rPr>
        <w:t>13、强化日常调度，推进招商实效取得新进展。</w:t>
      </w:r>
      <w:r>
        <w:rPr>
          <w:rFonts w:hint="eastAsia" w:ascii="Times New Roman" w:hAnsi="Times New Roman" w:eastAsia="方正仿宋简体" w:cs="Times New Roman"/>
          <w:b/>
          <w:bCs/>
          <w:sz w:val="32"/>
          <w:szCs w:val="32"/>
          <w:shd w:val="clear" w:color="auto" w:fill="FFFFFF"/>
        </w:rPr>
        <w:t>通过建立</w:t>
      </w:r>
      <w:r>
        <w:rPr>
          <w:rFonts w:ascii="Times New Roman" w:hAnsi="Times New Roman" w:eastAsia="方正仿宋简体" w:cs="Times New Roman"/>
          <w:b/>
          <w:bCs/>
          <w:sz w:val="32"/>
          <w:szCs w:val="32"/>
          <w:shd w:val="clear" w:color="auto" w:fill="FFFFFF"/>
        </w:rPr>
        <w:t>济宁市大数据精准招商云平台</w:t>
      </w:r>
      <w:r>
        <w:rPr>
          <w:rFonts w:hint="eastAsia" w:ascii="Times New Roman" w:hAnsi="Times New Roman" w:eastAsia="方正仿宋简体" w:cs="Times New Roman"/>
          <w:b/>
          <w:bCs/>
          <w:sz w:val="32"/>
          <w:szCs w:val="32"/>
          <w:shd w:val="clear" w:color="auto" w:fill="FFFFFF"/>
        </w:rPr>
        <w:t>及项目调度OA系统，对签约重大招商项目、市领导走访推进项目建立专门台账，动态管理，</w:t>
      </w:r>
      <w:r>
        <w:rPr>
          <w:rFonts w:hint="eastAsia" w:ascii="Times New Roman" w:hAnsi="Times New Roman" w:eastAsia="方正仿宋简体" w:cs="Times New Roman"/>
          <w:b/>
          <w:bCs/>
          <w:sz w:val="32"/>
          <w:szCs w:val="32"/>
          <w:shd w:val="clear" w:color="auto" w:fill="FFFFFF"/>
          <w:lang w:val="en-US" w:eastAsia="zh-CN"/>
        </w:rPr>
        <w:t>定期调度</w:t>
      </w:r>
      <w:r>
        <w:rPr>
          <w:rFonts w:hint="eastAsia" w:ascii="Times New Roman" w:hAnsi="Times New Roman" w:eastAsia="方正仿宋简体" w:cs="Times New Roman"/>
          <w:b/>
          <w:bCs/>
          <w:sz w:val="32"/>
          <w:szCs w:val="32"/>
          <w:shd w:val="clear" w:color="auto" w:fill="FFFFFF"/>
        </w:rPr>
        <w:t>通报项目进展情况，定期组织现场观摩并评比打分，及时解决项目落地过程中的困难和问题，促进项目尽快落地建设。</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黑体简体" w:cs="Times New Roman"/>
          <w:b/>
          <w:bCs/>
          <w:sz w:val="32"/>
          <w:szCs w:val="32"/>
        </w:rPr>
        <w:t>三、加强机关建设，提高担当作为干事创业水平</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楷体简体" w:cs="Times New Roman"/>
          <w:b/>
          <w:sz w:val="32"/>
          <w:szCs w:val="32"/>
        </w:rPr>
        <w:t>14、抓作风强效能，促进政务服务水平不断提升。</w:t>
      </w:r>
      <w:r>
        <w:rPr>
          <w:rFonts w:hint="eastAsia" w:ascii="Times New Roman" w:hAnsi="Times New Roman" w:eastAsia="方正仿宋简体" w:cs="Times New Roman"/>
          <w:b/>
          <w:kern w:val="0"/>
          <w:sz w:val="32"/>
          <w:szCs w:val="32"/>
          <w:shd w:val="clear" w:color="auto" w:fill="FFFFFF"/>
        </w:rPr>
        <w:t>按照说了算、定了干、按期完的要求，坚持不懈、持之以恒地抓实抓好作风效能建设。把纪律和规矩挺在前面，不断健全完善各项规章制度，形成靠制度管人、管事、管权的长效机制。推进政务服务、政务公开和数字政府建设，投资促进工作信息、人大代表建议、政协委员提案答复、部门财政预决算等在政务网站及时公开，求真务实严作风、树形象，锐意进取抓落实、提效能。定期组织法律学习，重点学习宪法、党内法规、民法典和优化营商环境等法律法规。坚持依法执政、依法行政、依法办事，用法治思维和法治方式推进工作。加强规范性文件合法性审核备案管理，严格执行重大行政决策党组、局长办公会集体决策和合法性审查制度。严格遵守财经法规纪律，加强财政预算绩效管理。</w:t>
      </w:r>
    </w:p>
    <w:p>
      <w:pPr>
        <w:spacing w:line="580" w:lineRule="exact"/>
        <w:ind w:firstLine="643" w:firstLineChars="200"/>
        <w:rPr>
          <w:rFonts w:ascii="Times New Roman" w:hAnsi="Times New Roman" w:eastAsia="方正仿宋简体" w:cs="Times New Roman"/>
          <w:b/>
          <w:bCs/>
          <w:sz w:val="32"/>
          <w:szCs w:val="32"/>
          <w:shd w:val="clear" w:color="auto" w:fill="FFFFFF"/>
        </w:rPr>
      </w:pPr>
      <w:r>
        <w:rPr>
          <w:rFonts w:hint="eastAsia" w:ascii="方正楷体简体" w:hAnsi="方正楷体简体" w:eastAsia="方正楷体简体" w:cs="方正楷体简体"/>
          <w:b/>
          <w:bCs/>
          <w:sz w:val="32"/>
          <w:szCs w:val="32"/>
        </w:rPr>
        <w:t>15、加强学习教育，促进干部队伍建设。</w:t>
      </w:r>
      <w:r>
        <w:rPr>
          <w:rFonts w:hint="eastAsia" w:ascii="Times New Roman" w:hAnsi="Times New Roman" w:eastAsia="方正仿宋简体" w:cs="Times New Roman"/>
          <w:b/>
          <w:bCs/>
          <w:sz w:val="32"/>
          <w:szCs w:val="32"/>
          <w:shd w:val="clear" w:color="auto" w:fill="FFFFFF"/>
        </w:rPr>
        <w:t>组织开展全市招商引资专题培训，在</w:t>
      </w:r>
      <w:r>
        <w:rPr>
          <w:rFonts w:ascii="Times New Roman" w:hAnsi="Times New Roman" w:eastAsia="方正仿宋简体" w:cs="Times New Roman"/>
          <w:b/>
          <w:sz w:val="32"/>
          <w:szCs w:val="32"/>
        </w:rPr>
        <w:t>疫情防控常态化情况下，</w:t>
      </w:r>
      <w:r>
        <w:rPr>
          <w:rFonts w:hint="eastAsia" w:ascii="Times New Roman" w:hAnsi="Times New Roman" w:eastAsia="方正仿宋简体" w:cs="Times New Roman"/>
          <w:b/>
          <w:sz w:val="32"/>
          <w:szCs w:val="32"/>
        </w:rPr>
        <w:t>注重利用现代信息手段，开展招商引资政策业务培训，</w:t>
      </w:r>
      <w:r>
        <w:rPr>
          <w:rFonts w:hint="eastAsia" w:ascii="Times New Roman" w:hAnsi="Times New Roman" w:eastAsia="方正仿宋简体" w:cs="Times New Roman"/>
          <w:b/>
          <w:bCs/>
          <w:sz w:val="32"/>
          <w:szCs w:val="32"/>
          <w:shd w:val="clear" w:color="auto" w:fill="FFFFFF"/>
        </w:rPr>
        <w:t>提升全市招商干部队伍理论水平和业务素质。重点选拔一批熟悉产业经济、掌握投资政策、通晓商务惯例、精通项目谈判的人才充实到招商一线，打造专业化招商队伍。在招商引资实际工作中培养干部、发现干部、使用干部，实现干部锻炼和招商引资工作互促共进。</w:t>
      </w:r>
    </w:p>
    <w:p>
      <w:pPr>
        <w:spacing w:line="580" w:lineRule="exact"/>
        <w:ind w:firstLine="643" w:firstLineChars="200"/>
        <w:rPr>
          <w:rFonts w:ascii="Times New Roman" w:hAnsi="Times New Roman" w:eastAsia="方正仿宋简体" w:cs="Times New Roman"/>
          <w:b/>
          <w:kern w:val="0"/>
          <w:sz w:val="32"/>
          <w:szCs w:val="32"/>
          <w:shd w:val="clear" w:color="auto" w:fill="FFFFFF"/>
        </w:rPr>
      </w:pPr>
      <w:r>
        <w:rPr>
          <w:rFonts w:hint="eastAsia" w:ascii="Times New Roman" w:hAnsi="Times New Roman" w:eastAsia="方正楷体简体" w:cs="Times New Roman"/>
          <w:b/>
          <w:sz w:val="32"/>
          <w:szCs w:val="32"/>
        </w:rPr>
        <w:t>16、倡树文明风尚，促进机关精神文明建设。</w:t>
      </w:r>
      <w:r>
        <w:rPr>
          <w:rFonts w:hint="eastAsia" w:ascii="Times New Roman" w:hAnsi="Times New Roman" w:eastAsia="方正仿宋简体" w:cs="Times New Roman"/>
          <w:b/>
          <w:kern w:val="0"/>
          <w:sz w:val="32"/>
          <w:szCs w:val="32"/>
          <w:shd w:val="clear" w:color="auto" w:fill="FFFFFF"/>
        </w:rPr>
        <w:t>认真贯彻落实《济宁市文明行为促进条例》，培育和践行社会主义核心价值观。对标先进，比学赶超，加强模范机关建设。实施文明社会风尚行动，积极参与文明典范城市创建。开展志愿服务活动，建立常态长效机制。</w:t>
      </w:r>
    </w:p>
    <w:p>
      <w:pPr>
        <w:pStyle w:val="2"/>
        <w:spacing w:line="580" w:lineRule="exact"/>
        <w:ind w:firstLine="643"/>
        <w:rPr>
          <w:rFonts w:ascii="Times New Roman" w:hAnsi="Times New Roman" w:eastAsia="方正仿宋简体" w:cs="Times New Roman"/>
          <w:b/>
          <w:kern w:val="0"/>
          <w:szCs w:val="32"/>
          <w:shd w:val="clear" w:color="auto" w:fill="FFFFFF"/>
        </w:rPr>
      </w:pPr>
    </w:p>
    <w:p>
      <w:pPr>
        <w:pStyle w:val="2"/>
        <w:spacing w:line="580" w:lineRule="exact"/>
        <w:ind w:firstLine="643"/>
        <w:rPr>
          <w:rFonts w:ascii="Times New Roman" w:hAnsi="Times New Roman" w:eastAsia="方正仿宋简体" w:cs="Times New Roman"/>
          <w:b/>
          <w:kern w:val="0"/>
          <w:szCs w:val="32"/>
          <w:shd w:val="clear" w:color="auto" w:fill="FFFFFF"/>
        </w:rPr>
      </w:pPr>
      <w:r>
        <w:rPr>
          <w:rFonts w:hint="eastAsia" w:ascii="Times New Roman" w:hAnsi="Times New Roman" w:eastAsia="方正仿宋简体" w:cs="Times New Roman"/>
          <w:b/>
          <w:kern w:val="0"/>
          <w:szCs w:val="32"/>
          <w:shd w:val="clear" w:color="auto" w:fill="FFFFFF"/>
        </w:rPr>
        <w:t>附件：2021年市级重大招商活动安排</w:t>
      </w:r>
    </w:p>
    <w:p>
      <w:pPr>
        <w:pStyle w:val="2"/>
        <w:spacing w:line="580" w:lineRule="exact"/>
        <w:ind w:firstLine="643"/>
        <w:rPr>
          <w:rFonts w:ascii="Times New Roman" w:hAnsi="Times New Roman" w:eastAsia="方正仿宋简体" w:cs="Times New Roman"/>
          <w:b/>
          <w:kern w:val="0"/>
          <w:szCs w:val="32"/>
          <w:shd w:val="clear" w:color="auto" w:fill="FFFFFF"/>
        </w:rPr>
      </w:pPr>
    </w:p>
    <w:p>
      <w:pPr>
        <w:pStyle w:val="2"/>
        <w:spacing w:line="580" w:lineRule="exact"/>
        <w:ind w:firstLine="5638" w:firstLineChars="1755"/>
        <w:jc w:val="left"/>
        <w:rPr>
          <w:rFonts w:ascii="Times New Roman" w:hAnsi="Times New Roman" w:eastAsia="方正仿宋简体" w:cs="Times New Roman"/>
          <w:b/>
          <w:kern w:val="0"/>
          <w:szCs w:val="32"/>
          <w:shd w:val="clear" w:color="auto" w:fill="FFFFFF"/>
        </w:rPr>
      </w:pPr>
    </w:p>
    <w:p>
      <w:pPr>
        <w:jc w:val="left"/>
        <w:rPr>
          <w:rFonts w:hint="eastAsia" w:ascii="黑体" w:hAnsi="黑体" w:eastAsia="黑体" w:cs="黑体"/>
          <w:b/>
          <w:sz w:val="32"/>
          <w:szCs w:val="32"/>
        </w:rPr>
      </w:pPr>
    </w:p>
    <w:p>
      <w:pPr>
        <w:jc w:val="left"/>
        <w:rPr>
          <w:rFonts w:hint="eastAsia" w:ascii="黑体" w:hAnsi="黑体" w:eastAsia="黑体" w:cs="黑体"/>
          <w:b/>
          <w:sz w:val="32"/>
          <w:szCs w:val="32"/>
        </w:rPr>
      </w:pPr>
    </w:p>
    <w:p>
      <w:pPr>
        <w:jc w:val="left"/>
        <w:rPr>
          <w:rFonts w:hint="eastAsia" w:ascii="黑体" w:hAnsi="黑体" w:eastAsia="黑体" w:cs="黑体"/>
          <w:b/>
          <w:sz w:val="32"/>
          <w:szCs w:val="32"/>
        </w:rPr>
      </w:pPr>
    </w:p>
    <w:p>
      <w:pPr>
        <w:jc w:val="left"/>
        <w:rPr>
          <w:rFonts w:hint="eastAsia" w:ascii="黑体" w:hAnsi="黑体" w:eastAsia="黑体" w:cs="黑体"/>
          <w:b/>
          <w:sz w:val="32"/>
          <w:szCs w:val="32"/>
        </w:rPr>
      </w:pPr>
    </w:p>
    <w:p>
      <w:pPr>
        <w:jc w:val="left"/>
        <w:rPr>
          <w:rFonts w:eastAsia="黑体"/>
        </w:rPr>
      </w:pPr>
      <w:r>
        <w:rPr>
          <w:rFonts w:hint="eastAsia" w:ascii="黑体" w:hAnsi="黑体" w:eastAsia="黑体" w:cs="黑体"/>
          <w:b/>
          <w:sz w:val="32"/>
          <w:szCs w:val="32"/>
        </w:rPr>
        <w:t>附件：</w:t>
      </w:r>
    </w:p>
    <w:p>
      <w:pPr>
        <w:pStyle w:val="2"/>
        <w:ind w:firstLine="0" w:firstLineChars="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2021年市级重大招商活动安排</w:t>
      </w:r>
    </w:p>
    <w:p>
      <w:pPr>
        <w:pStyle w:val="2"/>
        <w:ind w:firstLine="0" w:firstLineChars="0"/>
        <w:jc w:val="center"/>
        <w:rPr>
          <w:rFonts w:ascii="方正小标宋简体" w:hAnsi="方正小标宋简体" w:eastAsia="方正小标宋简体" w:cs="方正小标宋简体"/>
          <w:b/>
          <w:bCs/>
        </w:rPr>
      </w:pPr>
    </w:p>
    <w:tbl>
      <w:tblPr>
        <w:tblStyle w:val="8"/>
        <w:tblW w:w="9988" w:type="dxa"/>
        <w:tblInd w:w="-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025"/>
        <w:gridCol w:w="993"/>
        <w:gridCol w:w="2686"/>
        <w:gridCol w:w="4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pStyle w:val="2"/>
              <w:ind w:firstLine="0" w:firstLineChars="0"/>
              <w:jc w:val="center"/>
              <w:rPr>
                <w:rFonts w:ascii="方正楷体简体" w:hAnsi="方正楷体简体" w:eastAsia="方正楷体简体" w:cs="方正楷体简体"/>
                <w:b/>
                <w:bCs/>
                <w:sz w:val="30"/>
                <w:szCs w:val="30"/>
              </w:rPr>
            </w:pPr>
            <w:r>
              <w:rPr>
                <w:rFonts w:hint="eastAsia" w:ascii="方正楷体简体" w:hAnsi="方正楷体简体" w:eastAsia="方正楷体简体" w:cs="方正楷体简体"/>
                <w:b/>
                <w:bCs/>
                <w:sz w:val="30"/>
                <w:szCs w:val="30"/>
              </w:rPr>
              <w:t>序号</w:t>
            </w:r>
          </w:p>
        </w:tc>
        <w:tc>
          <w:tcPr>
            <w:tcW w:w="1025" w:type="dxa"/>
            <w:vAlign w:val="center"/>
          </w:tcPr>
          <w:p>
            <w:pPr>
              <w:pStyle w:val="2"/>
              <w:ind w:firstLine="0" w:firstLineChars="0"/>
              <w:jc w:val="center"/>
              <w:rPr>
                <w:rFonts w:ascii="方正楷体简体" w:hAnsi="方正楷体简体" w:eastAsia="方正楷体简体" w:cs="方正楷体简体"/>
                <w:b/>
                <w:bCs/>
                <w:sz w:val="30"/>
                <w:szCs w:val="30"/>
              </w:rPr>
            </w:pPr>
            <w:r>
              <w:rPr>
                <w:rFonts w:hint="eastAsia" w:ascii="方正楷体简体" w:hAnsi="方正楷体简体" w:eastAsia="方正楷体简体" w:cs="方正楷体简体"/>
                <w:b/>
                <w:bCs/>
                <w:sz w:val="30"/>
                <w:szCs w:val="30"/>
              </w:rPr>
              <w:t>时间</w:t>
            </w:r>
          </w:p>
        </w:tc>
        <w:tc>
          <w:tcPr>
            <w:tcW w:w="993" w:type="dxa"/>
            <w:vAlign w:val="center"/>
          </w:tcPr>
          <w:p>
            <w:pPr>
              <w:pStyle w:val="2"/>
              <w:ind w:firstLine="0" w:firstLineChars="0"/>
              <w:jc w:val="center"/>
              <w:rPr>
                <w:rFonts w:ascii="方正楷体简体" w:hAnsi="方正楷体简体" w:eastAsia="方正楷体简体" w:cs="方正楷体简体"/>
                <w:b/>
                <w:bCs/>
                <w:sz w:val="30"/>
                <w:szCs w:val="30"/>
              </w:rPr>
            </w:pPr>
            <w:r>
              <w:rPr>
                <w:rFonts w:hint="eastAsia" w:ascii="方正楷体简体" w:hAnsi="方正楷体简体" w:eastAsia="方正楷体简体" w:cs="方正楷体简体"/>
                <w:b/>
                <w:bCs/>
                <w:sz w:val="30"/>
                <w:szCs w:val="30"/>
              </w:rPr>
              <w:t>地点</w:t>
            </w:r>
          </w:p>
        </w:tc>
        <w:tc>
          <w:tcPr>
            <w:tcW w:w="2686" w:type="dxa"/>
            <w:vAlign w:val="center"/>
          </w:tcPr>
          <w:p>
            <w:pPr>
              <w:pStyle w:val="2"/>
              <w:ind w:firstLine="0" w:firstLineChars="0"/>
              <w:jc w:val="center"/>
              <w:rPr>
                <w:rFonts w:ascii="方正楷体简体" w:hAnsi="方正楷体简体" w:eastAsia="方正楷体简体" w:cs="方正楷体简体"/>
                <w:b/>
                <w:bCs/>
                <w:sz w:val="30"/>
                <w:szCs w:val="30"/>
              </w:rPr>
            </w:pPr>
            <w:r>
              <w:rPr>
                <w:rFonts w:hint="eastAsia" w:ascii="方正楷体简体" w:hAnsi="方正楷体简体" w:eastAsia="方正楷体简体" w:cs="方正楷体简体"/>
                <w:b/>
                <w:bCs/>
                <w:sz w:val="30"/>
                <w:szCs w:val="30"/>
              </w:rPr>
              <w:t>会议名称</w:t>
            </w:r>
          </w:p>
        </w:tc>
        <w:tc>
          <w:tcPr>
            <w:tcW w:w="4450" w:type="dxa"/>
            <w:vAlign w:val="center"/>
          </w:tcPr>
          <w:p>
            <w:pPr>
              <w:pStyle w:val="2"/>
              <w:ind w:firstLine="0" w:firstLineChars="0"/>
              <w:jc w:val="center"/>
              <w:rPr>
                <w:rFonts w:ascii="方正楷体简体" w:hAnsi="方正楷体简体" w:eastAsia="方正楷体简体" w:cs="方正楷体简体"/>
                <w:b/>
                <w:bCs/>
                <w:sz w:val="30"/>
                <w:szCs w:val="30"/>
              </w:rPr>
            </w:pPr>
            <w:r>
              <w:rPr>
                <w:rFonts w:hint="eastAsia" w:ascii="方正楷体简体" w:hAnsi="方正楷体简体" w:eastAsia="方正楷体简体" w:cs="方正楷体简体"/>
                <w:b/>
                <w:bCs/>
                <w:sz w:val="30"/>
                <w:szCs w:val="30"/>
              </w:rPr>
              <w:t>招商方向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834" w:type="dxa"/>
            <w:vAlign w:val="center"/>
          </w:tcPr>
          <w:p>
            <w:pPr>
              <w:pStyle w:val="2"/>
              <w:spacing w:line="380" w:lineRule="exact"/>
              <w:ind w:firstLine="0" w:firstLineChars="0"/>
              <w:jc w:val="center"/>
              <w:rPr>
                <w:b/>
                <w:bCs/>
                <w:sz w:val="24"/>
              </w:rPr>
            </w:pPr>
            <w:r>
              <w:rPr>
                <w:rFonts w:hint="eastAsia"/>
                <w:b/>
                <w:bCs/>
                <w:sz w:val="24"/>
              </w:rPr>
              <w:t>1</w:t>
            </w:r>
          </w:p>
        </w:tc>
        <w:tc>
          <w:tcPr>
            <w:tcW w:w="1025" w:type="dxa"/>
            <w:vAlign w:val="center"/>
          </w:tcPr>
          <w:p>
            <w:pPr>
              <w:pStyle w:val="2"/>
              <w:spacing w:line="380" w:lineRule="exact"/>
              <w:ind w:firstLine="0" w:firstLineChars="0"/>
              <w:jc w:val="center"/>
              <w:rPr>
                <w:b/>
                <w:bCs/>
                <w:sz w:val="24"/>
              </w:rPr>
            </w:pPr>
            <w:r>
              <w:rPr>
                <w:rFonts w:hint="eastAsia"/>
                <w:b/>
                <w:bCs/>
                <w:sz w:val="24"/>
                <w:lang w:val="en-US" w:eastAsia="zh-CN"/>
              </w:rPr>
              <w:t>3</w:t>
            </w:r>
            <w:r>
              <w:rPr>
                <w:rFonts w:hint="eastAsia"/>
                <w:b/>
                <w:bCs/>
                <w:sz w:val="24"/>
              </w:rPr>
              <w:t>月份</w:t>
            </w:r>
          </w:p>
        </w:tc>
        <w:tc>
          <w:tcPr>
            <w:tcW w:w="993" w:type="dxa"/>
            <w:vAlign w:val="center"/>
          </w:tcPr>
          <w:p>
            <w:pPr>
              <w:pStyle w:val="2"/>
              <w:spacing w:line="380" w:lineRule="exact"/>
              <w:ind w:firstLine="0" w:firstLineChars="0"/>
              <w:jc w:val="center"/>
              <w:rPr>
                <w:b/>
                <w:bCs/>
                <w:sz w:val="24"/>
              </w:rPr>
            </w:pPr>
            <w:r>
              <w:rPr>
                <w:rFonts w:hint="eastAsia"/>
                <w:b/>
                <w:bCs/>
                <w:sz w:val="24"/>
              </w:rPr>
              <w:t>上海</w:t>
            </w:r>
          </w:p>
        </w:tc>
        <w:tc>
          <w:tcPr>
            <w:tcW w:w="2686" w:type="dxa"/>
            <w:vAlign w:val="center"/>
          </w:tcPr>
          <w:p>
            <w:pPr>
              <w:pStyle w:val="2"/>
              <w:spacing w:line="380" w:lineRule="exact"/>
              <w:ind w:firstLine="0" w:firstLineChars="0"/>
              <w:jc w:val="left"/>
              <w:rPr>
                <w:b/>
                <w:bCs/>
                <w:sz w:val="24"/>
              </w:rPr>
            </w:pPr>
            <w:r>
              <w:rPr>
                <w:rFonts w:hint="eastAsia"/>
                <w:b/>
                <w:bCs/>
                <w:sz w:val="24"/>
              </w:rPr>
              <w:t>聚焦长三角 汇聚新动能--2021济宁长三角（上海）高质量发展合作峰会暨重大项目签约仪式</w:t>
            </w:r>
          </w:p>
        </w:tc>
        <w:tc>
          <w:tcPr>
            <w:tcW w:w="4450" w:type="dxa"/>
            <w:vAlign w:val="center"/>
          </w:tcPr>
          <w:p>
            <w:pPr>
              <w:pStyle w:val="2"/>
              <w:spacing w:line="380" w:lineRule="exact"/>
              <w:ind w:firstLine="0" w:firstLineChars="0"/>
              <w:jc w:val="left"/>
              <w:rPr>
                <w:b/>
                <w:bCs/>
                <w:sz w:val="24"/>
              </w:rPr>
            </w:pPr>
            <w:r>
              <w:rPr>
                <w:rFonts w:hint="eastAsia"/>
                <w:b/>
                <w:bCs/>
                <w:sz w:val="24"/>
              </w:rPr>
              <w:t>针对“十强”产业、先进制造业“231”产业集群和现代物流业，瞄准世界500强、中国500强、大型国企、民营巨头、产业龙头、科技领军企业和知名研究机构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834" w:type="dxa"/>
            <w:vAlign w:val="center"/>
          </w:tcPr>
          <w:p>
            <w:pPr>
              <w:pStyle w:val="2"/>
              <w:spacing w:line="380" w:lineRule="exact"/>
              <w:ind w:firstLine="0" w:firstLineChars="0"/>
              <w:jc w:val="center"/>
              <w:rPr>
                <w:b/>
                <w:bCs/>
                <w:sz w:val="24"/>
              </w:rPr>
            </w:pPr>
            <w:r>
              <w:rPr>
                <w:rFonts w:hint="eastAsia"/>
                <w:b/>
                <w:bCs/>
                <w:sz w:val="24"/>
              </w:rPr>
              <w:t>2</w:t>
            </w:r>
          </w:p>
        </w:tc>
        <w:tc>
          <w:tcPr>
            <w:tcW w:w="1025" w:type="dxa"/>
            <w:vAlign w:val="center"/>
          </w:tcPr>
          <w:p>
            <w:pPr>
              <w:pStyle w:val="2"/>
              <w:spacing w:line="380" w:lineRule="exact"/>
              <w:ind w:firstLine="0" w:firstLineChars="0"/>
              <w:jc w:val="center"/>
              <w:rPr>
                <w:b/>
                <w:bCs/>
                <w:sz w:val="24"/>
              </w:rPr>
            </w:pPr>
            <w:r>
              <w:rPr>
                <w:rFonts w:hint="eastAsia"/>
                <w:b/>
                <w:bCs/>
                <w:sz w:val="24"/>
                <w:lang w:val="en-US" w:eastAsia="zh-CN"/>
              </w:rPr>
              <w:t>5</w:t>
            </w:r>
            <w:r>
              <w:rPr>
                <w:rFonts w:hint="eastAsia"/>
                <w:b/>
                <w:bCs/>
                <w:sz w:val="24"/>
              </w:rPr>
              <w:t>月份</w:t>
            </w:r>
          </w:p>
        </w:tc>
        <w:tc>
          <w:tcPr>
            <w:tcW w:w="993" w:type="dxa"/>
            <w:vAlign w:val="center"/>
          </w:tcPr>
          <w:p>
            <w:pPr>
              <w:pStyle w:val="2"/>
              <w:spacing w:line="380" w:lineRule="exact"/>
              <w:ind w:firstLine="0" w:firstLineChars="0"/>
              <w:jc w:val="center"/>
              <w:rPr>
                <w:b/>
                <w:bCs/>
                <w:sz w:val="24"/>
              </w:rPr>
            </w:pPr>
            <w:r>
              <w:rPr>
                <w:rFonts w:hint="eastAsia"/>
                <w:b/>
                <w:bCs/>
                <w:sz w:val="24"/>
              </w:rPr>
              <w:t>深圳</w:t>
            </w:r>
          </w:p>
        </w:tc>
        <w:tc>
          <w:tcPr>
            <w:tcW w:w="2686" w:type="dxa"/>
            <w:vAlign w:val="center"/>
          </w:tcPr>
          <w:p>
            <w:pPr>
              <w:pStyle w:val="2"/>
              <w:spacing w:line="380" w:lineRule="exact"/>
              <w:ind w:firstLine="0" w:firstLineChars="0"/>
              <w:jc w:val="left"/>
              <w:rPr>
                <w:b/>
                <w:bCs/>
                <w:sz w:val="24"/>
              </w:rPr>
            </w:pPr>
            <w:r>
              <w:rPr>
                <w:rFonts w:hint="eastAsia"/>
                <w:b/>
                <w:bCs/>
                <w:sz w:val="24"/>
              </w:rPr>
              <w:t>2021济宁（深圳）231产业集群高质量发展合作峰会暨重大项目签约仪式</w:t>
            </w:r>
          </w:p>
        </w:tc>
        <w:tc>
          <w:tcPr>
            <w:tcW w:w="4450" w:type="dxa"/>
            <w:vAlign w:val="center"/>
          </w:tcPr>
          <w:p>
            <w:pPr>
              <w:pStyle w:val="2"/>
              <w:spacing w:line="380" w:lineRule="exact"/>
              <w:ind w:firstLine="0" w:firstLineChars="0"/>
              <w:jc w:val="left"/>
              <w:rPr>
                <w:b/>
                <w:bCs/>
                <w:sz w:val="24"/>
              </w:rPr>
            </w:pPr>
            <w:r>
              <w:rPr>
                <w:rFonts w:hint="eastAsia"/>
                <w:b/>
                <w:bCs/>
                <w:sz w:val="24"/>
              </w:rPr>
              <w:t>针对“十强”产业、先进制造业“231”产业集群和现代物流业，瞄准世界500强、中国500强、大型国企、民营巨头、产业龙头、科技领军企业和知名研究机构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834" w:type="dxa"/>
            <w:vAlign w:val="center"/>
          </w:tcPr>
          <w:p>
            <w:pPr>
              <w:pStyle w:val="2"/>
              <w:spacing w:line="380" w:lineRule="exact"/>
              <w:ind w:firstLine="0" w:firstLineChars="0"/>
              <w:jc w:val="center"/>
              <w:rPr>
                <w:b/>
                <w:bCs/>
                <w:sz w:val="24"/>
              </w:rPr>
            </w:pPr>
            <w:r>
              <w:rPr>
                <w:rFonts w:hint="eastAsia"/>
                <w:b/>
                <w:bCs/>
                <w:sz w:val="24"/>
              </w:rPr>
              <w:t>3</w:t>
            </w:r>
          </w:p>
        </w:tc>
        <w:tc>
          <w:tcPr>
            <w:tcW w:w="1025" w:type="dxa"/>
            <w:vAlign w:val="center"/>
          </w:tcPr>
          <w:p>
            <w:pPr>
              <w:pStyle w:val="2"/>
              <w:spacing w:line="380" w:lineRule="exact"/>
              <w:ind w:firstLine="0" w:firstLineChars="0"/>
              <w:jc w:val="center"/>
              <w:rPr>
                <w:b/>
                <w:bCs/>
                <w:sz w:val="24"/>
              </w:rPr>
            </w:pPr>
            <w:r>
              <w:rPr>
                <w:rFonts w:hint="eastAsia"/>
                <w:b/>
                <w:bCs/>
                <w:sz w:val="24"/>
                <w:lang w:val="en-US" w:eastAsia="zh-CN"/>
              </w:rPr>
              <w:t>7</w:t>
            </w:r>
            <w:r>
              <w:rPr>
                <w:rFonts w:hint="eastAsia"/>
                <w:b/>
                <w:bCs/>
                <w:sz w:val="24"/>
              </w:rPr>
              <w:t>月份</w:t>
            </w:r>
          </w:p>
        </w:tc>
        <w:tc>
          <w:tcPr>
            <w:tcW w:w="993" w:type="dxa"/>
            <w:vAlign w:val="center"/>
          </w:tcPr>
          <w:p>
            <w:pPr>
              <w:pStyle w:val="2"/>
              <w:spacing w:line="380" w:lineRule="exact"/>
              <w:ind w:firstLine="0" w:firstLineChars="0"/>
              <w:jc w:val="center"/>
              <w:rPr>
                <w:b/>
                <w:bCs/>
                <w:sz w:val="24"/>
              </w:rPr>
            </w:pPr>
            <w:r>
              <w:rPr>
                <w:rFonts w:hint="eastAsia"/>
                <w:b/>
                <w:bCs/>
                <w:sz w:val="24"/>
              </w:rPr>
              <w:t>北京</w:t>
            </w:r>
          </w:p>
        </w:tc>
        <w:tc>
          <w:tcPr>
            <w:tcW w:w="2686" w:type="dxa"/>
            <w:vAlign w:val="center"/>
          </w:tcPr>
          <w:p>
            <w:pPr>
              <w:pStyle w:val="2"/>
              <w:spacing w:line="380" w:lineRule="exact"/>
              <w:ind w:firstLine="0" w:firstLineChars="0"/>
              <w:jc w:val="left"/>
              <w:rPr>
                <w:b/>
                <w:bCs/>
                <w:sz w:val="24"/>
              </w:rPr>
            </w:pPr>
            <w:r>
              <w:rPr>
                <w:rFonts w:hint="eastAsia"/>
                <w:b/>
                <w:bCs/>
                <w:sz w:val="24"/>
              </w:rPr>
              <w:t>2021济宁（北京）231产业集群高质量发展合作峰会暨重大项目签约仪式</w:t>
            </w:r>
          </w:p>
        </w:tc>
        <w:tc>
          <w:tcPr>
            <w:tcW w:w="4450" w:type="dxa"/>
            <w:vAlign w:val="center"/>
          </w:tcPr>
          <w:p>
            <w:pPr>
              <w:pStyle w:val="2"/>
              <w:spacing w:line="380" w:lineRule="exact"/>
              <w:ind w:firstLine="0" w:firstLineChars="0"/>
              <w:jc w:val="left"/>
              <w:rPr>
                <w:b/>
                <w:bCs/>
                <w:sz w:val="24"/>
              </w:rPr>
            </w:pPr>
            <w:r>
              <w:rPr>
                <w:rFonts w:hint="eastAsia"/>
                <w:b/>
                <w:bCs/>
                <w:sz w:val="24"/>
              </w:rPr>
              <w:t>针对“十强”产业、先进制造业“231”产业集群和现代物流业，瞄准世界500强、中国500强、大型国企、民营巨头、产业龙头、科技领军企业和知名研究机构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834" w:type="dxa"/>
            <w:vAlign w:val="center"/>
          </w:tcPr>
          <w:p>
            <w:pPr>
              <w:pStyle w:val="2"/>
              <w:spacing w:line="380" w:lineRule="exact"/>
              <w:ind w:firstLine="0" w:firstLineChars="0"/>
              <w:jc w:val="center"/>
              <w:rPr>
                <w:rFonts w:hint="default" w:eastAsia="仿宋_GB2312"/>
                <w:b/>
                <w:bCs/>
                <w:sz w:val="24"/>
                <w:lang w:val="en-US" w:eastAsia="zh-CN"/>
              </w:rPr>
            </w:pPr>
            <w:r>
              <w:rPr>
                <w:rFonts w:hint="eastAsia"/>
                <w:b/>
                <w:bCs/>
                <w:sz w:val="24"/>
                <w:lang w:val="en-US" w:eastAsia="zh-CN"/>
              </w:rPr>
              <w:t>4</w:t>
            </w:r>
          </w:p>
        </w:tc>
        <w:tc>
          <w:tcPr>
            <w:tcW w:w="1025" w:type="dxa"/>
            <w:vAlign w:val="center"/>
          </w:tcPr>
          <w:p>
            <w:pPr>
              <w:pStyle w:val="2"/>
              <w:spacing w:line="380" w:lineRule="exact"/>
              <w:ind w:firstLine="0" w:firstLineChars="0"/>
              <w:jc w:val="center"/>
              <w:rPr>
                <w:b/>
                <w:bCs/>
                <w:sz w:val="24"/>
              </w:rPr>
            </w:pPr>
            <w:r>
              <w:rPr>
                <w:rFonts w:hint="eastAsia"/>
                <w:b/>
                <w:bCs/>
                <w:sz w:val="24"/>
                <w:lang w:val="en-US" w:eastAsia="zh-CN"/>
              </w:rPr>
              <w:t>9</w:t>
            </w:r>
            <w:r>
              <w:rPr>
                <w:rFonts w:hint="eastAsia"/>
                <w:b/>
                <w:bCs/>
                <w:sz w:val="24"/>
              </w:rPr>
              <w:t>月份</w:t>
            </w:r>
          </w:p>
        </w:tc>
        <w:tc>
          <w:tcPr>
            <w:tcW w:w="993" w:type="dxa"/>
            <w:vAlign w:val="center"/>
          </w:tcPr>
          <w:p>
            <w:pPr>
              <w:pStyle w:val="2"/>
              <w:spacing w:line="380" w:lineRule="exact"/>
              <w:ind w:firstLine="0" w:firstLineChars="0"/>
              <w:jc w:val="center"/>
              <w:rPr>
                <w:b/>
                <w:bCs/>
                <w:sz w:val="24"/>
              </w:rPr>
            </w:pPr>
            <w:r>
              <w:rPr>
                <w:rFonts w:hint="eastAsia"/>
                <w:b/>
                <w:bCs/>
                <w:sz w:val="24"/>
              </w:rPr>
              <w:t>上海</w:t>
            </w:r>
          </w:p>
        </w:tc>
        <w:tc>
          <w:tcPr>
            <w:tcW w:w="2686" w:type="dxa"/>
            <w:vAlign w:val="center"/>
          </w:tcPr>
          <w:p>
            <w:pPr>
              <w:pStyle w:val="2"/>
              <w:spacing w:line="380" w:lineRule="exact"/>
              <w:ind w:firstLine="0" w:firstLineChars="0"/>
              <w:jc w:val="left"/>
              <w:rPr>
                <w:b/>
                <w:bCs/>
                <w:sz w:val="24"/>
              </w:rPr>
            </w:pPr>
            <w:r>
              <w:rPr>
                <w:rFonts w:hint="eastAsia"/>
                <w:b/>
                <w:bCs/>
                <w:sz w:val="24"/>
              </w:rPr>
              <w:t>2021济宁（上海）231产业集群高质量发展合作峰会暨重大项目签约仪式</w:t>
            </w:r>
          </w:p>
        </w:tc>
        <w:tc>
          <w:tcPr>
            <w:tcW w:w="4450" w:type="dxa"/>
            <w:vAlign w:val="center"/>
          </w:tcPr>
          <w:p>
            <w:pPr>
              <w:pStyle w:val="2"/>
              <w:spacing w:line="380" w:lineRule="exact"/>
              <w:ind w:firstLine="0" w:firstLineChars="0"/>
              <w:jc w:val="left"/>
              <w:rPr>
                <w:b/>
                <w:bCs/>
                <w:sz w:val="24"/>
              </w:rPr>
            </w:pPr>
            <w:r>
              <w:rPr>
                <w:rFonts w:hint="eastAsia"/>
                <w:b/>
                <w:bCs/>
                <w:sz w:val="24"/>
              </w:rPr>
              <w:t>针对“十强”产业、先进制造业“231”产业集群和现代物流业，瞄准世界500强、中国500强、大型国企、民营巨头、产业龙头、科技领军企业和知名研究机构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834" w:type="dxa"/>
            <w:vAlign w:val="center"/>
          </w:tcPr>
          <w:p>
            <w:pPr>
              <w:pStyle w:val="2"/>
              <w:spacing w:line="380" w:lineRule="exact"/>
              <w:ind w:firstLine="0" w:firstLineChars="0"/>
              <w:jc w:val="center"/>
              <w:rPr>
                <w:rFonts w:hint="default"/>
                <w:b/>
                <w:bCs/>
                <w:sz w:val="24"/>
                <w:lang w:val="en-US" w:eastAsia="zh-CN"/>
              </w:rPr>
            </w:pPr>
            <w:r>
              <w:rPr>
                <w:rFonts w:hint="eastAsia"/>
                <w:b/>
                <w:bCs/>
                <w:sz w:val="24"/>
                <w:lang w:val="en-US" w:eastAsia="zh-CN"/>
              </w:rPr>
              <w:t>5</w:t>
            </w:r>
          </w:p>
        </w:tc>
        <w:tc>
          <w:tcPr>
            <w:tcW w:w="1025" w:type="dxa"/>
            <w:vAlign w:val="center"/>
          </w:tcPr>
          <w:p>
            <w:pPr>
              <w:pStyle w:val="2"/>
              <w:spacing w:line="380" w:lineRule="exact"/>
              <w:ind w:firstLine="0" w:firstLineChars="0"/>
              <w:jc w:val="center"/>
              <w:rPr>
                <w:rFonts w:hint="eastAsia"/>
                <w:b/>
                <w:bCs/>
                <w:sz w:val="24"/>
                <w:lang w:val="en-US" w:eastAsia="zh-CN"/>
              </w:rPr>
            </w:pPr>
            <w:r>
              <w:rPr>
                <w:rFonts w:hint="eastAsia"/>
                <w:b/>
                <w:bCs/>
                <w:sz w:val="24"/>
                <w:lang w:val="en-US" w:eastAsia="zh-CN"/>
              </w:rPr>
              <w:t>10</w:t>
            </w:r>
            <w:r>
              <w:rPr>
                <w:rFonts w:hint="eastAsia"/>
                <w:b/>
                <w:bCs/>
                <w:sz w:val="24"/>
              </w:rPr>
              <w:t>月份</w:t>
            </w:r>
          </w:p>
        </w:tc>
        <w:tc>
          <w:tcPr>
            <w:tcW w:w="993" w:type="dxa"/>
            <w:vAlign w:val="center"/>
          </w:tcPr>
          <w:p>
            <w:pPr>
              <w:pStyle w:val="2"/>
              <w:spacing w:line="380" w:lineRule="exact"/>
              <w:ind w:firstLine="0" w:firstLineChars="0"/>
              <w:jc w:val="center"/>
              <w:rPr>
                <w:rFonts w:hint="eastAsia"/>
                <w:b/>
                <w:bCs/>
                <w:sz w:val="24"/>
              </w:rPr>
            </w:pPr>
            <w:r>
              <w:rPr>
                <w:rFonts w:hint="eastAsia"/>
                <w:b/>
                <w:bCs/>
                <w:sz w:val="24"/>
              </w:rPr>
              <w:t>深圳</w:t>
            </w:r>
          </w:p>
        </w:tc>
        <w:tc>
          <w:tcPr>
            <w:tcW w:w="2686" w:type="dxa"/>
            <w:vAlign w:val="center"/>
          </w:tcPr>
          <w:p>
            <w:pPr>
              <w:pStyle w:val="2"/>
              <w:spacing w:line="380" w:lineRule="exact"/>
              <w:ind w:firstLine="0" w:firstLineChars="0"/>
              <w:jc w:val="left"/>
              <w:rPr>
                <w:rFonts w:hint="eastAsia"/>
                <w:b/>
                <w:bCs/>
                <w:sz w:val="24"/>
              </w:rPr>
            </w:pPr>
            <w:r>
              <w:rPr>
                <w:rFonts w:hint="eastAsia"/>
                <w:b/>
                <w:bCs/>
                <w:sz w:val="24"/>
              </w:rPr>
              <w:t>2021济宁（深圳）231产业集群高质量发展合作峰会暨重大项目签约仪式</w:t>
            </w:r>
          </w:p>
        </w:tc>
        <w:tc>
          <w:tcPr>
            <w:tcW w:w="4450" w:type="dxa"/>
            <w:vAlign w:val="center"/>
          </w:tcPr>
          <w:p>
            <w:pPr>
              <w:pStyle w:val="2"/>
              <w:spacing w:line="380" w:lineRule="exact"/>
              <w:ind w:firstLine="0" w:firstLineChars="0"/>
              <w:jc w:val="left"/>
              <w:rPr>
                <w:rFonts w:hint="eastAsia"/>
                <w:b/>
                <w:bCs/>
                <w:sz w:val="24"/>
              </w:rPr>
            </w:pPr>
            <w:r>
              <w:rPr>
                <w:rFonts w:hint="eastAsia"/>
                <w:b/>
                <w:bCs/>
                <w:sz w:val="24"/>
              </w:rPr>
              <w:t>针对“十强”产业、先进制造业“231”产业集群和现代物流业，瞄准世界500强、中国500强、大型国企、民营巨头、产业龙头、科技领军企业和知名研究机构</w:t>
            </w:r>
          </w:p>
        </w:tc>
      </w:tr>
    </w:tbl>
    <w:p>
      <w:pPr>
        <w:pStyle w:val="2"/>
        <w:ind w:left="0" w:leftChars="0" w:firstLine="0" w:firstLineChars="0"/>
        <w:jc w:val="both"/>
        <w:rPr>
          <w:rFonts w:ascii="Times New Roman" w:hAnsi="Times New Roman" w:eastAsia="方正仿宋简体" w:cs="Times New Roman"/>
          <w:b/>
          <w:kern w:val="0"/>
          <w:szCs w:val="32"/>
          <w:shd w:val="clear" w:color="auto" w:fill="FFFFFF"/>
        </w:rPr>
      </w:pPr>
    </w:p>
    <w:sectPr>
      <w:footerReference r:id="rId3" w:type="default"/>
      <w:pgSz w:w="11906" w:h="16838"/>
      <w:pgMar w:top="2098" w:right="1474" w:bottom="187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- 11 -</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F41F4"/>
    <w:rsid w:val="00030C9B"/>
    <w:rsid w:val="00195F61"/>
    <w:rsid w:val="001D714E"/>
    <w:rsid w:val="001F52F3"/>
    <w:rsid w:val="00262664"/>
    <w:rsid w:val="00381E48"/>
    <w:rsid w:val="003C5AB9"/>
    <w:rsid w:val="004744B3"/>
    <w:rsid w:val="00535AF0"/>
    <w:rsid w:val="005B659A"/>
    <w:rsid w:val="00657890"/>
    <w:rsid w:val="006E7174"/>
    <w:rsid w:val="007E3D03"/>
    <w:rsid w:val="007F3F84"/>
    <w:rsid w:val="0089258A"/>
    <w:rsid w:val="008F1B87"/>
    <w:rsid w:val="008F41F4"/>
    <w:rsid w:val="00972C68"/>
    <w:rsid w:val="00A20BDA"/>
    <w:rsid w:val="00AA6F3F"/>
    <w:rsid w:val="00B00C48"/>
    <w:rsid w:val="00C83AC3"/>
    <w:rsid w:val="00CE1CBF"/>
    <w:rsid w:val="00D046C1"/>
    <w:rsid w:val="00D42CE1"/>
    <w:rsid w:val="00D94DC2"/>
    <w:rsid w:val="00DC13EC"/>
    <w:rsid w:val="00DF42C0"/>
    <w:rsid w:val="00E327ED"/>
    <w:rsid w:val="00E67559"/>
    <w:rsid w:val="00F712BD"/>
    <w:rsid w:val="00FB2268"/>
    <w:rsid w:val="00FB27AD"/>
    <w:rsid w:val="019133F4"/>
    <w:rsid w:val="01914A8F"/>
    <w:rsid w:val="01C40514"/>
    <w:rsid w:val="02864A52"/>
    <w:rsid w:val="02A41D9C"/>
    <w:rsid w:val="02A94517"/>
    <w:rsid w:val="02DF65E7"/>
    <w:rsid w:val="02EC6B5D"/>
    <w:rsid w:val="03133F9E"/>
    <w:rsid w:val="033F2C7C"/>
    <w:rsid w:val="03A51805"/>
    <w:rsid w:val="047457D7"/>
    <w:rsid w:val="04A6687A"/>
    <w:rsid w:val="04F24E12"/>
    <w:rsid w:val="051460D4"/>
    <w:rsid w:val="05797121"/>
    <w:rsid w:val="05962762"/>
    <w:rsid w:val="05A63577"/>
    <w:rsid w:val="05BE63FE"/>
    <w:rsid w:val="05F367BC"/>
    <w:rsid w:val="06C7584C"/>
    <w:rsid w:val="071A6BAA"/>
    <w:rsid w:val="07DB52A1"/>
    <w:rsid w:val="08093B56"/>
    <w:rsid w:val="0878070E"/>
    <w:rsid w:val="091720C1"/>
    <w:rsid w:val="0A8D7A44"/>
    <w:rsid w:val="0AE44500"/>
    <w:rsid w:val="0B664E78"/>
    <w:rsid w:val="0B7D5B5F"/>
    <w:rsid w:val="0BC739FC"/>
    <w:rsid w:val="0BE245D5"/>
    <w:rsid w:val="0BE91C26"/>
    <w:rsid w:val="0BFB6C40"/>
    <w:rsid w:val="0CAA6D4C"/>
    <w:rsid w:val="0CC329EB"/>
    <w:rsid w:val="0E1A7519"/>
    <w:rsid w:val="0E4A50FA"/>
    <w:rsid w:val="0E772926"/>
    <w:rsid w:val="0E7A7F6E"/>
    <w:rsid w:val="0E93253E"/>
    <w:rsid w:val="0EA76287"/>
    <w:rsid w:val="0F014914"/>
    <w:rsid w:val="0F027F82"/>
    <w:rsid w:val="0F266B51"/>
    <w:rsid w:val="0F4C5553"/>
    <w:rsid w:val="0F5971C0"/>
    <w:rsid w:val="0FFF70FE"/>
    <w:rsid w:val="109C7283"/>
    <w:rsid w:val="10A33D8A"/>
    <w:rsid w:val="10AC563B"/>
    <w:rsid w:val="10F8520D"/>
    <w:rsid w:val="11326053"/>
    <w:rsid w:val="11636500"/>
    <w:rsid w:val="117A7876"/>
    <w:rsid w:val="12175E3E"/>
    <w:rsid w:val="126532FD"/>
    <w:rsid w:val="12A15903"/>
    <w:rsid w:val="135460D9"/>
    <w:rsid w:val="138C036E"/>
    <w:rsid w:val="13934341"/>
    <w:rsid w:val="13A86DDB"/>
    <w:rsid w:val="14650F90"/>
    <w:rsid w:val="14C23B1B"/>
    <w:rsid w:val="16160E5E"/>
    <w:rsid w:val="16613346"/>
    <w:rsid w:val="16EB0EF5"/>
    <w:rsid w:val="17BE5F2E"/>
    <w:rsid w:val="18175BF1"/>
    <w:rsid w:val="188540DE"/>
    <w:rsid w:val="18A43C5E"/>
    <w:rsid w:val="18D365B1"/>
    <w:rsid w:val="18DF2697"/>
    <w:rsid w:val="19002B65"/>
    <w:rsid w:val="19505351"/>
    <w:rsid w:val="196E64AF"/>
    <w:rsid w:val="1AC2394B"/>
    <w:rsid w:val="1AF96947"/>
    <w:rsid w:val="1B0D4876"/>
    <w:rsid w:val="1B7B55E8"/>
    <w:rsid w:val="1B9635AC"/>
    <w:rsid w:val="1BD345A9"/>
    <w:rsid w:val="1C967FBA"/>
    <w:rsid w:val="1CA71670"/>
    <w:rsid w:val="1CCB5955"/>
    <w:rsid w:val="1D8F1B1E"/>
    <w:rsid w:val="1D962689"/>
    <w:rsid w:val="1E64134F"/>
    <w:rsid w:val="1EC70528"/>
    <w:rsid w:val="1F26112C"/>
    <w:rsid w:val="1FA01926"/>
    <w:rsid w:val="2028045D"/>
    <w:rsid w:val="203B5E4E"/>
    <w:rsid w:val="204C238A"/>
    <w:rsid w:val="20595CC9"/>
    <w:rsid w:val="2089121F"/>
    <w:rsid w:val="208A3059"/>
    <w:rsid w:val="20A853C8"/>
    <w:rsid w:val="211B660B"/>
    <w:rsid w:val="21295442"/>
    <w:rsid w:val="2132451A"/>
    <w:rsid w:val="218C1CF7"/>
    <w:rsid w:val="2209351B"/>
    <w:rsid w:val="23F94CBA"/>
    <w:rsid w:val="23FD692C"/>
    <w:rsid w:val="24625A53"/>
    <w:rsid w:val="249A4311"/>
    <w:rsid w:val="24BC24CC"/>
    <w:rsid w:val="24F7649A"/>
    <w:rsid w:val="25040BA8"/>
    <w:rsid w:val="257A6B1B"/>
    <w:rsid w:val="260561C8"/>
    <w:rsid w:val="26491344"/>
    <w:rsid w:val="26BB3286"/>
    <w:rsid w:val="26F043F2"/>
    <w:rsid w:val="27350E9C"/>
    <w:rsid w:val="278167DA"/>
    <w:rsid w:val="280D637A"/>
    <w:rsid w:val="2843606B"/>
    <w:rsid w:val="28443AE1"/>
    <w:rsid w:val="284A2020"/>
    <w:rsid w:val="2857052F"/>
    <w:rsid w:val="285B2314"/>
    <w:rsid w:val="28947851"/>
    <w:rsid w:val="28982C6F"/>
    <w:rsid w:val="28B94D38"/>
    <w:rsid w:val="290B6CC2"/>
    <w:rsid w:val="299720B0"/>
    <w:rsid w:val="29976557"/>
    <w:rsid w:val="2A4674D5"/>
    <w:rsid w:val="2A9137E2"/>
    <w:rsid w:val="2AAF40B0"/>
    <w:rsid w:val="2ADF7C9E"/>
    <w:rsid w:val="2B0E3293"/>
    <w:rsid w:val="2C356CDF"/>
    <w:rsid w:val="2C782F5E"/>
    <w:rsid w:val="2C9D1DE5"/>
    <w:rsid w:val="2D1D4FB2"/>
    <w:rsid w:val="2D692CD6"/>
    <w:rsid w:val="2DE032F6"/>
    <w:rsid w:val="2DE80B70"/>
    <w:rsid w:val="2E3C4315"/>
    <w:rsid w:val="2E98201D"/>
    <w:rsid w:val="2EDD22F0"/>
    <w:rsid w:val="2F373CC6"/>
    <w:rsid w:val="2F5E4919"/>
    <w:rsid w:val="30320750"/>
    <w:rsid w:val="30457B1E"/>
    <w:rsid w:val="31031F13"/>
    <w:rsid w:val="31533189"/>
    <w:rsid w:val="31854798"/>
    <w:rsid w:val="31FE7A30"/>
    <w:rsid w:val="320604F9"/>
    <w:rsid w:val="322E34F9"/>
    <w:rsid w:val="332C576E"/>
    <w:rsid w:val="335276D4"/>
    <w:rsid w:val="33570F95"/>
    <w:rsid w:val="34621972"/>
    <w:rsid w:val="348A175F"/>
    <w:rsid w:val="35BD30B2"/>
    <w:rsid w:val="36156D23"/>
    <w:rsid w:val="361C001C"/>
    <w:rsid w:val="363A4669"/>
    <w:rsid w:val="363C4B4B"/>
    <w:rsid w:val="366610F0"/>
    <w:rsid w:val="36721CD1"/>
    <w:rsid w:val="369B1455"/>
    <w:rsid w:val="370D10FC"/>
    <w:rsid w:val="37F27DA7"/>
    <w:rsid w:val="38072E2D"/>
    <w:rsid w:val="38D47147"/>
    <w:rsid w:val="396D2493"/>
    <w:rsid w:val="3A520ED7"/>
    <w:rsid w:val="3AC14B3C"/>
    <w:rsid w:val="3B0B67BB"/>
    <w:rsid w:val="3B961061"/>
    <w:rsid w:val="3BAF391C"/>
    <w:rsid w:val="3BF42DAE"/>
    <w:rsid w:val="3C0D68B6"/>
    <w:rsid w:val="3C36783A"/>
    <w:rsid w:val="3C63698F"/>
    <w:rsid w:val="3CB414B6"/>
    <w:rsid w:val="3CFE514C"/>
    <w:rsid w:val="3DC01F3E"/>
    <w:rsid w:val="3F4630F0"/>
    <w:rsid w:val="3F490368"/>
    <w:rsid w:val="3F8507E6"/>
    <w:rsid w:val="3FC02C77"/>
    <w:rsid w:val="3FD23C34"/>
    <w:rsid w:val="3FD44C26"/>
    <w:rsid w:val="3FE811B9"/>
    <w:rsid w:val="3FE87CE6"/>
    <w:rsid w:val="40567F14"/>
    <w:rsid w:val="408056B9"/>
    <w:rsid w:val="42562ADA"/>
    <w:rsid w:val="4298341B"/>
    <w:rsid w:val="435640B6"/>
    <w:rsid w:val="438003E8"/>
    <w:rsid w:val="44102B0B"/>
    <w:rsid w:val="448B7534"/>
    <w:rsid w:val="44BC3232"/>
    <w:rsid w:val="45162069"/>
    <w:rsid w:val="45B02B07"/>
    <w:rsid w:val="45FE79DB"/>
    <w:rsid w:val="460D222B"/>
    <w:rsid w:val="464B6F05"/>
    <w:rsid w:val="465A2B03"/>
    <w:rsid w:val="46772552"/>
    <w:rsid w:val="46C97CCD"/>
    <w:rsid w:val="46CB5717"/>
    <w:rsid w:val="473123F9"/>
    <w:rsid w:val="47342896"/>
    <w:rsid w:val="47412599"/>
    <w:rsid w:val="482F4D6A"/>
    <w:rsid w:val="489B2930"/>
    <w:rsid w:val="48F000D5"/>
    <w:rsid w:val="48FF4508"/>
    <w:rsid w:val="49007B36"/>
    <w:rsid w:val="490A36D8"/>
    <w:rsid w:val="493F2DDB"/>
    <w:rsid w:val="49817659"/>
    <w:rsid w:val="499453AE"/>
    <w:rsid w:val="49E802FF"/>
    <w:rsid w:val="4A805306"/>
    <w:rsid w:val="4ADB0C8B"/>
    <w:rsid w:val="4ADE285B"/>
    <w:rsid w:val="4B0D7838"/>
    <w:rsid w:val="4B10431F"/>
    <w:rsid w:val="4B677D1A"/>
    <w:rsid w:val="4BEE6A89"/>
    <w:rsid w:val="4C113D63"/>
    <w:rsid w:val="4C6B6B11"/>
    <w:rsid w:val="4CC03194"/>
    <w:rsid w:val="4D090CC1"/>
    <w:rsid w:val="4D6869CC"/>
    <w:rsid w:val="4DE94149"/>
    <w:rsid w:val="4E975946"/>
    <w:rsid w:val="4F435F27"/>
    <w:rsid w:val="4F6F1A8E"/>
    <w:rsid w:val="4F850946"/>
    <w:rsid w:val="502460BF"/>
    <w:rsid w:val="508724B1"/>
    <w:rsid w:val="515B72E3"/>
    <w:rsid w:val="51695AFB"/>
    <w:rsid w:val="51EA7F44"/>
    <w:rsid w:val="52290881"/>
    <w:rsid w:val="524A2983"/>
    <w:rsid w:val="53DF5F17"/>
    <w:rsid w:val="53F8523C"/>
    <w:rsid w:val="55431208"/>
    <w:rsid w:val="555855C6"/>
    <w:rsid w:val="56143F53"/>
    <w:rsid w:val="563D1783"/>
    <w:rsid w:val="567A3963"/>
    <w:rsid w:val="56D43DA6"/>
    <w:rsid w:val="577C3722"/>
    <w:rsid w:val="58563626"/>
    <w:rsid w:val="590C5179"/>
    <w:rsid w:val="590E29D8"/>
    <w:rsid w:val="595765DE"/>
    <w:rsid w:val="596C6384"/>
    <w:rsid w:val="5B8E2554"/>
    <w:rsid w:val="5C4B01EB"/>
    <w:rsid w:val="5C582D11"/>
    <w:rsid w:val="5CDD631F"/>
    <w:rsid w:val="5D1310F4"/>
    <w:rsid w:val="5D580639"/>
    <w:rsid w:val="5E014688"/>
    <w:rsid w:val="5EE516D7"/>
    <w:rsid w:val="5F5B433E"/>
    <w:rsid w:val="5FB920B8"/>
    <w:rsid w:val="6059486A"/>
    <w:rsid w:val="606A7383"/>
    <w:rsid w:val="60811F2E"/>
    <w:rsid w:val="60A80C82"/>
    <w:rsid w:val="61980D03"/>
    <w:rsid w:val="61EF4C74"/>
    <w:rsid w:val="62294C4E"/>
    <w:rsid w:val="62636B9B"/>
    <w:rsid w:val="627A71E5"/>
    <w:rsid w:val="62B9707D"/>
    <w:rsid w:val="62FE50D8"/>
    <w:rsid w:val="643A6238"/>
    <w:rsid w:val="649678C0"/>
    <w:rsid w:val="64B56A8B"/>
    <w:rsid w:val="650C15E6"/>
    <w:rsid w:val="65B97E73"/>
    <w:rsid w:val="66A67065"/>
    <w:rsid w:val="66C02B29"/>
    <w:rsid w:val="673B16E8"/>
    <w:rsid w:val="676B2A8E"/>
    <w:rsid w:val="69245CAD"/>
    <w:rsid w:val="692F25DB"/>
    <w:rsid w:val="694F51EA"/>
    <w:rsid w:val="6977209D"/>
    <w:rsid w:val="69856C2C"/>
    <w:rsid w:val="6A025B62"/>
    <w:rsid w:val="6A1F6ED6"/>
    <w:rsid w:val="6A886C0A"/>
    <w:rsid w:val="6A8E0EF3"/>
    <w:rsid w:val="6AC90275"/>
    <w:rsid w:val="6B173FD5"/>
    <w:rsid w:val="6B484429"/>
    <w:rsid w:val="6BC70B94"/>
    <w:rsid w:val="6C3247E1"/>
    <w:rsid w:val="6D1D3281"/>
    <w:rsid w:val="6D85633F"/>
    <w:rsid w:val="6DD03531"/>
    <w:rsid w:val="6DD942A7"/>
    <w:rsid w:val="6E3B7F30"/>
    <w:rsid w:val="6E3E7455"/>
    <w:rsid w:val="6FC576B2"/>
    <w:rsid w:val="6FEB5D44"/>
    <w:rsid w:val="6FF13B04"/>
    <w:rsid w:val="708708B7"/>
    <w:rsid w:val="713C2199"/>
    <w:rsid w:val="714B228C"/>
    <w:rsid w:val="71505D89"/>
    <w:rsid w:val="71952819"/>
    <w:rsid w:val="72460162"/>
    <w:rsid w:val="7385545D"/>
    <w:rsid w:val="747F6F18"/>
    <w:rsid w:val="74F10F8A"/>
    <w:rsid w:val="753856AD"/>
    <w:rsid w:val="75B94880"/>
    <w:rsid w:val="76031B1F"/>
    <w:rsid w:val="7627752C"/>
    <w:rsid w:val="762A568C"/>
    <w:rsid w:val="76312DA5"/>
    <w:rsid w:val="767435A0"/>
    <w:rsid w:val="772A5A3F"/>
    <w:rsid w:val="7789790C"/>
    <w:rsid w:val="77A9558B"/>
    <w:rsid w:val="77AB4C91"/>
    <w:rsid w:val="77B479FB"/>
    <w:rsid w:val="77D110CF"/>
    <w:rsid w:val="7850150A"/>
    <w:rsid w:val="78685806"/>
    <w:rsid w:val="78825421"/>
    <w:rsid w:val="78C803EC"/>
    <w:rsid w:val="791A5F82"/>
    <w:rsid w:val="791C3CDD"/>
    <w:rsid w:val="79461001"/>
    <w:rsid w:val="7A2E4B0F"/>
    <w:rsid w:val="7A484054"/>
    <w:rsid w:val="7B0D3A24"/>
    <w:rsid w:val="7C420886"/>
    <w:rsid w:val="7C574058"/>
    <w:rsid w:val="7CD26977"/>
    <w:rsid w:val="7CDB05EA"/>
    <w:rsid w:val="7CDE25F5"/>
    <w:rsid w:val="7DCA0F93"/>
    <w:rsid w:val="7DE718DA"/>
    <w:rsid w:val="7E1C2E51"/>
    <w:rsid w:val="7F2564B1"/>
    <w:rsid w:val="7F9D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4"/>
    <w:qFormat/>
    <w:uiPriority w:val="99"/>
    <w:pPr>
      <w:ind w:firstLine="630"/>
    </w:pPr>
    <w:rPr>
      <w:rFonts w:eastAsia="仿宋_GB2312"/>
      <w:sz w:val="32"/>
    </w:rPr>
  </w:style>
  <w:style w:type="paragraph" w:styleId="4">
    <w:name w:val="Normal Indent"/>
    <w:basedOn w:val="1"/>
    <w:qFormat/>
    <w:uiPriority w:val="99"/>
    <w:pPr>
      <w:ind w:firstLine="420" w:firstLineChars="20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rFonts w:asciiTheme="minorHAnsi" w:hAnsiTheme="minorHAnsi" w:eastAsiaTheme="minorEastAsia" w:cstheme="minorBidi"/>
      <w:kern w:val="2"/>
      <w:sz w:val="18"/>
      <w:szCs w:val="18"/>
    </w:rPr>
  </w:style>
  <w:style w:type="character" w:customStyle="1" w:styleId="11">
    <w:name w:val="页脚 Char"/>
    <w:basedOn w:val="9"/>
    <w:link w:val="5"/>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930</Words>
  <Characters>5304</Characters>
  <Lines>44</Lines>
  <Paragraphs>12</Paragraphs>
  <TotalTime>3</TotalTime>
  <ScaleCrop>false</ScaleCrop>
  <LinksUpToDate>false</LinksUpToDate>
  <CharactersWithSpaces>6222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冉冉</cp:lastModifiedBy>
  <cp:lastPrinted>2021-02-10T00:41:00Z</cp:lastPrinted>
  <dcterms:modified xsi:type="dcterms:W3CDTF">2021-02-22T01:50:03Z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SaveFontToCloudKey">
    <vt:lpwstr>1050649804_btnclosed</vt:lpwstr>
  </property>
</Properties>
</file>