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济宁市信访局202</w:t>
      </w:r>
      <w:r>
        <w:rPr>
          <w:rFonts w:hint="eastAsia" w:ascii="方正小标宋简体" w:hAnsi="方正小标宋简体" w:eastAsia="方正小标宋简体" w:cs="方正小标宋简体"/>
          <w:b/>
          <w:bCs/>
          <w:color w:val="auto"/>
          <w:sz w:val="44"/>
          <w:szCs w:val="44"/>
          <w:lang w:val="en-US" w:eastAsia="zh-CN"/>
        </w:rPr>
        <w:t>3</w:t>
      </w:r>
      <w:r>
        <w:rPr>
          <w:rFonts w:hint="eastAsia" w:ascii="方正小标宋简体" w:hAnsi="方正小标宋简体" w:eastAsia="方正小标宋简体" w:cs="方正小标宋简体"/>
          <w:b/>
          <w:bCs/>
          <w:color w:val="auto"/>
          <w:sz w:val="44"/>
          <w:szCs w:val="44"/>
        </w:rPr>
        <w:t>年政府信息公开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工作年度报告</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Style w:val="8"/>
          <w:rFonts w:hint="eastAsia" w:ascii="仿宋" w:hAnsi="仿宋" w:eastAsia="仿宋" w:cs="仿宋"/>
          <w:b/>
          <w:bCs/>
          <w:i w:val="0"/>
          <w:cap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Style w:val="8"/>
          <w:rFonts w:hint="eastAsia" w:ascii="仿宋" w:hAnsi="仿宋" w:eastAsia="仿宋" w:cs="仿宋"/>
          <w:b/>
          <w:bCs/>
          <w:i w:val="0"/>
          <w:caps w:val="0"/>
          <w:color w:val="auto"/>
          <w:spacing w:val="0"/>
          <w:sz w:val="32"/>
          <w:szCs w:val="32"/>
        </w:rPr>
      </w:pPr>
      <w:r>
        <w:rPr>
          <w:rStyle w:val="8"/>
          <w:rFonts w:hint="eastAsia" w:ascii="仿宋" w:hAnsi="仿宋" w:eastAsia="仿宋" w:cs="仿宋"/>
          <w:b/>
          <w:bCs/>
          <w:i w:val="0"/>
          <w:caps w:val="0"/>
          <w:color w:val="auto"/>
          <w:spacing w:val="0"/>
          <w:sz w:val="32"/>
          <w:szCs w:val="32"/>
        </w:rPr>
        <w:t>本报告由济宁市</w:t>
      </w:r>
      <w:r>
        <w:rPr>
          <w:rStyle w:val="8"/>
          <w:rFonts w:hint="eastAsia" w:ascii="仿宋" w:hAnsi="仿宋" w:eastAsia="仿宋" w:cs="仿宋"/>
          <w:b/>
          <w:bCs/>
          <w:i w:val="0"/>
          <w:caps w:val="0"/>
          <w:color w:val="auto"/>
          <w:spacing w:val="0"/>
          <w:sz w:val="32"/>
          <w:szCs w:val="32"/>
          <w:lang w:val="en-US" w:eastAsia="zh-CN"/>
        </w:rPr>
        <w:t>信访局</w:t>
      </w:r>
      <w:r>
        <w:rPr>
          <w:rStyle w:val="8"/>
          <w:rFonts w:hint="eastAsia" w:ascii="仿宋" w:hAnsi="仿宋" w:eastAsia="仿宋" w:cs="仿宋"/>
          <w:b/>
          <w:bCs/>
          <w:i w:val="0"/>
          <w:caps w:val="0"/>
          <w:color w:val="auto"/>
          <w:spacing w:val="0"/>
          <w:sz w:val="32"/>
          <w:szCs w:val="32"/>
        </w:rPr>
        <w:t>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Style w:val="8"/>
          <w:rFonts w:hint="eastAsia" w:ascii="仿宋" w:hAnsi="仿宋" w:eastAsia="仿宋" w:cs="仿宋"/>
          <w:b/>
          <w:bCs/>
          <w:i w:val="0"/>
          <w:caps w:val="0"/>
          <w:color w:val="auto"/>
          <w:spacing w:val="0"/>
          <w:sz w:val="32"/>
          <w:szCs w:val="32"/>
        </w:rPr>
      </w:pPr>
      <w:r>
        <w:rPr>
          <w:rStyle w:val="8"/>
          <w:rFonts w:hint="eastAsia" w:ascii="仿宋" w:hAnsi="仿宋" w:eastAsia="仿宋" w:cs="仿宋"/>
          <w:b/>
          <w:bCs/>
          <w:i w:val="0"/>
          <w:caps w:val="0"/>
          <w:color w:val="auto"/>
          <w:spacing w:val="0"/>
          <w:sz w:val="32"/>
          <w:szCs w:val="32"/>
        </w:rPr>
        <w:t>本报告内容包括总体情况、</w:t>
      </w:r>
      <w:r>
        <w:rPr>
          <w:rStyle w:val="8"/>
          <w:rFonts w:hint="eastAsia" w:ascii="仿宋" w:hAnsi="仿宋" w:eastAsia="仿宋" w:cs="仿宋"/>
          <w:b/>
          <w:bCs/>
          <w:i w:val="0"/>
          <w:caps w:val="0"/>
          <w:color w:val="auto"/>
          <w:spacing w:val="0"/>
          <w:sz w:val="32"/>
          <w:szCs w:val="32"/>
          <w:lang w:eastAsia="zh-CN"/>
        </w:rPr>
        <w:t>行政机关</w:t>
      </w:r>
      <w:r>
        <w:rPr>
          <w:rStyle w:val="8"/>
          <w:rFonts w:hint="eastAsia" w:ascii="仿宋" w:hAnsi="仿宋" w:eastAsia="仿宋" w:cs="仿宋"/>
          <w:b/>
          <w:bCs/>
          <w:i w:val="0"/>
          <w:caps w:val="0"/>
          <w:color w:val="auto"/>
          <w:spacing w:val="0"/>
          <w:sz w:val="32"/>
          <w:szCs w:val="32"/>
        </w:rPr>
        <w:t>主动公开政府信息情况、</w:t>
      </w:r>
      <w:r>
        <w:rPr>
          <w:rStyle w:val="8"/>
          <w:rFonts w:hint="eastAsia" w:ascii="仿宋" w:hAnsi="仿宋" w:eastAsia="仿宋" w:cs="仿宋"/>
          <w:b/>
          <w:bCs/>
          <w:i w:val="0"/>
          <w:caps w:val="0"/>
          <w:color w:val="auto"/>
          <w:spacing w:val="0"/>
          <w:sz w:val="32"/>
          <w:szCs w:val="32"/>
          <w:lang w:eastAsia="zh-CN"/>
        </w:rPr>
        <w:t>行政机关</w:t>
      </w:r>
      <w:r>
        <w:rPr>
          <w:rStyle w:val="8"/>
          <w:rFonts w:hint="eastAsia" w:ascii="仿宋" w:hAnsi="仿宋" w:eastAsia="仿宋" w:cs="仿宋"/>
          <w:b/>
          <w:bCs/>
          <w:i w:val="0"/>
          <w:caps w:val="0"/>
          <w:color w:val="auto"/>
          <w:spacing w:val="0"/>
          <w:sz w:val="32"/>
          <w:szCs w:val="32"/>
        </w:rPr>
        <w:t>收到和处理政府信息公开申请情况、</w:t>
      </w:r>
      <w:r>
        <w:rPr>
          <w:rStyle w:val="8"/>
          <w:rFonts w:hint="eastAsia" w:ascii="仿宋" w:hAnsi="仿宋" w:eastAsia="仿宋" w:cs="仿宋"/>
          <w:b/>
          <w:bCs/>
          <w:i w:val="0"/>
          <w:caps w:val="0"/>
          <w:color w:val="auto"/>
          <w:spacing w:val="0"/>
          <w:sz w:val="32"/>
          <w:szCs w:val="32"/>
          <w:lang w:eastAsia="zh-CN"/>
        </w:rPr>
        <w:t>因</w:t>
      </w:r>
      <w:r>
        <w:rPr>
          <w:rStyle w:val="8"/>
          <w:rFonts w:hint="eastAsia" w:ascii="仿宋" w:hAnsi="仿宋" w:eastAsia="仿宋" w:cs="仿宋"/>
          <w:b/>
          <w:bCs/>
          <w:i w:val="0"/>
          <w:caps w:val="0"/>
          <w:color w:val="auto"/>
          <w:spacing w:val="0"/>
          <w:sz w:val="32"/>
          <w:szCs w:val="32"/>
        </w:rPr>
        <w:t>政府信息公开</w:t>
      </w:r>
      <w:r>
        <w:rPr>
          <w:rStyle w:val="8"/>
          <w:rFonts w:hint="eastAsia" w:ascii="仿宋" w:hAnsi="仿宋" w:eastAsia="仿宋" w:cs="仿宋"/>
          <w:b/>
          <w:bCs/>
          <w:i w:val="0"/>
          <w:caps w:val="0"/>
          <w:color w:val="auto"/>
          <w:spacing w:val="0"/>
          <w:sz w:val="32"/>
          <w:szCs w:val="32"/>
          <w:lang w:eastAsia="zh-CN"/>
        </w:rPr>
        <w:t>工作被申请</w:t>
      </w:r>
      <w:r>
        <w:rPr>
          <w:rStyle w:val="8"/>
          <w:rFonts w:hint="eastAsia" w:ascii="仿宋" w:hAnsi="仿宋" w:eastAsia="仿宋" w:cs="仿宋"/>
          <w:b/>
          <w:bCs/>
          <w:i w:val="0"/>
          <w:caps w:val="0"/>
          <w:color w:val="auto"/>
          <w:spacing w:val="0"/>
          <w:sz w:val="32"/>
          <w:szCs w:val="32"/>
        </w:rPr>
        <w:t>行政复议</w:t>
      </w:r>
      <w:r>
        <w:rPr>
          <w:rStyle w:val="8"/>
          <w:rFonts w:hint="eastAsia" w:ascii="仿宋" w:hAnsi="仿宋" w:eastAsia="仿宋" w:cs="仿宋"/>
          <w:b/>
          <w:bCs/>
          <w:i w:val="0"/>
          <w:caps w:val="0"/>
          <w:color w:val="auto"/>
          <w:spacing w:val="0"/>
          <w:sz w:val="32"/>
          <w:szCs w:val="32"/>
          <w:lang w:eastAsia="zh-CN"/>
        </w:rPr>
        <w:t>，提起</w:t>
      </w:r>
      <w:r>
        <w:rPr>
          <w:rStyle w:val="8"/>
          <w:rFonts w:hint="eastAsia" w:ascii="仿宋" w:hAnsi="仿宋" w:eastAsia="仿宋" w:cs="仿宋"/>
          <w:b/>
          <w:bCs/>
          <w:i w:val="0"/>
          <w:caps w:val="0"/>
          <w:color w:val="auto"/>
          <w:spacing w:val="0"/>
          <w:sz w:val="32"/>
          <w:szCs w:val="32"/>
        </w:rPr>
        <w:t>行政诉讼情况、</w:t>
      </w:r>
      <w:r>
        <w:rPr>
          <w:rStyle w:val="8"/>
          <w:rFonts w:hint="eastAsia" w:ascii="仿宋" w:hAnsi="仿宋" w:eastAsia="仿宋" w:cs="仿宋"/>
          <w:b/>
          <w:bCs/>
          <w:i w:val="0"/>
          <w:caps w:val="0"/>
          <w:color w:val="auto"/>
          <w:spacing w:val="0"/>
          <w:sz w:val="32"/>
          <w:szCs w:val="32"/>
          <w:lang w:eastAsia="zh-CN"/>
        </w:rPr>
        <w:t>政府信息公开工作</w:t>
      </w:r>
      <w:r>
        <w:rPr>
          <w:rStyle w:val="8"/>
          <w:rFonts w:hint="eastAsia" w:ascii="仿宋" w:hAnsi="仿宋" w:eastAsia="仿宋" w:cs="仿宋"/>
          <w:b/>
          <w:bCs/>
          <w:i w:val="0"/>
          <w:caps w:val="0"/>
          <w:color w:val="auto"/>
          <w:spacing w:val="0"/>
          <w:sz w:val="32"/>
          <w:szCs w:val="32"/>
        </w:rPr>
        <w:t>存在的主要问题及改进情况、其他需要报告的事项等</w:t>
      </w:r>
      <w:r>
        <w:rPr>
          <w:rStyle w:val="8"/>
          <w:rFonts w:hint="eastAsia" w:ascii="仿宋" w:hAnsi="仿宋" w:eastAsia="仿宋" w:cs="仿宋"/>
          <w:b/>
          <w:bCs/>
          <w:i w:val="0"/>
          <w:caps w:val="0"/>
          <w:color w:val="auto"/>
          <w:spacing w:val="0"/>
          <w:sz w:val="32"/>
          <w:szCs w:val="32"/>
          <w:lang w:val="en-US" w:eastAsia="zh-CN"/>
        </w:rPr>
        <w:t>六</w:t>
      </w:r>
      <w:r>
        <w:rPr>
          <w:rStyle w:val="8"/>
          <w:rFonts w:hint="eastAsia" w:ascii="仿宋" w:hAnsi="仿宋" w:eastAsia="仿宋" w:cs="仿宋"/>
          <w:b/>
          <w:bCs/>
          <w:i w:val="0"/>
          <w:caps w:val="0"/>
          <w:color w:val="auto"/>
          <w:spacing w:val="0"/>
          <w:sz w:val="32"/>
          <w:szCs w:val="32"/>
        </w:rPr>
        <w:t>部分内容。</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Style w:val="8"/>
          <w:rFonts w:hint="eastAsia" w:ascii="仿宋" w:hAnsi="仿宋" w:eastAsia="仿宋" w:cs="仿宋"/>
          <w:b/>
          <w:bCs/>
          <w:i w:val="0"/>
          <w:caps w:val="0"/>
          <w:color w:val="auto"/>
          <w:spacing w:val="0"/>
          <w:sz w:val="32"/>
          <w:szCs w:val="32"/>
        </w:rPr>
      </w:pPr>
      <w:r>
        <w:rPr>
          <w:rStyle w:val="8"/>
          <w:rFonts w:hint="eastAsia" w:ascii="仿宋" w:hAnsi="仿宋" w:eastAsia="仿宋" w:cs="仿宋"/>
          <w:b/>
          <w:bCs/>
          <w:i w:val="0"/>
          <w:caps w:val="0"/>
          <w:color w:val="auto"/>
          <w:spacing w:val="0"/>
          <w:sz w:val="32"/>
          <w:szCs w:val="32"/>
        </w:rPr>
        <w:t>本报告所列数据的统计期限自202</w:t>
      </w:r>
      <w:r>
        <w:rPr>
          <w:rStyle w:val="8"/>
          <w:rFonts w:hint="eastAsia" w:ascii="仿宋" w:hAnsi="仿宋" w:eastAsia="仿宋" w:cs="仿宋"/>
          <w:b/>
          <w:bCs/>
          <w:i w:val="0"/>
          <w:caps w:val="0"/>
          <w:color w:val="auto"/>
          <w:spacing w:val="0"/>
          <w:sz w:val="32"/>
          <w:szCs w:val="32"/>
          <w:lang w:val="en-US" w:eastAsia="zh-CN"/>
        </w:rPr>
        <w:t>3</w:t>
      </w:r>
      <w:r>
        <w:rPr>
          <w:rStyle w:val="8"/>
          <w:rFonts w:hint="eastAsia" w:ascii="仿宋" w:hAnsi="仿宋" w:eastAsia="仿宋" w:cs="仿宋"/>
          <w:b/>
          <w:bCs/>
          <w:i w:val="0"/>
          <w:caps w:val="0"/>
          <w:color w:val="auto"/>
          <w:spacing w:val="0"/>
          <w:sz w:val="32"/>
          <w:szCs w:val="32"/>
        </w:rPr>
        <w:t>年1月1日起至202</w:t>
      </w:r>
      <w:r>
        <w:rPr>
          <w:rStyle w:val="8"/>
          <w:rFonts w:hint="eastAsia" w:ascii="仿宋" w:hAnsi="仿宋" w:eastAsia="仿宋" w:cs="仿宋"/>
          <w:b/>
          <w:bCs/>
          <w:i w:val="0"/>
          <w:caps w:val="0"/>
          <w:color w:val="auto"/>
          <w:spacing w:val="0"/>
          <w:sz w:val="32"/>
          <w:szCs w:val="32"/>
          <w:lang w:val="en-US" w:eastAsia="zh-CN"/>
        </w:rPr>
        <w:t>3</w:t>
      </w:r>
      <w:r>
        <w:rPr>
          <w:rStyle w:val="8"/>
          <w:rFonts w:hint="eastAsia" w:ascii="仿宋" w:hAnsi="仿宋" w:eastAsia="仿宋" w:cs="仿宋"/>
          <w:b/>
          <w:bCs/>
          <w:i w:val="0"/>
          <w:caps w:val="0"/>
          <w:color w:val="auto"/>
          <w:spacing w:val="0"/>
          <w:sz w:val="32"/>
          <w:szCs w:val="32"/>
        </w:rPr>
        <w:t>年12月31日止。本报告电子版可在“中国·济宁”政府门户网站（http://www.jining.gov.cn/）查阅或下载。如对本报告有疑问，请与济宁市</w:t>
      </w:r>
      <w:r>
        <w:rPr>
          <w:rStyle w:val="8"/>
          <w:rFonts w:hint="eastAsia" w:ascii="仿宋" w:hAnsi="仿宋" w:eastAsia="仿宋" w:cs="仿宋"/>
          <w:b/>
          <w:bCs/>
          <w:i w:val="0"/>
          <w:caps w:val="0"/>
          <w:color w:val="auto"/>
          <w:spacing w:val="0"/>
          <w:sz w:val="32"/>
          <w:szCs w:val="32"/>
          <w:lang w:val="en-US" w:eastAsia="zh-CN"/>
        </w:rPr>
        <w:t>信访</w:t>
      </w:r>
      <w:r>
        <w:rPr>
          <w:rStyle w:val="8"/>
          <w:rFonts w:hint="eastAsia" w:ascii="仿宋" w:hAnsi="仿宋" w:eastAsia="仿宋" w:cs="仿宋"/>
          <w:b/>
          <w:bCs/>
          <w:i w:val="0"/>
          <w:caps w:val="0"/>
          <w:color w:val="auto"/>
          <w:spacing w:val="0"/>
          <w:sz w:val="32"/>
          <w:szCs w:val="32"/>
        </w:rPr>
        <w:t>局联系（地址：济宁市任城区</w:t>
      </w:r>
      <w:r>
        <w:rPr>
          <w:rStyle w:val="8"/>
          <w:rFonts w:hint="eastAsia" w:ascii="仿宋" w:hAnsi="仿宋" w:eastAsia="仿宋" w:cs="仿宋"/>
          <w:b/>
          <w:bCs/>
          <w:i w:val="0"/>
          <w:caps w:val="0"/>
          <w:color w:val="auto"/>
          <w:spacing w:val="0"/>
          <w:sz w:val="32"/>
          <w:szCs w:val="32"/>
          <w:lang w:val="en-US" w:eastAsia="zh-CN"/>
        </w:rPr>
        <w:t>浣笔泉</w:t>
      </w:r>
      <w:r>
        <w:rPr>
          <w:rStyle w:val="8"/>
          <w:rFonts w:hint="eastAsia" w:ascii="仿宋" w:hAnsi="仿宋" w:eastAsia="仿宋" w:cs="仿宋"/>
          <w:b/>
          <w:bCs/>
          <w:i w:val="0"/>
          <w:caps w:val="0"/>
          <w:color w:val="auto"/>
          <w:spacing w:val="0"/>
          <w:sz w:val="32"/>
          <w:szCs w:val="32"/>
        </w:rPr>
        <w:t>路与</w:t>
      </w:r>
      <w:r>
        <w:rPr>
          <w:rStyle w:val="8"/>
          <w:rFonts w:hint="eastAsia" w:ascii="仿宋" w:hAnsi="仿宋" w:eastAsia="仿宋" w:cs="仿宋"/>
          <w:b/>
          <w:bCs/>
          <w:i w:val="0"/>
          <w:caps w:val="0"/>
          <w:color w:val="auto"/>
          <w:spacing w:val="0"/>
          <w:sz w:val="32"/>
          <w:szCs w:val="32"/>
          <w:lang w:val="en-US" w:eastAsia="zh-CN"/>
        </w:rPr>
        <w:t>红星</w:t>
      </w:r>
      <w:r>
        <w:rPr>
          <w:rStyle w:val="8"/>
          <w:rFonts w:hint="eastAsia" w:ascii="仿宋" w:hAnsi="仿宋" w:eastAsia="仿宋" w:cs="仿宋"/>
          <w:b/>
          <w:bCs/>
          <w:i w:val="0"/>
          <w:caps w:val="0"/>
          <w:color w:val="auto"/>
          <w:spacing w:val="0"/>
          <w:sz w:val="32"/>
          <w:szCs w:val="32"/>
        </w:rPr>
        <w:t>路交叉口路西，联系电话：0537-2</w:t>
      </w:r>
      <w:r>
        <w:rPr>
          <w:rStyle w:val="8"/>
          <w:rFonts w:hint="eastAsia" w:ascii="仿宋" w:hAnsi="仿宋" w:eastAsia="仿宋" w:cs="仿宋"/>
          <w:b/>
          <w:bCs/>
          <w:i w:val="0"/>
          <w:caps w:val="0"/>
          <w:color w:val="auto"/>
          <w:spacing w:val="0"/>
          <w:sz w:val="32"/>
          <w:szCs w:val="32"/>
          <w:lang w:val="en-US" w:eastAsia="zh-CN"/>
        </w:rPr>
        <w:t>348456</w:t>
      </w:r>
      <w:r>
        <w:rPr>
          <w:rStyle w:val="8"/>
          <w:rFonts w:hint="eastAsia" w:ascii="仿宋" w:hAnsi="仿宋" w:eastAsia="仿宋" w:cs="仿宋"/>
          <w:b/>
          <w:bCs/>
          <w:i w:val="0"/>
          <w:caps w:val="0"/>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Style w:val="8"/>
          <w:rFonts w:hint="eastAsia" w:ascii="黑体" w:hAnsi="黑体" w:eastAsia="黑体" w:cs="黑体"/>
          <w:b/>
          <w:bCs/>
          <w:i w:val="0"/>
          <w:caps w:val="0"/>
          <w:color w:val="auto"/>
          <w:spacing w:val="0"/>
          <w:sz w:val="32"/>
          <w:szCs w:val="32"/>
        </w:rPr>
      </w:pPr>
      <w:r>
        <w:rPr>
          <w:rStyle w:val="8"/>
          <w:rFonts w:hint="eastAsia" w:ascii="黑体" w:hAnsi="黑体" w:eastAsia="黑体" w:cs="黑体"/>
          <w:b/>
          <w:bCs/>
          <w:i w:val="0"/>
          <w:caps w:val="0"/>
          <w:color w:val="auto"/>
          <w:spacing w:val="0"/>
          <w:sz w:val="32"/>
          <w:szCs w:val="32"/>
        </w:rPr>
        <w:t>一、总体情况</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Style w:val="8"/>
          <w:rFonts w:hint="default" w:ascii="仿宋" w:hAnsi="仿宋" w:eastAsia="仿宋" w:cs="仿宋"/>
          <w:b/>
          <w:bCs/>
          <w:i w:val="0"/>
          <w:caps w:val="0"/>
          <w:color w:val="auto"/>
          <w:spacing w:val="0"/>
          <w:sz w:val="32"/>
          <w:szCs w:val="32"/>
          <w:lang w:val="en-US" w:eastAsia="zh-CN"/>
        </w:rPr>
      </w:pPr>
      <w:r>
        <w:rPr>
          <w:rStyle w:val="8"/>
          <w:rFonts w:hint="default" w:ascii="仿宋" w:hAnsi="仿宋" w:eastAsia="仿宋" w:cs="仿宋"/>
          <w:b/>
          <w:bCs/>
          <w:i w:val="0"/>
          <w:caps w:val="0"/>
          <w:color w:val="auto"/>
          <w:spacing w:val="0"/>
          <w:sz w:val="32"/>
          <w:szCs w:val="32"/>
        </w:rPr>
        <w:t>2023年，市信访局</w:t>
      </w:r>
      <w:r>
        <w:rPr>
          <w:rStyle w:val="8"/>
          <w:rFonts w:hint="eastAsia" w:ascii="仿宋" w:hAnsi="仿宋" w:eastAsia="仿宋" w:cs="仿宋"/>
          <w:b/>
          <w:bCs/>
          <w:i w:val="0"/>
          <w:caps w:val="0"/>
          <w:color w:val="auto"/>
          <w:spacing w:val="0"/>
          <w:sz w:val="32"/>
          <w:szCs w:val="32"/>
          <w:lang w:val="en-US" w:eastAsia="zh-CN"/>
        </w:rPr>
        <w:t>坚持以</w:t>
      </w:r>
      <w:r>
        <w:rPr>
          <w:rStyle w:val="8"/>
          <w:rFonts w:hint="default" w:ascii="仿宋" w:hAnsi="仿宋" w:eastAsia="仿宋" w:cs="仿宋"/>
          <w:b/>
          <w:bCs/>
          <w:i w:val="0"/>
          <w:caps w:val="0"/>
          <w:color w:val="auto"/>
          <w:spacing w:val="0"/>
          <w:sz w:val="32"/>
          <w:szCs w:val="32"/>
        </w:rPr>
        <w:t>习近平新时代中国特色社会主义思想</w:t>
      </w:r>
      <w:r>
        <w:rPr>
          <w:rStyle w:val="8"/>
          <w:rFonts w:hint="eastAsia" w:ascii="仿宋" w:hAnsi="仿宋" w:eastAsia="仿宋" w:cs="仿宋"/>
          <w:b/>
          <w:bCs/>
          <w:i w:val="0"/>
          <w:caps w:val="0"/>
          <w:color w:val="auto"/>
          <w:spacing w:val="0"/>
          <w:sz w:val="32"/>
          <w:szCs w:val="32"/>
          <w:lang w:val="en-US" w:eastAsia="zh-CN"/>
        </w:rPr>
        <w:t>为指导</w:t>
      </w:r>
      <w:r>
        <w:rPr>
          <w:rStyle w:val="8"/>
          <w:rFonts w:hint="default" w:ascii="仿宋" w:hAnsi="仿宋" w:eastAsia="仿宋" w:cs="仿宋"/>
          <w:b/>
          <w:bCs/>
          <w:i w:val="0"/>
          <w:caps w:val="0"/>
          <w:color w:val="auto"/>
          <w:spacing w:val="0"/>
          <w:sz w:val="32"/>
          <w:szCs w:val="32"/>
        </w:rPr>
        <w:t>，</w:t>
      </w:r>
      <w:r>
        <w:rPr>
          <w:rStyle w:val="8"/>
          <w:rFonts w:hint="eastAsia" w:ascii="仿宋" w:hAnsi="仿宋" w:eastAsia="仿宋" w:cs="仿宋"/>
          <w:b/>
          <w:bCs/>
          <w:i w:val="0"/>
          <w:caps w:val="0"/>
          <w:color w:val="auto"/>
          <w:spacing w:val="0"/>
          <w:sz w:val="32"/>
          <w:szCs w:val="32"/>
          <w:lang w:val="en-US" w:eastAsia="zh-CN"/>
        </w:rPr>
        <w:t>全面贯彻落实党的二十大精神，深入贯彻落实习近平总书记关于加强和改进人民信访工作的重要思想，紧紧围绕市委、市政府工作大局，按照《2023年政务公开工作要点》要求，坚持以人民为中心，扛牢为民解难为党分忧的政治责任，聚焦贯彻落实</w:t>
      </w:r>
      <w:r>
        <w:rPr>
          <w:rStyle w:val="8"/>
          <w:rFonts w:hint="default" w:ascii="仿宋" w:hAnsi="仿宋" w:eastAsia="仿宋" w:cs="仿宋"/>
          <w:b/>
          <w:bCs/>
          <w:i w:val="0"/>
          <w:caps w:val="0"/>
          <w:color w:val="auto"/>
          <w:spacing w:val="0"/>
          <w:sz w:val="32"/>
          <w:szCs w:val="32"/>
        </w:rPr>
        <w:t>《中华人民共和国政府信息公开条例》</w:t>
      </w:r>
      <w:r>
        <w:rPr>
          <w:rStyle w:val="8"/>
          <w:rFonts w:hint="eastAsia" w:ascii="仿宋" w:hAnsi="仿宋" w:eastAsia="仿宋" w:cs="仿宋"/>
          <w:b/>
          <w:bCs/>
          <w:i w:val="0"/>
          <w:caps w:val="0"/>
          <w:color w:val="auto"/>
          <w:spacing w:val="0"/>
          <w:sz w:val="32"/>
          <w:szCs w:val="32"/>
          <w:lang w:val="en-US" w:eastAsia="zh-CN"/>
        </w:rPr>
        <w:t>和《信访工作条例》，</w:t>
      </w:r>
      <w:r>
        <w:rPr>
          <w:rStyle w:val="8"/>
          <w:rFonts w:hint="default" w:ascii="仿宋" w:hAnsi="仿宋" w:eastAsia="仿宋" w:cs="仿宋"/>
          <w:b/>
          <w:bCs/>
          <w:i w:val="0"/>
          <w:caps w:val="0"/>
          <w:color w:val="auto"/>
          <w:spacing w:val="0"/>
          <w:sz w:val="32"/>
          <w:szCs w:val="32"/>
        </w:rPr>
        <w:t>扎实开展政务公开工作</w:t>
      </w:r>
      <w:r>
        <w:rPr>
          <w:rStyle w:val="8"/>
          <w:rFonts w:hint="eastAsia" w:ascii="仿宋" w:hAnsi="仿宋" w:eastAsia="仿宋" w:cs="仿宋"/>
          <w:b/>
          <w:bCs/>
          <w:i w:val="0"/>
          <w:caps w:val="0"/>
          <w:color w:val="auto"/>
          <w:spacing w:val="0"/>
          <w:sz w:val="32"/>
          <w:szCs w:val="32"/>
          <w:lang w:eastAsia="zh-CN"/>
        </w:rPr>
        <w:t>，</w:t>
      </w:r>
      <w:r>
        <w:rPr>
          <w:rStyle w:val="8"/>
          <w:rFonts w:hint="eastAsia" w:ascii="仿宋" w:hAnsi="仿宋" w:eastAsia="仿宋" w:cs="仿宋"/>
          <w:b/>
          <w:bCs/>
          <w:i w:val="0"/>
          <w:caps w:val="0"/>
          <w:color w:val="auto"/>
          <w:spacing w:val="0"/>
          <w:sz w:val="32"/>
          <w:szCs w:val="32"/>
          <w:lang w:val="en-US" w:eastAsia="zh-CN"/>
        </w:rPr>
        <w:t>不断提升信访工作良好形象。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360"/>
        <w:jc w:val="left"/>
        <w:textAlignment w:val="auto"/>
        <w:rPr>
          <w:rStyle w:val="8"/>
          <w:rFonts w:hint="eastAsia" w:ascii="仿宋" w:hAnsi="仿宋" w:eastAsia="仿宋" w:cs="仿宋"/>
          <w:b/>
          <w:bCs/>
          <w:i w:val="0"/>
          <w:caps w:val="0"/>
          <w:color w:val="auto"/>
          <w:spacing w:val="0"/>
          <w:kern w:val="2"/>
          <w:sz w:val="32"/>
          <w:szCs w:val="32"/>
          <w:lang w:val="en-US" w:eastAsia="zh-CN" w:bidi="ar-SA"/>
        </w:rPr>
      </w:pPr>
      <w:r>
        <w:rPr>
          <w:rStyle w:val="8"/>
          <w:rFonts w:hint="eastAsia" w:ascii="楷体" w:hAnsi="楷体" w:eastAsia="楷体" w:cs="楷体"/>
          <w:b/>
          <w:bCs/>
          <w:i w:val="0"/>
          <w:caps w:val="0"/>
          <w:color w:val="auto"/>
          <w:spacing w:val="0"/>
          <w:sz w:val="32"/>
          <w:szCs w:val="32"/>
        </w:rPr>
        <w:t>（一）主动公开</w:t>
      </w:r>
      <w:r>
        <w:rPr>
          <w:rStyle w:val="8"/>
          <w:rFonts w:hint="eastAsia" w:ascii="楷体" w:hAnsi="楷体" w:eastAsia="楷体" w:cs="楷体"/>
          <w:b/>
          <w:bCs/>
          <w:i w:val="0"/>
          <w:caps w:val="0"/>
          <w:color w:val="auto"/>
          <w:spacing w:val="0"/>
          <w:sz w:val="32"/>
          <w:szCs w:val="32"/>
          <w:lang w:val="en-US" w:eastAsia="zh-CN"/>
        </w:rPr>
        <w:t>情况。</w:t>
      </w:r>
      <w:r>
        <w:rPr>
          <w:rStyle w:val="8"/>
          <w:rFonts w:hint="eastAsia" w:ascii="仿宋" w:hAnsi="仿宋" w:eastAsia="仿宋" w:cs="仿宋"/>
          <w:b/>
          <w:bCs/>
          <w:i w:val="0"/>
          <w:caps w:val="0"/>
          <w:color w:val="auto"/>
          <w:spacing w:val="0"/>
          <w:kern w:val="2"/>
          <w:sz w:val="32"/>
          <w:szCs w:val="32"/>
          <w:lang w:val="en-US" w:eastAsia="zh-CN" w:bidi="ar-SA"/>
        </w:rPr>
        <w:t>2023年度，市信访局在市政府网站政府信息公开平台发布各类公开信息39条，其中公开局长办公会12次，财政预决算7件，其他法定信息20件。2023年市信访局门户网站发布各类信息231条。“济宁信访”微信公众号发布信息181条，</w:t>
      </w:r>
      <w:r>
        <w:rPr>
          <w:rStyle w:val="8"/>
          <w:rFonts w:hint="eastAsia" w:ascii="仿宋" w:hAnsi="仿宋" w:eastAsia="仿宋" w:cs="仿宋"/>
          <w:b/>
          <w:bCs/>
          <w:i w:val="0"/>
          <w:caps w:val="0"/>
          <w:color w:val="auto"/>
          <w:spacing w:val="0"/>
          <w:sz w:val="32"/>
          <w:szCs w:val="32"/>
          <w:lang w:val="en-US" w:eastAsia="zh-CN"/>
        </w:rPr>
        <w:t>阅读量31.6万余次</w:t>
      </w:r>
      <w:r>
        <w:rPr>
          <w:rStyle w:val="8"/>
          <w:rFonts w:hint="eastAsia" w:ascii="仿宋" w:hAnsi="仿宋" w:eastAsia="仿宋" w:cs="仿宋"/>
          <w:b/>
          <w:bCs/>
          <w:i w:val="0"/>
          <w:caps w:val="0"/>
          <w:color w:val="auto"/>
          <w:spacing w:val="0"/>
          <w:kern w:val="2"/>
          <w:sz w:val="32"/>
          <w:szCs w:val="32"/>
          <w:lang w:val="en-US" w:eastAsia="zh-CN" w:bidi="ar-SA"/>
        </w:rPr>
        <w:t>。通过多渠道、多形式的信息发布，显著提高了政务信息公开质效。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rStyle w:val="8"/>
          <w:rFonts w:hint="eastAsia" w:ascii="仿宋" w:hAnsi="仿宋" w:eastAsia="仿宋" w:cs="仿宋"/>
          <w:b/>
          <w:bCs/>
          <w:i w:val="0"/>
          <w:caps w:val="0"/>
          <w:color w:val="auto"/>
          <w:spacing w:val="0"/>
          <w:kern w:val="2"/>
          <w:sz w:val="32"/>
          <w:szCs w:val="32"/>
          <w:lang w:val="en-US" w:eastAsia="zh-CN" w:bidi="ar-SA"/>
        </w:rPr>
      </w:pPr>
      <w:r>
        <w:rPr>
          <w:rStyle w:val="8"/>
          <w:rFonts w:hint="eastAsia" w:ascii="仿宋" w:hAnsi="仿宋" w:eastAsia="仿宋" w:cs="仿宋"/>
          <w:b/>
          <w:bCs/>
          <w:i w:val="0"/>
          <w:caps w:val="0"/>
          <w:color w:val="auto"/>
          <w:spacing w:val="0"/>
          <w:kern w:val="2"/>
          <w:sz w:val="32"/>
          <w:szCs w:val="32"/>
          <w:lang w:val="en-US" w:eastAsia="zh-CN" w:bidi="ar-SA"/>
        </w:rPr>
        <w:drawing>
          <wp:inline distT="0" distB="0" distL="114300" distR="114300">
            <wp:extent cx="5080000" cy="412750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5"/>
                    <a:stretch>
                      <a:fillRect/>
                    </a:stretch>
                  </pic:blipFill>
                  <pic:spPr>
                    <a:xfrm>
                      <a:off x="0" y="0"/>
                      <a:ext cx="5080000" cy="4127500"/>
                    </a:xfrm>
                    <a:prstGeom prst="rect">
                      <a:avLst/>
                    </a:prstGeom>
                  </pic:spPr>
                </pic:pic>
              </a:graphicData>
            </a:graphic>
          </wp:inline>
        </w:drawing>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2" w:firstLineChars="200"/>
        <w:jc w:val="left"/>
        <w:textAlignment w:val="auto"/>
        <w:rPr>
          <w:rStyle w:val="8"/>
          <w:rFonts w:hint="eastAsia" w:ascii="仿宋" w:hAnsi="仿宋" w:eastAsia="仿宋" w:cs="仿宋"/>
          <w:b/>
          <w:bCs/>
          <w:i w:val="0"/>
          <w:caps w:val="0"/>
          <w:color w:val="auto"/>
          <w:spacing w:val="0"/>
          <w:sz w:val="32"/>
          <w:szCs w:val="32"/>
          <w:lang w:eastAsia="zh-CN"/>
        </w:rPr>
      </w:pPr>
      <w:r>
        <w:rPr>
          <w:rStyle w:val="8"/>
          <w:rFonts w:hint="eastAsia" w:ascii="楷体" w:hAnsi="楷体" w:eastAsia="楷体" w:cs="楷体"/>
          <w:b/>
          <w:bCs/>
          <w:i w:val="0"/>
          <w:caps w:val="0"/>
          <w:color w:val="auto"/>
          <w:spacing w:val="0"/>
          <w:sz w:val="32"/>
          <w:szCs w:val="32"/>
        </w:rPr>
        <w:t>（二）依申请公开</w:t>
      </w:r>
      <w:r>
        <w:rPr>
          <w:rStyle w:val="8"/>
          <w:rFonts w:hint="eastAsia" w:ascii="楷体" w:hAnsi="楷体" w:eastAsia="楷体" w:cs="楷体"/>
          <w:b/>
          <w:bCs/>
          <w:i w:val="0"/>
          <w:caps w:val="0"/>
          <w:color w:val="auto"/>
          <w:spacing w:val="0"/>
          <w:sz w:val="32"/>
          <w:szCs w:val="32"/>
          <w:lang w:val="en-US" w:eastAsia="zh-CN"/>
        </w:rPr>
        <w:t>情况。</w:t>
      </w:r>
      <w:r>
        <w:rPr>
          <w:rStyle w:val="8"/>
          <w:rFonts w:hint="eastAsia" w:ascii="仿宋" w:hAnsi="仿宋" w:eastAsia="仿宋" w:cs="仿宋"/>
          <w:b/>
          <w:bCs/>
          <w:i w:val="0"/>
          <w:caps w:val="0"/>
          <w:color w:val="auto"/>
          <w:spacing w:val="0"/>
          <w:sz w:val="32"/>
          <w:szCs w:val="32"/>
          <w:lang w:val="en-US" w:eastAsia="zh-CN"/>
        </w:rPr>
        <w:t>2023年共收到受理依申请公开1件</w:t>
      </w:r>
      <w:r>
        <w:rPr>
          <w:rStyle w:val="8"/>
          <w:rFonts w:hint="eastAsia" w:ascii="仿宋" w:hAnsi="仿宋" w:eastAsia="仿宋" w:cs="仿宋"/>
          <w:b/>
          <w:bCs/>
          <w:i w:val="0"/>
          <w:caps w:val="0"/>
          <w:color w:val="auto"/>
          <w:spacing w:val="0"/>
          <w:sz w:val="32"/>
          <w:szCs w:val="32"/>
        </w:rPr>
        <w:t>，</w:t>
      </w:r>
      <w:r>
        <w:rPr>
          <w:rStyle w:val="8"/>
          <w:rFonts w:hint="eastAsia" w:ascii="仿宋" w:hAnsi="仿宋" w:eastAsia="仿宋" w:cs="仿宋"/>
          <w:b/>
          <w:bCs/>
          <w:i w:val="0"/>
          <w:caps w:val="0"/>
          <w:color w:val="auto"/>
          <w:spacing w:val="0"/>
          <w:sz w:val="32"/>
          <w:szCs w:val="32"/>
          <w:lang w:val="en-US" w:eastAsia="zh-CN"/>
        </w:rPr>
        <w:t>市信访局</w:t>
      </w:r>
      <w:r>
        <w:rPr>
          <w:rStyle w:val="8"/>
          <w:rFonts w:hint="eastAsia" w:ascii="仿宋" w:hAnsi="仿宋" w:eastAsia="仿宋" w:cs="仿宋"/>
          <w:b/>
          <w:bCs/>
          <w:i w:val="0"/>
          <w:caps w:val="0"/>
          <w:color w:val="auto"/>
          <w:spacing w:val="0"/>
          <w:sz w:val="32"/>
          <w:szCs w:val="32"/>
        </w:rPr>
        <w:t>按照《中华人民共和国政府信息公开条例》有关规定给予书面回复，未发生被行政复议、行政诉讼的情况，被纠正结果的情况。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2" w:firstLineChars="200"/>
        <w:jc w:val="left"/>
        <w:textAlignment w:val="auto"/>
        <w:rPr>
          <w:rStyle w:val="8"/>
          <w:rFonts w:hint="default" w:ascii="仿宋" w:hAnsi="仿宋" w:eastAsia="仿宋" w:cs="仿宋"/>
          <w:b/>
          <w:bCs/>
          <w:i w:val="0"/>
          <w:caps w:val="0"/>
          <w:color w:val="auto"/>
          <w:spacing w:val="0"/>
          <w:sz w:val="32"/>
          <w:szCs w:val="32"/>
          <w:lang w:val="en-US" w:eastAsia="zh-CN"/>
        </w:rPr>
      </w:pPr>
      <w:r>
        <w:rPr>
          <w:rStyle w:val="8"/>
          <w:rFonts w:hint="eastAsia" w:ascii="楷体" w:hAnsi="楷体" w:eastAsia="楷体" w:cs="楷体"/>
          <w:b/>
          <w:bCs/>
          <w:i w:val="0"/>
          <w:caps w:val="0"/>
          <w:color w:val="auto"/>
          <w:spacing w:val="0"/>
          <w:sz w:val="32"/>
          <w:szCs w:val="32"/>
        </w:rPr>
        <w:t>（三）政府信息管理</w:t>
      </w:r>
      <w:r>
        <w:rPr>
          <w:rStyle w:val="8"/>
          <w:rFonts w:hint="eastAsia" w:ascii="楷体" w:hAnsi="楷体" w:eastAsia="楷体" w:cs="楷体"/>
          <w:b/>
          <w:bCs/>
          <w:i w:val="0"/>
          <w:caps w:val="0"/>
          <w:color w:val="auto"/>
          <w:spacing w:val="0"/>
          <w:sz w:val="32"/>
          <w:szCs w:val="32"/>
          <w:lang w:val="en-US" w:eastAsia="zh-CN"/>
        </w:rPr>
        <w:t>情况。</w:t>
      </w:r>
      <w:r>
        <w:rPr>
          <w:rStyle w:val="8"/>
          <w:rFonts w:hint="eastAsia" w:ascii="仿宋" w:hAnsi="仿宋" w:eastAsia="仿宋" w:cs="仿宋"/>
          <w:b/>
          <w:bCs/>
          <w:i w:val="0"/>
          <w:caps w:val="0"/>
          <w:color w:val="auto"/>
          <w:spacing w:val="0"/>
          <w:sz w:val="32"/>
          <w:szCs w:val="32"/>
          <w:lang w:val="en-US" w:eastAsia="zh-CN"/>
        </w:rPr>
        <w:t>加强对政府信息公开属性的认定工作，对于主动公开的信息，及时督促相关科室、单位依法依规及时进行公开。严格落实信息公开保密审查制度，按照“三审三校”原则，加强信息发布前审核，确保发布的信息规范、及时、完整、正确。及时更新与定期清理规范性文件，在信息公开平台发布局现行有效规范性文件。2023年，市信访局未制发规范性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2" w:firstLineChars="200"/>
        <w:jc w:val="left"/>
        <w:textAlignment w:val="auto"/>
        <w:rPr>
          <w:rStyle w:val="8"/>
          <w:rFonts w:hint="default" w:ascii="仿宋" w:hAnsi="仿宋" w:eastAsia="仿宋" w:cs="仿宋"/>
          <w:b/>
          <w:bCs/>
          <w:i w:val="0"/>
          <w:caps w:val="0"/>
          <w:color w:val="auto"/>
          <w:spacing w:val="0"/>
          <w:sz w:val="32"/>
          <w:szCs w:val="32"/>
          <w:lang w:val="en-US" w:eastAsia="zh-CN"/>
        </w:rPr>
      </w:pPr>
      <w:r>
        <w:rPr>
          <w:rStyle w:val="8"/>
          <w:rFonts w:hint="eastAsia" w:ascii="楷体" w:hAnsi="楷体" w:eastAsia="楷体" w:cs="楷体"/>
          <w:b/>
          <w:bCs/>
          <w:i w:val="0"/>
          <w:caps w:val="0"/>
          <w:color w:val="auto"/>
          <w:spacing w:val="0"/>
          <w:sz w:val="32"/>
          <w:szCs w:val="32"/>
        </w:rPr>
        <w:t>（四）政府信息公开平台建设</w:t>
      </w:r>
      <w:r>
        <w:rPr>
          <w:rStyle w:val="8"/>
          <w:rFonts w:hint="eastAsia" w:ascii="楷体" w:hAnsi="楷体" w:eastAsia="楷体" w:cs="楷体"/>
          <w:b/>
          <w:bCs/>
          <w:i w:val="0"/>
          <w:caps w:val="0"/>
          <w:color w:val="auto"/>
          <w:spacing w:val="0"/>
          <w:sz w:val="32"/>
          <w:szCs w:val="32"/>
          <w:lang w:val="en-US" w:eastAsia="zh-CN"/>
        </w:rPr>
        <w:t>情况。</w:t>
      </w:r>
      <w:r>
        <w:rPr>
          <w:rStyle w:val="8"/>
          <w:rFonts w:hint="eastAsia" w:ascii="仿宋" w:hAnsi="仿宋" w:eastAsia="仿宋" w:cs="仿宋"/>
          <w:b/>
          <w:bCs/>
          <w:i w:val="0"/>
          <w:caps w:val="0"/>
          <w:color w:val="auto"/>
          <w:spacing w:val="0"/>
          <w:sz w:val="32"/>
          <w:szCs w:val="32"/>
          <w:lang w:val="en-US" w:eastAsia="zh-CN"/>
        </w:rPr>
        <w:t>加强对市信访局门户网站升级、优化，丰富网站政府信息公开栏目，充分发挥门户网站政务公开主阵地作用，及时、准确发布工作动态信息。</w:t>
      </w:r>
      <w:r>
        <w:rPr>
          <w:rStyle w:val="8"/>
          <w:rFonts w:hint="eastAsia" w:ascii="仿宋" w:hAnsi="仿宋" w:eastAsia="仿宋" w:cs="仿宋"/>
          <w:b/>
          <w:bCs/>
          <w:i w:val="0"/>
          <w:caps w:val="0"/>
          <w:color w:val="auto"/>
          <w:spacing w:val="0"/>
          <w:sz w:val="32"/>
          <w:szCs w:val="32"/>
          <w:lang w:eastAsia="zh-CN"/>
        </w:rPr>
        <w:t>持续在</w:t>
      </w:r>
      <w:r>
        <w:rPr>
          <w:rStyle w:val="8"/>
          <w:rFonts w:hint="eastAsia" w:ascii="仿宋" w:hAnsi="仿宋" w:eastAsia="仿宋" w:cs="仿宋"/>
          <w:b/>
          <w:bCs/>
          <w:i w:val="0"/>
          <w:caps w:val="0"/>
          <w:color w:val="auto"/>
          <w:spacing w:val="0"/>
          <w:sz w:val="32"/>
          <w:szCs w:val="32"/>
        </w:rPr>
        <w:t>新媒体</w:t>
      </w:r>
      <w:r>
        <w:rPr>
          <w:rStyle w:val="8"/>
          <w:rFonts w:hint="eastAsia" w:ascii="仿宋" w:hAnsi="仿宋" w:eastAsia="仿宋" w:cs="仿宋"/>
          <w:b/>
          <w:bCs/>
          <w:i w:val="0"/>
          <w:caps w:val="0"/>
          <w:color w:val="auto"/>
          <w:spacing w:val="0"/>
          <w:sz w:val="32"/>
          <w:szCs w:val="32"/>
          <w:lang w:eastAsia="zh-CN"/>
        </w:rPr>
        <w:t>平台建设上发力，</w:t>
      </w:r>
      <w:r>
        <w:rPr>
          <w:rStyle w:val="8"/>
          <w:rFonts w:hint="eastAsia" w:ascii="仿宋" w:hAnsi="仿宋" w:eastAsia="仿宋" w:cs="仿宋"/>
          <w:b/>
          <w:bCs/>
          <w:i w:val="0"/>
          <w:caps w:val="0"/>
          <w:color w:val="auto"/>
          <w:spacing w:val="0"/>
          <w:sz w:val="32"/>
          <w:szCs w:val="32"/>
          <w:lang w:val="en-US" w:eastAsia="zh-CN"/>
        </w:rPr>
        <w:t>推进“济宁信访”微信公众号的完善与运用，拓宽政府信息公开渠道，积极</w:t>
      </w:r>
      <w:r>
        <w:rPr>
          <w:rStyle w:val="8"/>
          <w:rFonts w:hint="eastAsia" w:ascii="仿宋" w:hAnsi="仿宋" w:eastAsia="仿宋" w:cs="仿宋"/>
          <w:b/>
          <w:bCs/>
          <w:i w:val="0"/>
          <w:caps w:val="0"/>
          <w:color w:val="auto"/>
          <w:spacing w:val="0"/>
          <w:sz w:val="32"/>
          <w:szCs w:val="32"/>
          <w:lang w:eastAsia="zh-CN"/>
        </w:rPr>
        <w:t>宣传政策、引导</w:t>
      </w:r>
      <w:r>
        <w:rPr>
          <w:rStyle w:val="8"/>
          <w:rFonts w:hint="eastAsia" w:ascii="仿宋" w:hAnsi="仿宋" w:eastAsia="仿宋" w:cs="仿宋"/>
          <w:b/>
          <w:bCs/>
          <w:i w:val="0"/>
          <w:caps w:val="0"/>
          <w:color w:val="auto"/>
          <w:spacing w:val="0"/>
          <w:sz w:val="32"/>
          <w:szCs w:val="32"/>
          <w:lang w:val="en-US" w:eastAsia="zh-CN"/>
        </w:rPr>
        <w:t>舆论，为公众提供一个更加便捷、全面的信息获取平台。截至2023年12月31日，“济宁信访”微信公众号订阅量15490个。</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2" w:firstLineChars="200"/>
        <w:jc w:val="left"/>
        <w:textAlignment w:val="auto"/>
        <w:rPr>
          <w:rStyle w:val="8"/>
          <w:rFonts w:hint="eastAsia" w:ascii="仿宋" w:hAnsi="仿宋" w:eastAsia="仿宋" w:cs="仿宋"/>
          <w:b/>
          <w:bCs/>
          <w:i w:val="0"/>
          <w:caps w:val="0"/>
          <w:color w:val="auto"/>
          <w:spacing w:val="0"/>
          <w:sz w:val="32"/>
          <w:szCs w:val="32"/>
          <w:lang w:val="en-US" w:eastAsia="zh-CN"/>
        </w:rPr>
      </w:pPr>
      <w:r>
        <w:rPr>
          <w:rStyle w:val="8"/>
          <w:rFonts w:hint="eastAsia" w:ascii="楷体" w:hAnsi="楷体" w:eastAsia="楷体" w:cs="楷体"/>
          <w:b/>
          <w:bCs/>
          <w:i w:val="0"/>
          <w:caps w:val="0"/>
          <w:color w:val="auto"/>
          <w:spacing w:val="0"/>
          <w:sz w:val="32"/>
          <w:szCs w:val="32"/>
        </w:rPr>
        <w:t>（五）监督保障</w:t>
      </w:r>
      <w:r>
        <w:rPr>
          <w:rStyle w:val="8"/>
          <w:rFonts w:hint="eastAsia" w:ascii="楷体" w:hAnsi="楷体" w:eastAsia="楷体" w:cs="楷体"/>
          <w:b/>
          <w:bCs/>
          <w:i w:val="0"/>
          <w:caps w:val="0"/>
          <w:color w:val="auto"/>
          <w:spacing w:val="0"/>
          <w:sz w:val="32"/>
          <w:szCs w:val="32"/>
          <w:lang w:val="en-US" w:eastAsia="zh-CN"/>
        </w:rPr>
        <w:t>情况。</w:t>
      </w:r>
      <w:r>
        <w:rPr>
          <w:rStyle w:val="8"/>
          <w:rFonts w:hint="eastAsia" w:ascii="仿宋" w:hAnsi="仿宋" w:eastAsia="仿宋" w:cs="仿宋"/>
          <w:b/>
          <w:bCs/>
          <w:i w:val="0"/>
          <w:caps w:val="0"/>
          <w:color w:val="auto"/>
          <w:spacing w:val="0"/>
          <w:sz w:val="32"/>
          <w:szCs w:val="32"/>
          <w:lang w:val="en-US" w:eastAsia="zh-CN"/>
        </w:rPr>
        <w:t>市信访局不断加强政府信息管理工作，及时调整更新政务公开工作领导小组，定期召开会议研究部署政府信息公开有关工作，定期组织相关人员培训，提高政务公开工作的规范化水平。认真对照政务公开评估标准，积极开展自查自纠，针对自查发现的问题，认真分析原因，提出整改措施，明确整改责任及整改时限，抓好问题整改。结合实际制定局年度政务公开工作要点，将信息公开工作纳入局内部考核，明确任务分工，细化责任落实，形成工作合力，确保政务公开工作有序开展。</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2" w:firstLineChars="200"/>
        <w:jc w:val="left"/>
        <w:textAlignment w:val="auto"/>
        <w:rPr>
          <w:rStyle w:val="8"/>
          <w:rFonts w:hint="eastAsia" w:ascii="黑体" w:hAnsi="黑体" w:eastAsia="黑体" w:cs="黑体"/>
          <w:b/>
          <w:bCs/>
          <w:i w:val="0"/>
          <w:caps w:val="0"/>
          <w:color w:val="auto"/>
          <w:spacing w:val="0"/>
          <w:sz w:val="32"/>
          <w:szCs w:val="32"/>
          <w:lang w:val="en-US" w:eastAsia="zh-CN"/>
        </w:rPr>
      </w:pPr>
      <w:r>
        <w:rPr>
          <w:rStyle w:val="8"/>
          <w:rFonts w:hint="eastAsia" w:ascii="黑体" w:hAnsi="黑体" w:eastAsia="黑体" w:cs="黑体"/>
          <w:b/>
          <w:bCs/>
          <w:i w:val="0"/>
          <w:caps w:val="0"/>
          <w:color w:val="auto"/>
          <w:spacing w:val="0"/>
          <w:sz w:val="32"/>
          <w:szCs w:val="32"/>
          <w:lang w:val="en-US" w:eastAsia="zh-CN"/>
        </w:rPr>
        <w:t>二、行政机关主动公开政府信息情况</w:t>
      </w:r>
    </w:p>
    <w:tbl>
      <w:tblPr>
        <w:tblStyle w:val="6"/>
        <w:tblpPr w:leftFromText="180" w:rightFromText="180" w:vertAnchor="text" w:horzAnchor="page" w:tblpXSpec="center" w:tblpY="591"/>
        <w:tblOverlap w:val="never"/>
        <w:tblW w:w="9480"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620"/>
        <w:gridCol w:w="2296"/>
        <w:gridCol w:w="2395"/>
        <w:gridCol w:w="216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9480" w:type="dxa"/>
            <w:gridSpan w:val="4"/>
            <w:tcBorders>
              <w:top w:val="single" w:color="auto" w:sz="4" w:space="0"/>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Style w:val="8"/>
                <w:rFonts w:hint="eastAsia" w:ascii="黑体" w:hAnsi="黑体" w:eastAsia="黑体" w:cs="黑体"/>
                <w:b/>
                <w:bCs/>
                <w:color w:val="auto"/>
                <w:sz w:val="28"/>
                <w:szCs w:val="28"/>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2620" w:type="dxa"/>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Style w:val="8"/>
                <w:rFonts w:hint="eastAsia" w:ascii="仿宋" w:hAnsi="仿宋" w:eastAsia="仿宋" w:cs="仿宋"/>
                <w:b/>
                <w:bCs/>
                <w:color w:val="auto"/>
                <w:sz w:val="28"/>
                <w:szCs w:val="28"/>
              </w:rPr>
              <w:t>信息内容</w:t>
            </w:r>
          </w:p>
        </w:tc>
        <w:tc>
          <w:tcPr>
            <w:tcW w:w="2296" w:type="dxa"/>
            <w:tcBorders>
              <w:top w:val="single" w:color="auto" w:sz="4" w:space="0"/>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Style w:val="8"/>
                <w:rFonts w:hint="eastAsia" w:ascii="仿宋" w:hAnsi="仿宋" w:eastAsia="仿宋" w:cs="仿宋"/>
                <w:b/>
                <w:bCs/>
                <w:color w:val="auto"/>
                <w:sz w:val="28"/>
                <w:szCs w:val="28"/>
              </w:rPr>
              <w:t>本年制发件数</w:t>
            </w:r>
          </w:p>
        </w:tc>
        <w:tc>
          <w:tcPr>
            <w:tcW w:w="2395" w:type="dxa"/>
            <w:tcBorders>
              <w:top w:val="single" w:color="auto" w:sz="4" w:space="0"/>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Style w:val="8"/>
                <w:rFonts w:hint="eastAsia" w:ascii="仿宋" w:hAnsi="仿宋" w:eastAsia="仿宋" w:cs="仿宋"/>
                <w:b/>
                <w:bCs/>
                <w:color w:val="auto"/>
                <w:sz w:val="28"/>
                <w:szCs w:val="28"/>
              </w:rPr>
              <w:t>本年废止件数</w:t>
            </w:r>
          </w:p>
        </w:tc>
        <w:tc>
          <w:tcPr>
            <w:tcW w:w="2169" w:type="dxa"/>
            <w:tcBorders>
              <w:top w:val="single" w:color="auto" w:sz="4" w:space="0"/>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Style w:val="8"/>
                <w:rFonts w:hint="eastAsia" w:ascii="仿宋" w:hAnsi="仿宋" w:eastAsia="仿宋" w:cs="仿宋"/>
                <w:b/>
                <w:bCs/>
                <w:color w:val="auto"/>
                <w:sz w:val="28"/>
                <w:szCs w:val="28"/>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5" w:hRule="atLeast"/>
          <w:tblCellSpacing w:w="0" w:type="dxa"/>
          <w:jc w:val="center"/>
        </w:trPr>
        <w:tc>
          <w:tcPr>
            <w:tcW w:w="2620" w:type="dxa"/>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textAlignment w:val="auto"/>
              <w:rPr>
                <w:rFonts w:hint="eastAsia" w:ascii="仿宋" w:hAnsi="仿宋" w:eastAsia="仿宋" w:cs="仿宋"/>
                <w:b/>
                <w:bCs/>
                <w:color w:val="auto"/>
                <w:sz w:val="28"/>
                <w:szCs w:val="28"/>
              </w:rPr>
            </w:pPr>
            <w:r>
              <w:rPr>
                <w:rStyle w:val="8"/>
                <w:rFonts w:hint="eastAsia" w:ascii="仿宋" w:hAnsi="仿宋" w:eastAsia="仿宋" w:cs="仿宋"/>
                <w:b/>
                <w:bCs/>
                <w:color w:val="auto"/>
                <w:sz w:val="28"/>
                <w:szCs w:val="28"/>
              </w:rPr>
              <w:t>规章</w:t>
            </w:r>
          </w:p>
        </w:tc>
        <w:tc>
          <w:tcPr>
            <w:tcW w:w="2296" w:type="dxa"/>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0</w:t>
            </w:r>
          </w:p>
        </w:tc>
        <w:tc>
          <w:tcPr>
            <w:tcW w:w="2395" w:type="dxa"/>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0</w:t>
            </w:r>
          </w:p>
        </w:tc>
        <w:tc>
          <w:tcPr>
            <w:tcW w:w="2169" w:type="dxa"/>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5" w:hRule="atLeast"/>
          <w:tblCellSpacing w:w="0" w:type="dxa"/>
          <w:jc w:val="center"/>
        </w:trPr>
        <w:tc>
          <w:tcPr>
            <w:tcW w:w="2620" w:type="dxa"/>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textAlignment w:val="auto"/>
              <w:rPr>
                <w:rFonts w:hint="eastAsia" w:ascii="仿宋" w:hAnsi="仿宋" w:eastAsia="仿宋" w:cs="仿宋"/>
                <w:b/>
                <w:bCs/>
                <w:color w:val="auto"/>
                <w:sz w:val="28"/>
                <w:szCs w:val="28"/>
              </w:rPr>
            </w:pPr>
            <w:r>
              <w:rPr>
                <w:rStyle w:val="8"/>
                <w:rFonts w:hint="eastAsia" w:ascii="仿宋" w:hAnsi="仿宋" w:eastAsia="仿宋" w:cs="仿宋"/>
                <w:b/>
                <w:bCs/>
                <w:color w:val="auto"/>
                <w:sz w:val="28"/>
                <w:szCs w:val="28"/>
              </w:rPr>
              <w:t>行政规范性文件</w:t>
            </w:r>
          </w:p>
        </w:tc>
        <w:tc>
          <w:tcPr>
            <w:tcW w:w="2296" w:type="dxa"/>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0</w:t>
            </w:r>
          </w:p>
        </w:tc>
        <w:tc>
          <w:tcPr>
            <w:tcW w:w="2395" w:type="dxa"/>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0</w:t>
            </w:r>
          </w:p>
        </w:tc>
        <w:tc>
          <w:tcPr>
            <w:tcW w:w="2169" w:type="dxa"/>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5" w:hRule="atLeast"/>
          <w:tblCellSpacing w:w="0" w:type="dxa"/>
          <w:jc w:val="center"/>
        </w:trPr>
        <w:tc>
          <w:tcPr>
            <w:tcW w:w="9480" w:type="dxa"/>
            <w:gridSpan w:val="4"/>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Style w:val="8"/>
                <w:rFonts w:hint="eastAsia" w:ascii="黑体" w:hAnsi="黑体" w:eastAsia="黑体" w:cs="黑体"/>
                <w:b/>
                <w:bCs/>
                <w:color w:val="auto"/>
                <w:sz w:val="28"/>
                <w:szCs w:val="28"/>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2620" w:type="dxa"/>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Style w:val="8"/>
                <w:rFonts w:hint="eastAsia" w:ascii="仿宋" w:hAnsi="仿宋" w:eastAsia="仿宋" w:cs="仿宋"/>
                <w:b/>
                <w:bCs/>
                <w:color w:val="auto"/>
                <w:sz w:val="28"/>
                <w:szCs w:val="28"/>
              </w:rPr>
              <w:t>信息内容</w:t>
            </w:r>
          </w:p>
        </w:tc>
        <w:tc>
          <w:tcPr>
            <w:tcW w:w="6860" w:type="dxa"/>
            <w:gridSpan w:val="3"/>
            <w:tcBorders>
              <w:top w:val="single" w:color="auto" w:sz="4" w:space="0"/>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Style w:val="8"/>
                <w:rFonts w:hint="eastAsia" w:ascii="仿宋" w:hAnsi="仿宋" w:eastAsia="仿宋" w:cs="仿宋"/>
                <w:b/>
                <w:bCs/>
                <w:color w:val="auto"/>
                <w:sz w:val="28"/>
                <w:szCs w:val="28"/>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5" w:hRule="atLeast"/>
          <w:tblCellSpacing w:w="0" w:type="dxa"/>
          <w:jc w:val="center"/>
        </w:trPr>
        <w:tc>
          <w:tcPr>
            <w:tcW w:w="2620" w:type="dxa"/>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textAlignment w:val="auto"/>
              <w:rPr>
                <w:rFonts w:hint="eastAsia" w:ascii="仿宋" w:hAnsi="仿宋" w:eastAsia="仿宋" w:cs="仿宋"/>
                <w:b/>
                <w:bCs/>
                <w:color w:val="auto"/>
                <w:sz w:val="28"/>
                <w:szCs w:val="28"/>
              </w:rPr>
            </w:pPr>
            <w:r>
              <w:rPr>
                <w:rStyle w:val="8"/>
                <w:rFonts w:hint="eastAsia" w:ascii="仿宋" w:hAnsi="仿宋" w:eastAsia="仿宋" w:cs="仿宋"/>
                <w:b/>
                <w:bCs/>
                <w:color w:val="auto"/>
                <w:sz w:val="28"/>
                <w:szCs w:val="28"/>
              </w:rPr>
              <w:t>行政许可</w:t>
            </w:r>
          </w:p>
        </w:tc>
        <w:tc>
          <w:tcPr>
            <w:tcW w:w="6860" w:type="dxa"/>
            <w:gridSpan w:val="3"/>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5" w:hRule="atLeast"/>
          <w:tblCellSpacing w:w="0" w:type="dxa"/>
          <w:jc w:val="center"/>
        </w:trPr>
        <w:tc>
          <w:tcPr>
            <w:tcW w:w="9480" w:type="dxa"/>
            <w:gridSpan w:val="4"/>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Style w:val="8"/>
                <w:rFonts w:hint="eastAsia" w:ascii="黑体" w:hAnsi="黑体" w:eastAsia="黑体" w:cs="黑体"/>
                <w:b/>
                <w:bCs/>
                <w:color w:val="auto"/>
                <w:sz w:val="28"/>
                <w:szCs w:val="28"/>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2620" w:type="dxa"/>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Style w:val="8"/>
                <w:rFonts w:hint="eastAsia" w:ascii="仿宋" w:hAnsi="仿宋" w:eastAsia="仿宋" w:cs="仿宋"/>
                <w:b/>
                <w:bCs/>
                <w:color w:val="auto"/>
                <w:sz w:val="28"/>
                <w:szCs w:val="28"/>
              </w:rPr>
              <w:t>信息内容</w:t>
            </w:r>
          </w:p>
        </w:tc>
        <w:tc>
          <w:tcPr>
            <w:tcW w:w="6860" w:type="dxa"/>
            <w:gridSpan w:val="3"/>
            <w:tcBorders>
              <w:top w:val="single" w:color="auto" w:sz="4" w:space="0"/>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Style w:val="8"/>
                <w:rFonts w:hint="eastAsia" w:ascii="仿宋" w:hAnsi="仿宋" w:eastAsia="仿宋" w:cs="仿宋"/>
                <w:b/>
                <w:bCs/>
                <w:color w:val="auto"/>
                <w:sz w:val="28"/>
                <w:szCs w:val="28"/>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5" w:hRule="atLeast"/>
          <w:tblCellSpacing w:w="0" w:type="dxa"/>
          <w:jc w:val="center"/>
        </w:trPr>
        <w:tc>
          <w:tcPr>
            <w:tcW w:w="2620" w:type="dxa"/>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textAlignment w:val="auto"/>
              <w:rPr>
                <w:rFonts w:hint="eastAsia" w:ascii="仿宋" w:hAnsi="仿宋" w:eastAsia="仿宋" w:cs="仿宋"/>
                <w:b/>
                <w:bCs/>
                <w:color w:val="auto"/>
                <w:sz w:val="28"/>
                <w:szCs w:val="28"/>
              </w:rPr>
            </w:pPr>
            <w:r>
              <w:rPr>
                <w:rStyle w:val="8"/>
                <w:rFonts w:hint="eastAsia" w:ascii="仿宋" w:hAnsi="仿宋" w:eastAsia="仿宋" w:cs="仿宋"/>
                <w:b/>
                <w:bCs/>
                <w:color w:val="auto"/>
                <w:sz w:val="28"/>
                <w:szCs w:val="28"/>
              </w:rPr>
              <w:t>行政处罚</w:t>
            </w:r>
          </w:p>
        </w:tc>
        <w:tc>
          <w:tcPr>
            <w:tcW w:w="6860" w:type="dxa"/>
            <w:gridSpan w:val="3"/>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5" w:hRule="atLeast"/>
          <w:tblCellSpacing w:w="0" w:type="dxa"/>
          <w:jc w:val="center"/>
        </w:trPr>
        <w:tc>
          <w:tcPr>
            <w:tcW w:w="2620" w:type="dxa"/>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textAlignment w:val="auto"/>
              <w:rPr>
                <w:rFonts w:hint="eastAsia" w:ascii="仿宋" w:hAnsi="仿宋" w:eastAsia="仿宋" w:cs="仿宋"/>
                <w:b/>
                <w:bCs/>
                <w:color w:val="auto"/>
                <w:sz w:val="28"/>
                <w:szCs w:val="28"/>
              </w:rPr>
            </w:pPr>
            <w:r>
              <w:rPr>
                <w:rStyle w:val="8"/>
                <w:rFonts w:hint="eastAsia" w:ascii="仿宋" w:hAnsi="仿宋" w:eastAsia="仿宋" w:cs="仿宋"/>
                <w:b/>
                <w:bCs/>
                <w:color w:val="auto"/>
                <w:sz w:val="28"/>
                <w:szCs w:val="28"/>
              </w:rPr>
              <w:t>行政强制</w:t>
            </w:r>
          </w:p>
        </w:tc>
        <w:tc>
          <w:tcPr>
            <w:tcW w:w="6860" w:type="dxa"/>
            <w:gridSpan w:val="3"/>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5" w:hRule="atLeast"/>
          <w:tblCellSpacing w:w="0" w:type="dxa"/>
          <w:jc w:val="center"/>
        </w:trPr>
        <w:tc>
          <w:tcPr>
            <w:tcW w:w="9480" w:type="dxa"/>
            <w:gridSpan w:val="4"/>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Style w:val="8"/>
                <w:rFonts w:hint="eastAsia" w:ascii="黑体" w:hAnsi="黑体" w:eastAsia="黑体" w:cs="黑体"/>
                <w:b/>
                <w:bCs/>
                <w:color w:val="auto"/>
                <w:sz w:val="28"/>
                <w:szCs w:val="28"/>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2620" w:type="dxa"/>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Style w:val="8"/>
                <w:rFonts w:hint="eastAsia" w:ascii="仿宋" w:hAnsi="仿宋" w:eastAsia="仿宋" w:cs="仿宋"/>
                <w:b/>
                <w:bCs/>
                <w:color w:val="auto"/>
                <w:sz w:val="28"/>
                <w:szCs w:val="28"/>
              </w:rPr>
              <w:t>信息内容</w:t>
            </w:r>
          </w:p>
        </w:tc>
        <w:tc>
          <w:tcPr>
            <w:tcW w:w="6860" w:type="dxa"/>
            <w:gridSpan w:val="3"/>
            <w:tcBorders>
              <w:top w:val="single" w:color="auto" w:sz="4" w:space="0"/>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Style w:val="8"/>
                <w:rFonts w:hint="eastAsia" w:ascii="仿宋" w:hAnsi="仿宋" w:eastAsia="仿宋" w:cs="仿宋"/>
                <w:b/>
                <w:bCs/>
                <w:color w:val="auto"/>
                <w:sz w:val="28"/>
                <w:szCs w:val="28"/>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5" w:hRule="atLeast"/>
          <w:tblCellSpacing w:w="0" w:type="dxa"/>
          <w:jc w:val="center"/>
        </w:trPr>
        <w:tc>
          <w:tcPr>
            <w:tcW w:w="2620" w:type="dxa"/>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textAlignment w:val="auto"/>
              <w:rPr>
                <w:rFonts w:hint="eastAsia" w:ascii="仿宋" w:hAnsi="仿宋" w:eastAsia="仿宋" w:cs="仿宋"/>
                <w:b/>
                <w:bCs/>
                <w:color w:val="auto"/>
                <w:sz w:val="28"/>
                <w:szCs w:val="28"/>
              </w:rPr>
            </w:pPr>
            <w:r>
              <w:rPr>
                <w:rStyle w:val="8"/>
                <w:rFonts w:hint="eastAsia" w:ascii="仿宋" w:hAnsi="仿宋" w:eastAsia="仿宋" w:cs="仿宋"/>
                <w:b/>
                <w:bCs/>
                <w:color w:val="auto"/>
                <w:sz w:val="28"/>
                <w:szCs w:val="28"/>
              </w:rPr>
              <w:t>行政事业性收费</w:t>
            </w:r>
          </w:p>
        </w:tc>
        <w:tc>
          <w:tcPr>
            <w:tcW w:w="6860" w:type="dxa"/>
            <w:gridSpan w:val="3"/>
            <w:tcBorders>
              <w:top w:val="nil"/>
              <w:left w:val="single" w:color="auto" w:sz="4" w:space="0"/>
              <w:bottom w:val="single" w:color="auto" w:sz="4" w:space="0"/>
              <w:right w:val="single" w:color="auto" w:sz="4" w:space="0"/>
            </w:tcBorders>
            <w:shd w:val="clear" w:color="auto" w:fill="FFFFFF"/>
            <w:tcMar>
              <w:left w:w="34" w:type="dxa"/>
              <w:right w:w="34" w:type="dxa"/>
            </w:tcMar>
            <w:vAlign w:val="center"/>
          </w:tcPr>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0</w:t>
            </w:r>
          </w:p>
        </w:tc>
      </w:tr>
    </w:tbl>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360"/>
        <w:jc w:val="left"/>
        <w:textAlignment w:val="auto"/>
        <w:rPr>
          <w:rStyle w:val="8"/>
          <w:rFonts w:hint="eastAsia" w:ascii="黑体" w:hAnsi="黑体" w:eastAsia="黑体" w:cs="黑体"/>
          <w:b/>
          <w:bCs/>
          <w:i w:val="0"/>
          <w:caps w:val="0"/>
          <w:color w:val="auto"/>
          <w:spacing w:val="0"/>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360"/>
        <w:jc w:val="left"/>
        <w:textAlignment w:val="auto"/>
        <w:rPr>
          <w:rStyle w:val="8"/>
          <w:rFonts w:hint="eastAsia" w:ascii="黑体" w:hAnsi="黑体" w:eastAsia="黑体" w:cs="黑体"/>
          <w:b/>
          <w:bCs/>
          <w:i w:val="0"/>
          <w:caps w:val="0"/>
          <w:color w:val="auto"/>
          <w:spacing w:val="0"/>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360"/>
        <w:jc w:val="left"/>
        <w:textAlignment w:val="auto"/>
        <w:rPr>
          <w:rFonts w:hint="eastAsia" w:ascii="黑体" w:hAnsi="黑体" w:eastAsia="黑体" w:cs="黑体"/>
          <w:b/>
          <w:bCs/>
          <w:i w:val="0"/>
          <w:caps w:val="0"/>
          <w:color w:val="auto"/>
          <w:spacing w:val="0"/>
          <w:sz w:val="32"/>
          <w:szCs w:val="32"/>
        </w:rPr>
      </w:pPr>
      <w:r>
        <w:rPr>
          <w:rStyle w:val="8"/>
          <w:rFonts w:hint="eastAsia" w:ascii="黑体" w:hAnsi="黑体" w:eastAsia="黑体" w:cs="黑体"/>
          <w:b/>
          <w:bCs/>
          <w:i w:val="0"/>
          <w:caps w:val="0"/>
          <w:color w:val="auto"/>
          <w:spacing w:val="0"/>
          <w:sz w:val="32"/>
          <w:szCs w:val="32"/>
        </w:rPr>
        <w:t>三、行政机关收到和处理政府信息公开申请情况</w:t>
      </w:r>
    </w:p>
    <w:tbl>
      <w:tblPr>
        <w:tblStyle w:val="6"/>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34"/>
        <w:gridCol w:w="1117"/>
        <w:gridCol w:w="3017"/>
        <w:gridCol w:w="817"/>
        <w:gridCol w:w="613"/>
        <w:gridCol w:w="613"/>
        <w:gridCol w:w="617"/>
        <w:gridCol w:w="613"/>
        <w:gridCol w:w="618"/>
        <w:gridCol w:w="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5168" w:type="dxa"/>
            <w:gridSpan w:val="3"/>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（本列数据的勾稽关系为：第一项加第二项之和，</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等于第三项加第四项之和）</w:t>
            </w:r>
          </w:p>
        </w:tc>
        <w:tc>
          <w:tcPr>
            <w:tcW w:w="4391" w:type="dxa"/>
            <w:gridSpan w:val="7"/>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5168" w:type="dxa"/>
            <w:gridSpan w:val="3"/>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rPr>
            </w:pPr>
          </w:p>
        </w:tc>
        <w:tc>
          <w:tcPr>
            <w:tcW w:w="817"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自然人</w:t>
            </w:r>
          </w:p>
        </w:tc>
        <w:tc>
          <w:tcPr>
            <w:tcW w:w="3074" w:type="dxa"/>
            <w:gridSpan w:val="5"/>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法人或其他组织</w:t>
            </w:r>
          </w:p>
        </w:tc>
        <w:tc>
          <w:tcPr>
            <w:tcW w:w="500"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5168" w:type="dxa"/>
            <w:gridSpan w:val="3"/>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rPr>
            </w:pPr>
          </w:p>
        </w:tc>
        <w:tc>
          <w:tcPr>
            <w:tcW w:w="81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rPr>
            </w:pP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106" w:leftChars="-51" w:right="-107" w:rightChars="-51" w:hanging="1"/>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商业企业</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107" w:leftChars="-51" w:right="-107" w:rightChars="-51"/>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科研机构</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107" w:leftChars="-51" w:right="-107" w:rightChars="-51"/>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社会公益组织</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106" w:leftChars="-51" w:right="-107" w:rightChars="-51" w:hanging="1"/>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法律服务机构</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63" w:leftChars="-30" w:right="-134" w:rightChars="-64"/>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其他</w:t>
            </w:r>
          </w:p>
        </w:tc>
        <w:tc>
          <w:tcPr>
            <w:tcW w:w="500"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5168"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一、</w:t>
            </w:r>
            <w:bookmarkStart w:id="0" w:name="_Hlk66973412"/>
            <w:r>
              <w:rPr>
                <w:rFonts w:hint="eastAsia" w:ascii="仿宋" w:hAnsi="仿宋" w:eastAsia="仿宋" w:cs="仿宋"/>
                <w:b/>
                <w:bCs/>
                <w:color w:val="auto"/>
                <w:sz w:val="21"/>
                <w:szCs w:val="21"/>
              </w:rPr>
              <w:t>本年新收政府信息公开申请数量</w:t>
            </w:r>
            <w:bookmarkEnd w:id="0"/>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1</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5168"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二、上年结转政府信息公开申请数量</w:t>
            </w:r>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034"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三、本年度办理结果</w:t>
            </w:r>
          </w:p>
        </w:tc>
        <w:tc>
          <w:tcPr>
            <w:tcW w:w="4134"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（一）予以公开</w:t>
            </w:r>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p>
        </w:tc>
        <w:tc>
          <w:tcPr>
            <w:tcW w:w="4134"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（二）部分公开（</w:t>
            </w:r>
            <w:bookmarkStart w:id="1" w:name="_Hlk66973981"/>
            <w:r>
              <w:rPr>
                <w:rFonts w:hint="eastAsia" w:ascii="仿宋" w:hAnsi="仿宋" w:eastAsia="仿宋" w:cs="仿宋"/>
                <w:b/>
                <w:bCs/>
                <w:color w:val="auto"/>
                <w:sz w:val="21"/>
                <w:szCs w:val="21"/>
              </w:rPr>
              <w:t>区分处理的，只计这一情形，不计其他情形</w:t>
            </w:r>
            <w:bookmarkEnd w:id="1"/>
            <w:r>
              <w:rPr>
                <w:rFonts w:hint="eastAsia" w:ascii="仿宋" w:hAnsi="仿宋" w:eastAsia="仿宋" w:cs="仿宋"/>
                <w:b/>
                <w:bCs/>
                <w:color w:val="auto"/>
                <w:sz w:val="21"/>
                <w:szCs w:val="21"/>
              </w:rPr>
              <w:t>）</w:t>
            </w:r>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p>
        </w:tc>
        <w:tc>
          <w:tcPr>
            <w:tcW w:w="1117"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107" w:leftChars="-51"/>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（三）不予公开</w:t>
            </w:r>
          </w:p>
        </w:tc>
        <w:tc>
          <w:tcPr>
            <w:tcW w:w="30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1.属于国家秘密</w:t>
            </w:r>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eastAsia="zh-CN"/>
              </w:rPr>
            </w:pPr>
            <w:r>
              <w:rPr>
                <w:rFonts w:hint="eastAsia" w:ascii="仿宋" w:hAnsi="仿宋" w:eastAsia="仿宋" w:cs="仿宋"/>
                <w:b/>
                <w:bCs/>
                <w:color w:val="auto"/>
                <w:sz w:val="21"/>
                <w:szCs w:val="21"/>
                <w:lang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p>
        </w:tc>
        <w:tc>
          <w:tcPr>
            <w:tcW w:w="111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p>
        </w:tc>
        <w:tc>
          <w:tcPr>
            <w:tcW w:w="30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2.</w:t>
            </w:r>
            <w:bookmarkStart w:id="2" w:name="_Hlk66974104"/>
            <w:r>
              <w:rPr>
                <w:rFonts w:hint="eastAsia" w:ascii="仿宋" w:hAnsi="仿宋" w:eastAsia="仿宋" w:cs="仿宋"/>
                <w:b/>
                <w:bCs/>
                <w:color w:val="auto"/>
                <w:sz w:val="21"/>
                <w:szCs w:val="21"/>
              </w:rPr>
              <w:t>其他法律行政法规禁止公开</w:t>
            </w:r>
            <w:bookmarkEnd w:id="2"/>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p>
        </w:tc>
        <w:tc>
          <w:tcPr>
            <w:tcW w:w="111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p>
        </w:tc>
        <w:tc>
          <w:tcPr>
            <w:tcW w:w="30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3.危及“三安全一稳定”</w:t>
            </w:r>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p>
        </w:tc>
        <w:tc>
          <w:tcPr>
            <w:tcW w:w="111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p>
        </w:tc>
        <w:tc>
          <w:tcPr>
            <w:tcW w:w="30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4.</w:t>
            </w:r>
            <w:bookmarkStart w:id="3" w:name="_Hlk66974290"/>
            <w:r>
              <w:rPr>
                <w:rFonts w:hint="eastAsia" w:ascii="仿宋" w:hAnsi="仿宋" w:eastAsia="仿宋" w:cs="仿宋"/>
                <w:b/>
                <w:bCs/>
                <w:color w:val="auto"/>
                <w:sz w:val="21"/>
                <w:szCs w:val="21"/>
              </w:rPr>
              <w:t>保护第三方合法权益</w:t>
            </w:r>
            <w:bookmarkEnd w:id="3"/>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eastAsia="zh-CN"/>
              </w:rPr>
            </w:pPr>
            <w:r>
              <w:rPr>
                <w:rFonts w:hint="eastAsia" w:ascii="仿宋" w:hAnsi="仿宋" w:eastAsia="仿宋" w:cs="仿宋"/>
                <w:b/>
                <w:bCs/>
                <w:color w:val="auto"/>
                <w:sz w:val="21"/>
                <w:szCs w:val="21"/>
                <w:lang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p>
        </w:tc>
        <w:tc>
          <w:tcPr>
            <w:tcW w:w="111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p>
        </w:tc>
        <w:tc>
          <w:tcPr>
            <w:tcW w:w="30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5.属于三类内部事务信息</w:t>
            </w:r>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p>
        </w:tc>
        <w:tc>
          <w:tcPr>
            <w:tcW w:w="111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p>
        </w:tc>
        <w:tc>
          <w:tcPr>
            <w:tcW w:w="30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6.</w:t>
            </w:r>
            <w:bookmarkStart w:id="4" w:name="_Hlk66974555"/>
            <w:r>
              <w:rPr>
                <w:rFonts w:hint="eastAsia" w:ascii="仿宋" w:hAnsi="仿宋" w:eastAsia="仿宋" w:cs="仿宋"/>
                <w:b/>
                <w:bCs/>
                <w:color w:val="auto"/>
                <w:sz w:val="21"/>
                <w:szCs w:val="21"/>
              </w:rPr>
              <w:t>属于四类过程性信息</w:t>
            </w:r>
            <w:bookmarkEnd w:id="4"/>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p>
        </w:tc>
        <w:tc>
          <w:tcPr>
            <w:tcW w:w="111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p>
        </w:tc>
        <w:tc>
          <w:tcPr>
            <w:tcW w:w="30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7.属于行政执法案卷</w:t>
            </w:r>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p>
        </w:tc>
        <w:tc>
          <w:tcPr>
            <w:tcW w:w="111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p>
        </w:tc>
        <w:tc>
          <w:tcPr>
            <w:tcW w:w="30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8.</w:t>
            </w:r>
            <w:bookmarkStart w:id="5" w:name="_Hlk66975211"/>
            <w:r>
              <w:rPr>
                <w:rFonts w:hint="eastAsia" w:ascii="仿宋" w:hAnsi="仿宋" w:eastAsia="仿宋" w:cs="仿宋"/>
                <w:b/>
                <w:bCs/>
                <w:color w:val="auto"/>
                <w:sz w:val="21"/>
                <w:szCs w:val="21"/>
              </w:rPr>
              <w:t>属于行政查询事项</w:t>
            </w:r>
            <w:bookmarkEnd w:id="5"/>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p>
        </w:tc>
        <w:tc>
          <w:tcPr>
            <w:tcW w:w="1117"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107" w:leftChars="-51"/>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（四）无法提供</w:t>
            </w:r>
          </w:p>
        </w:tc>
        <w:tc>
          <w:tcPr>
            <w:tcW w:w="30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1.本机关不掌握相关政府信息</w:t>
            </w:r>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p>
        </w:tc>
        <w:tc>
          <w:tcPr>
            <w:tcW w:w="111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ind w:left="-107" w:leftChars="-51"/>
              <w:textAlignment w:val="auto"/>
              <w:rPr>
                <w:rFonts w:hint="eastAsia" w:ascii="仿宋" w:hAnsi="仿宋" w:eastAsia="仿宋" w:cs="仿宋"/>
                <w:b/>
                <w:bCs/>
                <w:color w:val="auto"/>
                <w:sz w:val="21"/>
                <w:szCs w:val="21"/>
              </w:rPr>
            </w:pPr>
          </w:p>
        </w:tc>
        <w:tc>
          <w:tcPr>
            <w:tcW w:w="30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2.</w:t>
            </w:r>
            <w:bookmarkStart w:id="6" w:name="_Hlk66975392"/>
            <w:r>
              <w:rPr>
                <w:rFonts w:hint="eastAsia" w:ascii="仿宋" w:hAnsi="仿宋" w:eastAsia="仿宋" w:cs="仿宋"/>
                <w:b/>
                <w:bCs/>
                <w:color w:val="auto"/>
                <w:sz w:val="21"/>
                <w:szCs w:val="21"/>
              </w:rPr>
              <w:t>没有现成信息需要另行制作</w:t>
            </w:r>
            <w:bookmarkEnd w:id="6"/>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1</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p>
        </w:tc>
        <w:tc>
          <w:tcPr>
            <w:tcW w:w="111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ind w:left="-107" w:leftChars="-51"/>
              <w:textAlignment w:val="auto"/>
              <w:rPr>
                <w:rFonts w:hint="eastAsia" w:ascii="仿宋" w:hAnsi="仿宋" w:eastAsia="仿宋" w:cs="仿宋"/>
                <w:b/>
                <w:bCs/>
                <w:color w:val="auto"/>
                <w:sz w:val="21"/>
                <w:szCs w:val="21"/>
              </w:rPr>
            </w:pPr>
          </w:p>
        </w:tc>
        <w:tc>
          <w:tcPr>
            <w:tcW w:w="30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3.</w:t>
            </w:r>
            <w:bookmarkStart w:id="7" w:name="_Hlk66975466"/>
            <w:r>
              <w:rPr>
                <w:rFonts w:hint="eastAsia" w:ascii="仿宋" w:hAnsi="仿宋" w:eastAsia="仿宋" w:cs="仿宋"/>
                <w:b/>
                <w:bCs/>
                <w:color w:val="auto"/>
                <w:spacing w:val="-8"/>
                <w:sz w:val="21"/>
                <w:szCs w:val="21"/>
              </w:rPr>
              <w:t>补正后申请内容仍不明确</w:t>
            </w:r>
            <w:bookmarkEnd w:id="7"/>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p>
        </w:tc>
        <w:tc>
          <w:tcPr>
            <w:tcW w:w="1117"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107" w:leftChars="-51"/>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（五）不予处理</w:t>
            </w:r>
          </w:p>
        </w:tc>
        <w:tc>
          <w:tcPr>
            <w:tcW w:w="30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1.</w:t>
            </w:r>
            <w:bookmarkStart w:id="8" w:name="_Hlk66975537"/>
            <w:r>
              <w:rPr>
                <w:rFonts w:hint="eastAsia" w:ascii="仿宋" w:hAnsi="仿宋" w:eastAsia="仿宋" w:cs="仿宋"/>
                <w:b/>
                <w:bCs/>
                <w:color w:val="auto"/>
                <w:sz w:val="21"/>
                <w:szCs w:val="21"/>
              </w:rPr>
              <w:t>信访举报投诉类申请</w:t>
            </w:r>
            <w:bookmarkEnd w:id="8"/>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p>
        </w:tc>
        <w:tc>
          <w:tcPr>
            <w:tcW w:w="111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p>
        </w:tc>
        <w:tc>
          <w:tcPr>
            <w:tcW w:w="30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2.重复申请</w:t>
            </w:r>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p>
        </w:tc>
        <w:tc>
          <w:tcPr>
            <w:tcW w:w="111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p>
        </w:tc>
        <w:tc>
          <w:tcPr>
            <w:tcW w:w="30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3.要求提供公开出版物</w:t>
            </w:r>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p>
        </w:tc>
        <w:tc>
          <w:tcPr>
            <w:tcW w:w="111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p>
        </w:tc>
        <w:tc>
          <w:tcPr>
            <w:tcW w:w="30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4.</w:t>
            </w:r>
            <w:r>
              <w:rPr>
                <w:rFonts w:hint="eastAsia" w:ascii="仿宋" w:hAnsi="仿宋" w:eastAsia="仿宋" w:cs="仿宋"/>
                <w:b/>
                <w:bCs/>
                <w:color w:val="auto"/>
                <w:spacing w:val="-8"/>
                <w:sz w:val="21"/>
                <w:szCs w:val="21"/>
              </w:rPr>
              <w:t>无正当理由大量反复申请</w:t>
            </w:r>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p>
        </w:tc>
        <w:tc>
          <w:tcPr>
            <w:tcW w:w="1117"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p>
        </w:tc>
        <w:tc>
          <w:tcPr>
            <w:tcW w:w="30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5.要求行政机关确认或重新出具已获取信息</w:t>
            </w:r>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p>
        </w:tc>
        <w:tc>
          <w:tcPr>
            <w:tcW w:w="1117"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（六）其他处理</w:t>
            </w:r>
          </w:p>
        </w:tc>
        <w:tc>
          <w:tcPr>
            <w:tcW w:w="301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1.申请人无正当理由逾期不补正、行政机关不再处理其政府信息公开申请</w:t>
            </w:r>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p>
        </w:tc>
        <w:tc>
          <w:tcPr>
            <w:tcW w:w="1117"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p>
        </w:tc>
        <w:tc>
          <w:tcPr>
            <w:tcW w:w="301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2.申请人逾期未按收费通知要求缴纳费用、行政机关不再处理其政府信息公开申请</w:t>
            </w:r>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p>
        </w:tc>
        <w:tc>
          <w:tcPr>
            <w:tcW w:w="1117"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p>
        </w:tc>
        <w:tc>
          <w:tcPr>
            <w:tcW w:w="301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3.其他</w:t>
            </w:r>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034"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p>
        </w:tc>
        <w:tc>
          <w:tcPr>
            <w:tcW w:w="4134"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（七）总计</w:t>
            </w:r>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1</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5168"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四、结转下年度继续办理</w:t>
            </w:r>
          </w:p>
        </w:tc>
        <w:tc>
          <w:tcPr>
            <w:tcW w:w="8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3"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61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2" w:firstLineChars="200"/>
        <w:jc w:val="left"/>
        <w:textAlignment w:val="auto"/>
        <w:rPr>
          <w:rStyle w:val="8"/>
          <w:rFonts w:hint="eastAsia" w:ascii="黑体" w:hAnsi="黑体" w:eastAsia="黑体" w:cs="黑体"/>
          <w:b/>
          <w:bCs/>
          <w:i w:val="0"/>
          <w:caps w:val="0"/>
          <w:color w:val="auto"/>
          <w:spacing w:val="0"/>
          <w:sz w:val="32"/>
          <w:szCs w:val="32"/>
        </w:rPr>
      </w:pPr>
      <w:r>
        <w:rPr>
          <w:rStyle w:val="8"/>
          <w:rFonts w:hint="eastAsia" w:ascii="黑体" w:hAnsi="黑体" w:eastAsia="黑体" w:cs="黑体"/>
          <w:b/>
          <w:bCs/>
          <w:i w:val="0"/>
          <w:caps w:val="0"/>
          <w:color w:val="auto"/>
          <w:spacing w:val="0"/>
          <w:sz w:val="32"/>
          <w:szCs w:val="32"/>
        </w:rPr>
        <w:t>四、因</w:t>
      </w:r>
      <w:r>
        <w:rPr>
          <w:rStyle w:val="8"/>
          <w:rFonts w:hint="eastAsia" w:ascii="黑体" w:hAnsi="黑体" w:eastAsia="黑体" w:cs="黑体"/>
          <w:b/>
          <w:bCs/>
          <w:i w:val="0"/>
          <w:caps w:val="0"/>
          <w:color w:val="auto"/>
          <w:spacing w:val="-11"/>
          <w:sz w:val="32"/>
          <w:szCs w:val="32"/>
        </w:rPr>
        <w:t>政府信息公开工作被申请行政复议、提起行政诉讼情况</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9"/>
        <w:gridCol w:w="659"/>
        <w:gridCol w:w="659"/>
        <w:gridCol w:w="659"/>
        <w:gridCol w:w="528"/>
        <w:gridCol w:w="599"/>
        <w:gridCol w:w="661"/>
        <w:gridCol w:w="661"/>
        <w:gridCol w:w="661"/>
        <w:gridCol w:w="636"/>
        <w:gridCol w:w="661"/>
        <w:gridCol w:w="661"/>
        <w:gridCol w:w="661"/>
        <w:gridCol w:w="66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jc w:val="center"/>
        </w:trPr>
        <w:tc>
          <w:tcPr>
            <w:tcW w:w="3164" w:type="dxa"/>
            <w:gridSpan w:val="5"/>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方正黑体简体" w:hAnsi="黑体" w:eastAsia="方正黑体简体"/>
                <w:b/>
                <w:bCs/>
                <w:color w:val="auto"/>
                <w:sz w:val="24"/>
                <w:szCs w:val="24"/>
              </w:rPr>
            </w:pPr>
            <w:r>
              <w:rPr>
                <w:rFonts w:hint="eastAsia" w:ascii="方正黑体简体" w:hAnsi="黑体" w:eastAsia="方正黑体简体"/>
                <w:b/>
                <w:bCs/>
                <w:color w:val="auto"/>
                <w:sz w:val="24"/>
                <w:szCs w:val="24"/>
              </w:rPr>
              <w:t>行政复议</w:t>
            </w:r>
          </w:p>
        </w:tc>
        <w:tc>
          <w:tcPr>
            <w:tcW w:w="6475" w:type="dxa"/>
            <w:gridSpan w:val="10"/>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方正黑体简体" w:hAnsi="黑体" w:eastAsia="方正黑体简体"/>
                <w:b/>
                <w:bCs/>
                <w:color w:val="auto"/>
                <w:sz w:val="24"/>
                <w:szCs w:val="24"/>
              </w:rPr>
            </w:pPr>
            <w:r>
              <w:rPr>
                <w:rFonts w:hint="eastAsia" w:ascii="方正黑体简体" w:hAnsi="黑体" w:eastAsia="方正黑体简体"/>
                <w:b/>
                <w:bCs/>
                <w:color w:val="auto"/>
                <w:sz w:val="24"/>
                <w:szCs w:val="24"/>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jc w:val="center"/>
        </w:trPr>
        <w:tc>
          <w:tcPr>
            <w:tcW w:w="659"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149" w:leftChars="-71" w:right="-170" w:rightChars="-81"/>
              <w:jc w:val="center"/>
              <w:textAlignment w:val="auto"/>
              <w:rPr>
                <w:rFonts w:ascii="方正黑体简体" w:hAnsi="黑体" w:eastAsia="方正黑体简体"/>
                <w:b/>
                <w:bCs/>
                <w:color w:val="auto"/>
                <w:sz w:val="24"/>
                <w:szCs w:val="24"/>
              </w:rPr>
            </w:pPr>
            <w:r>
              <w:rPr>
                <w:rFonts w:hint="eastAsia" w:ascii="方正黑体简体" w:hAnsi="黑体" w:eastAsia="方正黑体简体"/>
                <w:b/>
                <w:bCs/>
                <w:color w:val="auto"/>
                <w:sz w:val="24"/>
                <w:szCs w:val="24"/>
              </w:rPr>
              <w:t>结果</w:t>
            </w:r>
          </w:p>
          <w:p>
            <w:pPr>
              <w:keepNext w:val="0"/>
              <w:keepLines w:val="0"/>
              <w:pageBreakBefore w:val="0"/>
              <w:widowControl/>
              <w:kinsoku/>
              <w:wordWrap/>
              <w:overflowPunct/>
              <w:topLinePunct w:val="0"/>
              <w:autoSpaceDE/>
              <w:autoSpaceDN/>
              <w:bidi w:val="0"/>
              <w:adjustRightInd/>
              <w:snapToGrid/>
              <w:spacing w:line="0" w:lineRule="atLeast"/>
              <w:ind w:left="-149" w:leftChars="-71" w:right="-170" w:rightChars="-81"/>
              <w:jc w:val="center"/>
              <w:textAlignment w:val="auto"/>
              <w:rPr>
                <w:rFonts w:ascii="方正黑体简体" w:hAnsi="黑体" w:eastAsia="方正黑体简体"/>
                <w:b/>
                <w:bCs/>
                <w:color w:val="auto"/>
                <w:sz w:val="24"/>
                <w:szCs w:val="24"/>
              </w:rPr>
            </w:pPr>
            <w:r>
              <w:rPr>
                <w:rFonts w:hint="eastAsia" w:ascii="方正黑体简体" w:hAnsi="黑体" w:eastAsia="方正黑体简体"/>
                <w:b/>
                <w:bCs/>
                <w:color w:val="auto"/>
                <w:sz w:val="24"/>
                <w:szCs w:val="24"/>
              </w:rPr>
              <w:t>维持</w:t>
            </w:r>
          </w:p>
        </w:tc>
        <w:tc>
          <w:tcPr>
            <w:tcW w:w="659"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43" w:leftChars="-21" w:right="-132" w:rightChars="-63" w:hanging="1"/>
              <w:jc w:val="center"/>
              <w:textAlignment w:val="auto"/>
              <w:rPr>
                <w:rFonts w:ascii="方正黑体简体" w:hAnsi="黑体" w:eastAsia="方正黑体简体"/>
                <w:b/>
                <w:bCs/>
                <w:color w:val="auto"/>
                <w:sz w:val="24"/>
                <w:szCs w:val="24"/>
              </w:rPr>
            </w:pPr>
            <w:r>
              <w:rPr>
                <w:rFonts w:hint="eastAsia" w:ascii="方正黑体简体" w:hAnsi="黑体" w:eastAsia="方正黑体简体"/>
                <w:b/>
                <w:bCs/>
                <w:color w:val="auto"/>
                <w:sz w:val="24"/>
                <w:szCs w:val="24"/>
              </w:rPr>
              <w:t>结果纠正</w:t>
            </w:r>
          </w:p>
        </w:tc>
        <w:tc>
          <w:tcPr>
            <w:tcW w:w="659"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82" w:leftChars="-39" w:right="-97" w:rightChars="-46"/>
              <w:jc w:val="center"/>
              <w:textAlignment w:val="auto"/>
              <w:rPr>
                <w:rFonts w:ascii="方正黑体简体" w:hAnsi="黑体" w:eastAsia="方正黑体简体"/>
                <w:b/>
                <w:bCs/>
                <w:color w:val="auto"/>
                <w:sz w:val="24"/>
                <w:szCs w:val="24"/>
              </w:rPr>
            </w:pPr>
            <w:r>
              <w:rPr>
                <w:rFonts w:hint="eastAsia" w:ascii="方正黑体简体" w:hAnsi="黑体" w:eastAsia="方正黑体简体"/>
                <w:b/>
                <w:bCs/>
                <w:color w:val="auto"/>
                <w:sz w:val="24"/>
                <w:szCs w:val="24"/>
              </w:rPr>
              <w:t>其他结果</w:t>
            </w:r>
          </w:p>
        </w:tc>
        <w:tc>
          <w:tcPr>
            <w:tcW w:w="659"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118" w:leftChars="-56" w:right="-118" w:rightChars="-56"/>
              <w:jc w:val="center"/>
              <w:textAlignment w:val="auto"/>
              <w:rPr>
                <w:rFonts w:ascii="方正黑体简体" w:hAnsi="黑体" w:eastAsia="方正黑体简体"/>
                <w:b/>
                <w:bCs/>
                <w:color w:val="auto"/>
                <w:sz w:val="24"/>
                <w:szCs w:val="24"/>
              </w:rPr>
            </w:pPr>
            <w:r>
              <w:rPr>
                <w:rFonts w:hint="eastAsia" w:ascii="方正黑体简体" w:hAnsi="黑体" w:eastAsia="方正黑体简体"/>
                <w:b/>
                <w:bCs/>
                <w:color w:val="auto"/>
                <w:sz w:val="24"/>
                <w:szCs w:val="24"/>
              </w:rPr>
              <w:t>尚未</w:t>
            </w:r>
          </w:p>
          <w:p>
            <w:pPr>
              <w:keepNext w:val="0"/>
              <w:keepLines w:val="0"/>
              <w:pageBreakBefore w:val="0"/>
              <w:widowControl/>
              <w:kinsoku/>
              <w:wordWrap/>
              <w:overflowPunct/>
              <w:topLinePunct w:val="0"/>
              <w:autoSpaceDE/>
              <w:autoSpaceDN/>
              <w:bidi w:val="0"/>
              <w:adjustRightInd/>
              <w:snapToGrid/>
              <w:spacing w:line="0" w:lineRule="atLeast"/>
              <w:ind w:left="-118" w:leftChars="-56" w:right="-118" w:rightChars="-56"/>
              <w:jc w:val="center"/>
              <w:textAlignment w:val="auto"/>
              <w:rPr>
                <w:rFonts w:ascii="方正黑体简体" w:hAnsi="黑体" w:eastAsia="方正黑体简体"/>
                <w:b/>
                <w:bCs/>
                <w:color w:val="auto"/>
                <w:sz w:val="24"/>
                <w:szCs w:val="24"/>
              </w:rPr>
            </w:pPr>
            <w:r>
              <w:rPr>
                <w:rFonts w:hint="eastAsia" w:ascii="方正黑体简体" w:hAnsi="黑体" w:eastAsia="方正黑体简体"/>
                <w:b/>
                <w:bCs/>
                <w:color w:val="auto"/>
                <w:sz w:val="24"/>
                <w:szCs w:val="24"/>
              </w:rPr>
              <w:t>审结</w:t>
            </w:r>
          </w:p>
        </w:tc>
        <w:tc>
          <w:tcPr>
            <w:tcW w:w="528"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方正黑体简体" w:hAnsi="黑体" w:eastAsia="方正黑体简体"/>
                <w:b/>
                <w:bCs/>
                <w:color w:val="auto"/>
                <w:sz w:val="24"/>
                <w:szCs w:val="24"/>
              </w:rPr>
            </w:pPr>
            <w:r>
              <w:rPr>
                <w:rFonts w:hint="eastAsia" w:ascii="方正黑体简体" w:hAnsi="黑体" w:eastAsia="方正黑体简体"/>
                <w:b/>
                <w:bCs/>
                <w:color w:val="auto"/>
                <w:sz w:val="24"/>
                <w:szCs w:val="24"/>
              </w:rPr>
              <w:t>总</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方正黑体简体" w:hAnsi="黑体" w:eastAsia="方正黑体简体"/>
                <w:b/>
                <w:bCs/>
                <w:color w:val="auto"/>
                <w:sz w:val="24"/>
                <w:szCs w:val="24"/>
              </w:rPr>
            </w:pPr>
            <w:r>
              <w:rPr>
                <w:rFonts w:hint="eastAsia" w:ascii="方正黑体简体" w:hAnsi="黑体" w:eastAsia="方正黑体简体"/>
                <w:b/>
                <w:bCs/>
                <w:color w:val="auto"/>
                <w:sz w:val="24"/>
                <w:szCs w:val="24"/>
              </w:rPr>
              <w:t>计</w:t>
            </w:r>
          </w:p>
        </w:tc>
        <w:tc>
          <w:tcPr>
            <w:tcW w:w="3218" w:type="dxa"/>
            <w:gridSpan w:val="5"/>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方正黑体简体" w:hAnsi="黑体" w:eastAsia="方正黑体简体"/>
                <w:b/>
                <w:bCs/>
                <w:color w:val="auto"/>
                <w:sz w:val="24"/>
                <w:szCs w:val="24"/>
              </w:rPr>
            </w:pPr>
            <w:r>
              <w:rPr>
                <w:rFonts w:hint="eastAsia" w:ascii="方正黑体简体" w:hAnsi="黑体" w:eastAsia="方正黑体简体"/>
                <w:b/>
                <w:bCs/>
                <w:color w:val="auto"/>
                <w:sz w:val="24"/>
                <w:szCs w:val="24"/>
              </w:rPr>
              <w:t>未经复议直接起诉</w:t>
            </w:r>
          </w:p>
        </w:tc>
        <w:tc>
          <w:tcPr>
            <w:tcW w:w="3257" w:type="dxa"/>
            <w:gridSpan w:val="5"/>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方正黑体简体" w:hAnsi="黑体" w:eastAsia="方正黑体简体"/>
                <w:b/>
                <w:bCs/>
                <w:color w:val="auto"/>
                <w:sz w:val="24"/>
                <w:szCs w:val="24"/>
              </w:rPr>
            </w:pPr>
            <w:bookmarkStart w:id="9" w:name="_Hlk67039688"/>
            <w:r>
              <w:rPr>
                <w:rFonts w:hint="eastAsia" w:ascii="方正黑体简体" w:hAnsi="黑体" w:eastAsia="方正黑体简体"/>
                <w:b/>
                <w:bCs/>
                <w:color w:val="auto"/>
                <w:sz w:val="24"/>
                <w:szCs w:val="24"/>
              </w:rPr>
              <w:t>复议后起诉</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2" w:hRule="atLeast"/>
          <w:jc w:val="center"/>
        </w:trPr>
        <w:tc>
          <w:tcPr>
            <w:tcW w:w="65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黑体简体" w:hAnsi="黑体" w:eastAsia="方正黑体简体"/>
                <w:b/>
                <w:bCs/>
                <w:color w:val="auto"/>
                <w:sz w:val="24"/>
                <w:szCs w:val="24"/>
              </w:rPr>
            </w:pPr>
          </w:p>
        </w:tc>
        <w:tc>
          <w:tcPr>
            <w:tcW w:w="65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黑体简体" w:hAnsi="黑体" w:eastAsia="方正黑体简体"/>
                <w:b/>
                <w:bCs/>
                <w:color w:val="auto"/>
                <w:sz w:val="24"/>
                <w:szCs w:val="24"/>
              </w:rPr>
            </w:pPr>
          </w:p>
        </w:tc>
        <w:tc>
          <w:tcPr>
            <w:tcW w:w="65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黑体简体" w:hAnsi="黑体" w:eastAsia="方正黑体简体"/>
                <w:b/>
                <w:bCs/>
                <w:color w:val="auto"/>
                <w:sz w:val="24"/>
                <w:szCs w:val="24"/>
              </w:rPr>
            </w:pPr>
          </w:p>
        </w:tc>
        <w:tc>
          <w:tcPr>
            <w:tcW w:w="65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黑体简体" w:hAnsi="黑体" w:eastAsia="方正黑体简体"/>
                <w:b/>
                <w:bCs/>
                <w:color w:val="auto"/>
                <w:sz w:val="24"/>
                <w:szCs w:val="24"/>
              </w:rPr>
            </w:pPr>
          </w:p>
        </w:tc>
        <w:tc>
          <w:tcPr>
            <w:tcW w:w="528"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ascii="方正黑体简体" w:hAnsi="黑体" w:eastAsia="方正黑体简体"/>
                <w:b/>
                <w:bCs/>
                <w:color w:val="auto"/>
                <w:sz w:val="24"/>
                <w:szCs w:val="24"/>
              </w:rPr>
            </w:pPr>
          </w:p>
        </w:tc>
        <w:tc>
          <w:tcPr>
            <w:tcW w:w="59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105" w:leftChars="-50" w:right="-126" w:rightChars="-60"/>
              <w:jc w:val="center"/>
              <w:textAlignment w:val="auto"/>
              <w:rPr>
                <w:rFonts w:ascii="方正黑体简体" w:hAnsi="黑体" w:eastAsia="方正黑体简体"/>
                <w:b/>
                <w:bCs/>
                <w:color w:val="auto"/>
                <w:sz w:val="24"/>
                <w:szCs w:val="24"/>
              </w:rPr>
            </w:pPr>
            <w:r>
              <w:rPr>
                <w:rFonts w:hint="eastAsia" w:ascii="方正黑体简体" w:hAnsi="黑体" w:eastAsia="方正黑体简体"/>
                <w:b/>
                <w:bCs/>
                <w:color w:val="auto"/>
                <w:sz w:val="24"/>
                <w:szCs w:val="24"/>
              </w:rPr>
              <w:t>结果维持</w:t>
            </w:r>
          </w:p>
        </w:tc>
        <w:tc>
          <w:tcPr>
            <w:tcW w:w="66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86" w:leftChars="-41" w:right="-88" w:rightChars="-42"/>
              <w:jc w:val="center"/>
              <w:textAlignment w:val="auto"/>
              <w:rPr>
                <w:rFonts w:ascii="方正黑体简体" w:hAnsi="黑体" w:eastAsia="方正黑体简体"/>
                <w:b/>
                <w:bCs/>
                <w:color w:val="auto"/>
                <w:sz w:val="24"/>
                <w:szCs w:val="24"/>
              </w:rPr>
            </w:pPr>
            <w:r>
              <w:rPr>
                <w:rFonts w:hint="eastAsia" w:ascii="方正黑体简体" w:hAnsi="黑体" w:eastAsia="方正黑体简体"/>
                <w:b/>
                <w:bCs/>
                <w:color w:val="auto"/>
                <w:sz w:val="24"/>
                <w:szCs w:val="24"/>
              </w:rPr>
              <w:t>结果纠正</w:t>
            </w:r>
          </w:p>
        </w:tc>
        <w:tc>
          <w:tcPr>
            <w:tcW w:w="66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126" w:leftChars="-60" w:right="-136" w:rightChars="-65"/>
              <w:jc w:val="center"/>
              <w:textAlignment w:val="auto"/>
              <w:rPr>
                <w:rFonts w:ascii="方正黑体简体" w:hAnsi="黑体" w:eastAsia="方正黑体简体"/>
                <w:b/>
                <w:bCs/>
                <w:color w:val="auto"/>
                <w:sz w:val="24"/>
                <w:szCs w:val="24"/>
              </w:rPr>
            </w:pPr>
            <w:r>
              <w:rPr>
                <w:rFonts w:hint="eastAsia" w:ascii="方正黑体简体" w:hAnsi="黑体" w:eastAsia="方正黑体简体"/>
                <w:b/>
                <w:bCs/>
                <w:color w:val="auto"/>
                <w:sz w:val="24"/>
                <w:szCs w:val="24"/>
              </w:rPr>
              <w:t>其他</w:t>
            </w:r>
          </w:p>
          <w:p>
            <w:pPr>
              <w:keepNext w:val="0"/>
              <w:keepLines w:val="0"/>
              <w:pageBreakBefore w:val="0"/>
              <w:widowControl/>
              <w:kinsoku/>
              <w:wordWrap/>
              <w:overflowPunct/>
              <w:topLinePunct w:val="0"/>
              <w:autoSpaceDE/>
              <w:autoSpaceDN/>
              <w:bidi w:val="0"/>
              <w:adjustRightInd/>
              <w:snapToGrid/>
              <w:spacing w:line="0" w:lineRule="atLeast"/>
              <w:ind w:left="-126" w:leftChars="-60" w:right="-136" w:rightChars="-65"/>
              <w:jc w:val="center"/>
              <w:textAlignment w:val="auto"/>
              <w:rPr>
                <w:rFonts w:ascii="方正黑体简体" w:hAnsi="黑体" w:eastAsia="方正黑体简体"/>
                <w:b/>
                <w:bCs/>
                <w:color w:val="auto"/>
                <w:sz w:val="24"/>
                <w:szCs w:val="24"/>
              </w:rPr>
            </w:pPr>
            <w:r>
              <w:rPr>
                <w:rFonts w:hint="eastAsia" w:ascii="方正黑体简体" w:hAnsi="黑体" w:eastAsia="方正黑体简体"/>
                <w:b/>
                <w:bCs/>
                <w:color w:val="auto"/>
                <w:sz w:val="24"/>
                <w:szCs w:val="24"/>
              </w:rPr>
              <w:t>结果</w:t>
            </w:r>
          </w:p>
        </w:tc>
        <w:tc>
          <w:tcPr>
            <w:tcW w:w="66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164" w:leftChars="-78" w:right="-153" w:rightChars="-73"/>
              <w:jc w:val="center"/>
              <w:textAlignment w:val="auto"/>
              <w:rPr>
                <w:rFonts w:ascii="方正黑体简体" w:hAnsi="黑体" w:eastAsia="方正黑体简体"/>
                <w:b/>
                <w:bCs/>
                <w:color w:val="auto"/>
                <w:sz w:val="24"/>
                <w:szCs w:val="24"/>
              </w:rPr>
            </w:pPr>
            <w:r>
              <w:rPr>
                <w:rFonts w:hint="eastAsia" w:ascii="方正黑体简体" w:hAnsi="黑体" w:eastAsia="方正黑体简体"/>
                <w:b/>
                <w:bCs/>
                <w:color w:val="auto"/>
                <w:sz w:val="24"/>
                <w:szCs w:val="24"/>
              </w:rPr>
              <w:t>尚未</w:t>
            </w:r>
          </w:p>
          <w:p>
            <w:pPr>
              <w:keepNext w:val="0"/>
              <w:keepLines w:val="0"/>
              <w:pageBreakBefore w:val="0"/>
              <w:widowControl/>
              <w:kinsoku/>
              <w:wordWrap/>
              <w:overflowPunct/>
              <w:topLinePunct w:val="0"/>
              <w:autoSpaceDE/>
              <w:autoSpaceDN/>
              <w:bidi w:val="0"/>
              <w:adjustRightInd/>
              <w:snapToGrid/>
              <w:spacing w:line="0" w:lineRule="atLeast"/>
              <w:ind w:left="-164" w:leftChars="-78" w:right="-153" w:rightChars="-73"/>
              <w:jc w:val="center"/>
              <w:textAlignment w:val="auto"/>
              <w:rPr>
                <w:rFonts w:ascii="方正黑体简体" w:hAnsi="黑体" w:eastAsia="方正黑体简体"/>
                <w:b/>
                <w:bCs/>
                <w:color w:val="auto"/>
                <w:sz w:val="24"/>
                <w:szCs w:val="24"/>
              </w:rPr>
            </w:pPr>
            <w:r>
              <w:rPr>
                <w:rFonts w:hint="eastAsia" w:ascii="方正黑体简体" w:hAnsi="黑体" w:eastAsia="方正黑体简体"/>
                <w:b/>
                <w:bCs/>
                <w:color w:val="auto"/>
                <w:sz w:val="24"/>
                <w:szCs w:val="24"/>
              </w:rPr>
              <w:t>审结</w:t>
            </w:r>
          </w:p>
        </w:tc>
        <w:tc>
          <w:tcPr>
            <w:tcW w:w="63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方正黑体简体" w:hAnsi="黑体" w:eastAsia="方正黑体简体"/>
                <w:b/>
                <w:bCs/>
                <w:color w:val="auto"/>
                <w:sz w:val="24"/>
                <w:szCs w:val="24"/>
              </w:rPr>
            </w:pPr>
            <w:r>
              <w:rPr>
                <w:rFonts w:hint="eastAsia" w:ascii="方正黑体简体" w:hAnsi="黑体" w:eastAsia="方正黑体简体"/>
                <w:b/>
                <w:bCs/>
                <w:color w:val="auto"/>
                <w:sz w:val="24"/>
                <w:szCs w:val="24"/>
              </w:rPr>
              <w:t>总计</w:t>
            </w:r>
          </w:p>
        </w:tc>
        <w:tc>
          <w:tcPr>
            <w:tcW w:w="66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99" w:leftChars="-47" w:right="-78" w:rightChars="-37"/>
              <w:jc w:val="center"/>
              <w:textAlignment w:val="auto"/>
              <w:rPr>
                <w:rFonts w:ascii="方正黑体简体" w:hAnsi="黑体" w:eastAsia="方正黑体简体"/>
                <w:b/>
                <w:bCs/>
                <w:color w:val="auto"/>
                <w:sz w:val="24"/>
                <w:szCs w:val="24"/>
              </w:rPr>
            </w:pPr>
            <w:r>
              <w:rPr>
                <w:rFonts w:hint="eastAsia" w:ascii="方正黑体简体" w:hAnsi="黑体" w:eastAsia="方正黑体简体"/>
                <w:b/>
                <w:bCs/>
                <w:color w:val="auto"/>
                <w:sz w:val="24"/>
                <w:szCs w:val="24"/>
              </w:rPr>
              <w:t>结果维持</w:t>
            </w:r>
          </w:p>
        </w:tc>
        <w:tc>
          <w:tcPr>
            <w:tcW w:w="66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136" w:leftChars="-65" w:right="-124" w:rightChars="-59"/>
              <w:jc w:val="center"/>
              <w:textAlignment w:val="auto"/>
              <w:rPr>
                <w:rFonts w:ascii="方正黑体简体" w:hAnsi="黑体" w:eastAsia="方正黑体简体"/>
                <w:b/>
                <w:bCs/>
                <w:color w:val="auto"/>
                <w:sz w:val="24"/>
                <w:szCs w:val="24"/>
              </w:rPr>
            </w:pPr>
            <w:r>
              <w:rPr>
                <w:rFonts w:hint="eastAsia" w:ascii="方正黑体简体" w:hAnsi="黑体" w:eastAsia="方正黑体简体"/>
                <w:b/>
                <w:bCs/>
                <w:color w:val="auto"/>
                <w:sz w:val="24"/>
                <w:szCs w:val="24"/>
              </w:rPr>
              <w:t>结果</w:t>
            </w:r>
          </w:p>
          <w:p>
            <w:pPr>
              <w:keepNext w:val="0"/>
              <w:keepLines w:val="0"/>
              <w:pageBreakBefore w:val="0"/>
              <w:widowControl/>
              <w:kinsoku/>
              <w:wordWrap/>
              <w:overflowPunct/>
              <w:topLinePunct w:val="0"/>
              <w:autoSpaceDE/>
              <w:autoSpaceDN/>
              <w:bidi w:val="0"/>
              <w:adjustRightInd/>
              <w:snapToGrid/>
              <w:spacing w:line="0" w:lineRule="atLeast"/>
              <w:ind w:left="-136" w:leftChars="-65" w:right="-124" w:rightChars="-59"/>
              <w:jc w:val="center"/>
              <w:textAlignment w:val="auto"/>
              <w:rPr>
                <w:rFonts w:ascii="方正黑体简体" w:hAnsi="黑体" w:eastAsia="方正黑体简体"/>
                <w:b/>
                <w:bCs/>
                <w:color w:val="auto"/>
                <w:sz w:val="24"/>
                <w:szCs w:val="24"/>
              </w:rPr>
            </w:pPr>
            <w:r>
              <w:rPr>
                <w:rFonts w:hint="eastAsia" w:ascii="方正黑体简体" w:hAnsi="黑体" w:eastAsia="方正黑体简体"/>
                <w:b/>
                <w:bCs/>
                <w:color w:val="auto"/>
                <w:sz w:val="24"/>
                <w:szCs w:val="24"/>
              </w:rPr>
              <w:t>纠正</w:t>
            </w:r>
          </w:p>
        </w:tc>
        <w:tc>
          <w:tcPr>
            <w:tcW w:w="66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173" w:leftChars="-83" w:right="-134" w:rightChars="-64" w:hanging="1"/>
              <w:jc w:val="center"/>
              <w:textAlignment w:val="auto"/>
              <w:rPr>
                <w:rFonts w:ascii="方正黑体简体" w:hAnsi="黑体" w:eastAsia="方正黑体简体"/>
                <w:b/>
                <w:bCs/>
                <w:color w:val="auto"/>
                <w:sz w:val="24"/>
                <w:szCs w:val="24"/>
              </w:rPr>
            </w:pPr>
            <w:r>
              <w:rPr>
                <w:rFonts w:hint="eastAsia" w:ascii="方正黑体简体" w:hAnsi="黑体" w:eastAsia="方正黑体简体"/>
                <w:b/>
                <w:bCs/>
                <w:color w:val="auto"/>
                <w:sz w:val="24"/>
                <w:szCs w:val="24"/>
              </w:rPr>
              <w:t>其他</w:t>
            </w:r>
          </w:p>
          <w:p>
            <w:pPr>
              <w:keepNext w:val="0"/>
              <w:keepLines w:val="0"/>
              <w:pageBreakBefore w:val="0"/>
              <w:widowControl/>
              <w:kinsoku/>
              <w:wordWrap/>
              <w:overflowPunct/>
              <w:topLinePunct w:val="0"/>
              <w:autoSpaceDE/>
              <w:autoSpaceDN/>
              <w:bidi w:val="0"/>
              <w:adjustRightInd/>
              <w:snapToGrid/>
              <w:spacing w:line="0" w:lineRule="atLeast"/>
              <w:ind w:left="-173" w:leftChars="-83" w:right="-134" w:rightChars="-64" w:hanging="1"/>
              <w:jc w:val="center"/>
              <w:textAlignment w:val="auto"/>
              <w:rPr>
                <w:rFonts w:ascii="方正黑体简体" w:hAnsi="黑体" w:eastAsia="方正黑体简体"/>
                <w:b/>
                <w:bCs/>
                <w:color w:val="auto"/>
                <w:sz w:val="24"/>
                <w:szCs w:val="24"/>
              </w:rPr>
            </w:pPr>
            <w:r>
              <w:rPr>
                <w:rFonts w:hint="eastAsia" w:ascii="方正黑体简体" w:hAnsi="黑体" w:eastAsia="方正黑体简体"/>
                <w:b/>
                <w:bCs/>
                <w:color w:val="auto"/>
                <w:sz w:val="24"/>
                <w:szCs w:val="24"/>
              </w:rPr>
              <w:t>结果</w:t>
            </w:r>
          </w:p>
        </w:tc>
        <w:tc>
          <w:tcPr>
            <w:tcW w:w="66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ind w:left="-67" w:leftChars="-33" w:right="-105" w:rightChars="-50" w:hanging="2" w:hangingChars="1"/>
              <w:jc w:val="center"/>
              <w:textAlignment w:val="auto"/>
              <w:rPr>
                <w:rFonts w:ascii="方正黑体简体" w:hAnsi="黑体" w:eastAsia="方正黑体简体"/>
                <w:b/>
                <w:bCs/>
                <w:color w:val="auto"/>
                <w:sz w:val="24"/>
                <w:szCs w:val="24"/>
              </w:rPr>
            </w:pPr>
            <w:r>
              <w:rPr>
                <w:rFonts w:hint="eastAsia" w:ascii="方正黑体简体" w:hAnsi="黑体" w:eastAsia="方正黑体简体"/>
                <w:b/>
                <w:bCs/>
                <w:color w:val="auto"/>
                <w:sz w:val="24"/>
                <w:szCs w:val="24"/>
              </w:rPr>
              <w:t>尚未审结</w:t>
            </w:r>
          </w:p>
        </w:tc>
        <w:tc>
          <w:tcPr>
            <w:tcW w:w="61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方正黑体简体" w:hAnsi="黑体" w:eastAsia="方正黑体简体"/>
                <w:b/>
                <w:bCs/>
                <w:color w:val="auto"/>
                <w:sz w:val="24"/>
                <w:szCs w:val="24"/>
              </w:rPr>
            </w:pPr>
            <w:r>
              <w:rPr>
                <w:rFonts w:hint="eastAsia" w:ascii="方正黑体简体" w:hAnsi="黑体" w:eastAsia="方正黑体简体"/>
                <w:b/>
                <w:bCs/>
                <w:color w:val="auto"/>
                <w:sz w:val="24"/>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65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0</w:t>
            </w:r>
          </w:p>
        </w:tc>
        <w:tc>
          <w:tcPr>
            <w:tcW w:w="65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0</w:t>
            </w:r>
          </w:p>
        </w:tc>
        <w:tc>
          <w:tcPr>
            <w:tcW w:w="65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0</w:t>
            </w:r>
          </w:p>
        </w:tc>
        <w:tc>
          <w:tcPr>
            <w:tcW w:w="65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0</w:t>
            </w:r>
          </w:p>
        </w:tc>
        <w:tc>
          <w:tcPr>
            <w:tcW w:w="52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0</w:t>
            </w:r>
          </w:p>
        </w:tc>
        <w:tc>
          <w:tcPr>
            <w:tcW w:w="59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0</w:t>
            </w:r>
          </w:p>
        </w:tc>
        <w:tc>
          <w:tcPr>
            <w:tcW w:w="66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0</w:t>
            </w:r>
          </w:p>
        </w:tc>
        <w:tc>
          <w:tcPr>
            <w:tcW w:w="66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0</w:t>
            </w:r>
          </w:p>
        </w:tc>
        <w:tc>
          <w:tcPr>
            <w:tcW w:w="66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0</w:t>
            </w:r>
          </w:p>
        </w:tc>
        <w:tc>
          <w:tcPr>
            <w:tcW w:w="63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0</w:t>
            </w:r>
          </w:p>
        </w:tc>
        <w:tc>
          <w:tcPr>
            <w:tcW w:w="66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0</w:t>
            </w:r>
          </w:p>
        </w:tc>
        <w:tc>
          <w:tcPr>
            <w:tcW w:w="66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0</w:t>
            </w:r>
          </w:p>
        </w:tc>
        <w:tc>
          <w:tcPr>
            <w:tcW w:w="66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0</w:t>
            </w:r>
          </w:p>
        </w:tc>
        <w:tc>
          <w:tcPr>
            <w:tcW w:w="66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0</w:t>
            </w:r>
          </w:p>
        </w:tc>
        <w:tc>
          <w:tcPr>
            <w:tcW w:w="61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0</w:t>
            </w:r>
          </w:p>
        </w:tc>
      </w:tr>
    </w:tbl>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2" w:firstLineChars="200"/>
        <w:jc w:val="left"/>
        <w:textAlignment w:val="auto"/>
        <w:rPr>
          <w:rStyle w:val="8"/>
          <w:rFonts w:hint="eastAsia" w:ascii="黑体" w:hAnsi="黑体" w:eastAsia="黑体" w:cs="黑体"/>
          <w:b/>
          <w:bCs/>
          <w:i w:val="0"/>
          <w:caps w:val="0"/>
          <w:color w:val="auto"/>
          <w:spacing w:val="0"/>
          <w:sz w:val="32"/>
          <w:szCs w:val="32"/>
        </w:rPr>
      </w:pPr>
      <w:r>
        <w:rPr>
          <w:rStyle w:val="8"/>
          <w:rFonts w:hint="eastAsia" w:ascii="黑体" w:hAnsi="黑体" w:eastAsia="黑体" w:cs="黑体"/>
          <w:b/>
          <w:bCs/>
          <w:i w:val="0"/>
          <w:caps w:val="0"/>
          <w:color w:val="auto"/>
          <w:spacing w:val="0"/>
          <w:sz w:val="32"/>
          <w:szCs w:val="32"/>
          <w:lang w:eastAsia="zh-CN"/>
        </w:rPr>
        <w:t>五、</w:t>
      </w:r>
      <w:r>
        <w:rPr>
          <w:rStyle w:val="8"/>
          <w:rFonts w:hint="eastAsia" w:ascii="黑体" w:hAnsi="黑体" w:eastAsia="黑体" w:cs="黑体"/>
          <w:b/>
          <w:bCs/>
          <w:i w:val="0"/>
          <w:caps w:val="0"/>
          <w:color w:val="auto"/>
          <w:spacing w:val="0"/>
          <w:sz w:val="32"/>
          <w:szCs w:val="32"/>
        </w:rPr>
        <w:t>存在的主要问题及改进情况</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2" w:firstLineChars="200"/>
        <w:jc w:val="left"/>
        <w:textAlignment w:val="auto"/>
        <w:rPr>
          <w:rFonts w:hint="eastAsia" w:ascii="仿宋" w:hAnsi="仿宋" w:eastAsia="仿宋" w:cs="仿宋"/>
          <w:b/>
          <w:bCs/>
          <w:i w:val="0"/>
          <w:caps w:val="0"/>
          <w:color w:val="auto"/>
          <w:spacing w:val="0"/>
          <w:sz w:val="32"/>
          <w:szCs w:val="32"/>
          <w:lang w:eastAsia="zh-CN"/>
        </w:rPr>
      </w:pPr>
      <w:r>
        <w:rPr>
          <w:rFonts w:hint="eastAsia" w:ascii="仿宋" w:hAnsi="仿宋" w:eastAsia="仿宋" w:cs="仿宋"/>
          <w:b/>
          <w:bCs/>
          <w:i w:val="0"/>
          <w:caps w:val="0"/>
          <w:color w:val="auto"/>
          <w:spacing w:val="0"/>
          <w:sz w:val="32"/>
          <w:szCs w:val="32"/>
          <w:u w:val="none"/>
          <w:lang w:eastAsia="zh-CN"/>
        </w:rPr>
        <w:t>202</w:t>
      </w:r>
      <w:r>
        <w:rPr>
          <w:rFonts w:hint="eastAsia" w:ascii="仿宋" w:hAnsi="仿宋" w:eastAsia="仿宋" w:cs="仿宋"/>
          <w:b/>
          <w:bCs/>
          <w:i w:val="0"/>
          <w:caps w:val="0"/>
          <w:color w:val="auto"/>
          <w:spacing w:val="0"/>
          <w:sz w:val="32"/>
          <w:szCs w:val="32"/>
          <w:u w:val="none"/>
          <w:lang w:val="en-US" w:eastAsia="zh-CN"/>
        </w:rPr>
        <w:t>3</w:t>
      </w:r>
      <w:r>
        <w:rPr>
          <w:rFonts w:hint="eastAsia" w:ascii="仿宋" w:hAnsi="仿宋" w:eastAsia="仿宋" w:cs="仿宋"/>
          <w:b/>
          <w:bCs/>
          <w:i w:val="0"/>
          <w:caps w:val="0"/>
          <w:color w:val="auto"/>
          <w:spacing w:val="0"/>
          <w:sz w:val="32"/>
          <w:szCs w:val="32"/>
          <w:u w:val="none"/>
          <w:lang w:eastAsia="zh-CN"/>
        </w:rPr>
        <w:t>年，市信访局</w:t>
      </w:r>
      <w:r>
        <w:rPr>
          <w:rFonts w:hint="eastAsia" w:ascii="仿宋" w:hAnsi="仿宋" w:eastAsia="仿宋" w:cs="仿宋"/>
          <w:b/>
          <w:bCs/>
          <w:i w:val="0"/>
          <w:caps w:val="0"/>
          <w:color w:val="auto"/>
          <w:spacing w:val="0"/>
          <w:sz w:val="32"/>
          <w:szCs w:val="32"/>
          <w:u w:val="none"/>
          <w:lang w:val="en-US" w:eastAsia="zh-CN"/>
        </w:rPr>
        <w:t>在政府信息公开工作上虽然取得了一定成效</w:t>
      </w:r>
      <w:r>
        <w:rPr>
          <w:rFonts w:hint="eastAsia" w:ascii="仿宋" w:hAnsi="仿宋" w:eastAsia="仿宋" w:cs="仿宋"/>
          <w:b/>
          <w:bCs/>
          <w:i w:val="0"/>
          <w:caps w:val="0"/>
          <w:color w:val="auto"/>
          <w:spacing w:val="0"/>
          <w:sz w:val="32"/>
          <w:szCs w:val="32"/>
          <w:u w:val="none"/>
          <w:lang w:eastAsia="zh-CN"/>
        </w:rPr>
        <w:t>，但也存在一些问题，</w:t>
      </w:r>
      <w:r>
        <w:rPr>
          <w:rFonts w:hint="eastAsia" w:ascii="仿宋" w:hAnsi="仿宋" w:eastAsia="仿宋" w:cs="仿宋"/>
          <w:b/>
          <w:bCs/>
          <w:i w:val="0"/>
          <w:caps w:val="0"/>
          <w:color w:val="auto"/>
          <w:spacing w:val="0"/>
          <w:sz w:val="32"/>
          <w:szCs w:val="32"/>
          <w:u w:val="none"/>
          <w:lang w:val="en-US" w:eastAsia="zh-CN"/>
        </w:rPr>
        <w:t>如</w:t>
      </w:r>
      <w:r>
        <w:rPr>
          <w:rFonts w:hint="eastAsia" w:ascii="仿宋" w:hAnsi="仿宋" w:eastAsia="仿宋" w:cs="仿宋"/>
          <w:b/>
          <w:bCs/>
          <w:i w:val="0"/>
          <w:caps w:val="0"/>
          <w:color w:val="auto"/>
          <w:spacing w:val="0"/>
          <w:sz w:val="32"/>
          <w:szCs w:val="32"/>
          <w:u w:val="none"/>
          <w:lang w:eastAsia="zh-CN"/>
        </w:rPr>
        <w:t>公开的信息还不够全面，内容有待进一步丰富，</w:t>
      </w:r>
      <w:r>
        <w:rPr>
          <w:rFonts w:hint="eastAsia" w:ascii="仿宋" w:hAnsi="仿宋" w:eastAsia="仿宋" w:cs="仿宋"/>
          <w:b/>
          <w:bCs/>
          <w:i w:val="0"/>
          <w:caps w:val="0"/>
          <w:color w:val="auto"/>
          <w:spacing w:val="0"/>
          <w:sz w:val="32"/>
          <w:szCs w:val="32"/>
          <w:u w:val="none"/>
          <w:lang w:val="en-US" w:eastAsia="zh-CN"/>
        </w:rPr>
        <w:t>依申请公开办理还有待进一步规范，政策解读的质量不高，政务公开业务水平仍需要进一步提高等。</w:t>
      </w:r>
      <w:r>
        <w:rPr>
          <w:rFonts w:hint="eastAsia" w:ascii="仿宋" w:hAnsi="仿宋" w:eastAsia="仿宋" w:cs="仿宋"/>
          <w:b/>
          <w:bCs/>
          <w:i w:val="0"/>
          <w:caps w:val="0"/>
          <w:color w:val="auto"/>
          <w:spacing w:val="0"/>
          <w:sz w:val="32"/>
          <w:szCs w:val="32"/>
          <w:u w:val="none"/>
          <w:lang w:eastAsia="zh-CN"/>
        </w:rPr>
        <w:t>下一步，我局将严格按照市委、市政府的要求加大工作力度，提升政务公开业务水平，</w:t>
      </w:r>
      <w:r>
        <w:rPr>
          <w:rFonts w:hint="eastAsia" w:ascii="仿宋" w:hAnsi="仿宋" w:eastAsia="仿宋" w:cs="仿宋"/>
          <w:b/>
          <w:bCs/>
          <w:i w:val="0"/>
          <w:caps w:val="0"/>
          <w:color w:val="auto"/>
          <w:spacing w:val="0"/>
          <w:sz w:val="32"/>
          <w:szCs w:val="32"/>
          <w:u w:val="none"/>
          <w:lang w:val="en-US" w:eastAsia="zh-CN"/>
        </w:rPr>
        <w:t>一是完善局依申请公开办理有关制度，依法依规办理政府信息公开申请，满足群众信息需求。二是加强政策解读，积极探索新的解读方式，丰富解读形式，提高解读质量。三是加强业务培训，</w:t>
      </w:r>
      <w:r>
        <w:rPr>
          <w:rFonts w:hint="eastAsia" w:ascii="仿宋" w:hAnsi="仿宋" w:eastAsia="仿宋" w:cs="仿宋"/>
          <w:b/>
          <w:bCs/>
          <w:i w:val="0"/>
          <w:caps w:val="0"/>
          <w:color w:val="auto"/>
          <w:spacing w:val="0"/>
          <w:sz w:val="32"/>
          <w:szCs w:val="32"/>
          <w:lang w:eastAsia="zh-CN"/>
        </w:rPr>
        <w:t>选优配强专业化干部</w:t>
      </w:r>
      <w:r>
        <w:rPr>
          <w:rFonts w:hint="eastAsia" w:ascii="仿宋" w:hAnsi="仿宋" w:eastAsia="仿宋" w:cs="仿宋"/>
          <w:b/>
          <w:bCs/>
          <w:i w:val="0"/>
          <w:caps w:val="0"/>
          <w:color w:val="auto"/>
          <w:spacing w:val="0"/>
          <w:sz w:val="32"/>
          <w:szCs w:val="32"/>
          <w:lang w:val="en-US" w:eastAsia="zh-CN"/>
        </w:rPr>
        <w:t>队伍</w:t>
      </w:r>
      <w:r>
        <w:rPr>
          <w:rFonts w:hint="eastAsia" w:ascii="仿宋" w:hAnsi="仿宋" w:eastAsia="仿宋" w:cs="仿宋"/>
          <w:b/>
          <w:bCs/>
          <w:i w:val="0"/>
          <w:caps w:val="0"/>
          <w:color w:val="auto"/>
          <w:spacing w:val="0"/>
          <w:sz w:val="32"/>
          <w:szCs w:val="32"/>
          <w:lang w:eastAsia="zh-CN"/>
        </w:rPr>
        <w:t>,</w:t>
      </w:r>
      <w:r>
        <w:rPr>
          <w:rFonts w:hint="eastAsia" w:ascii="仿宋" w:hAnsi="仿宋" w:eastAsia="仿宋" w:cs="仿宋"/>
          <w:b/>
          <w:bCs/>
          <w:i w:val="0"/>
          <w:caps w:val="0"/>
          <w:color w:val="auto"/>
          <w:spacing w:val="0"/>
          <w:sz w:val="32"/>
          <w:szCs w:val="32"/>
          <w:lang w:val="en-US" w:eastAsia="zh-CN"/>
        </w:rPr>
        <w:t>增强干部职工政府信息公开意识，努力提高全局政府信息公开水平</w:t>
      </w:r>
      <w:r>
        <w:rPr>
          <w:rFonts w:hint="eastAsia" w:ascii="仿宋" w:hAnsi="仿宋" w:eastAsia="仿宋" w:cs="仿宋"/>
          <w:b/>
          <w:bCs/>
          <w:i w:val="0"/>
          <w:caps w:val="0"/>
          <w:color w:val="auto"/>
          <w:spacing w:val="0"/>
          <w:sz w:val="32"/>
          <w:szCs w:val="32"/>
          <w:lang w:eastAsia="zh-CN"/>
        </w:rPr>
        <w:t>。</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2" w:firstLineChars="200"/>
        <w:jc w:val="left"/>
        <w:textAlignment w:val="auto"/>
        <w:rPr>
          <w:rFonts w:hint="eastAsia" w:ascii="黑体" w:hAnsi="黑体" w:eastAsia="黑体" w:cs="黑体"/>
          <w:b/>
          <w:bCs/>
          <w:i w:val="0"/>
          <w:caps w:val="0"/>
          <w:color w:val="auto"/>
          <w:spacing w:val="0"/>
          <w:sz w:val="32"/>
          <w:szCs w:val="32"/>
        </w:rPr>
      </w:pPr>
      <w:r>
        <w:rPr>
          <w:rFonts w:hint="eastAsia" w:ascii="黑体" w:hAnsi="黑体" w:eastAsia="黑体" w:cs="黑体"/>
          <w:b/>
          <w:bCs/>
          <w:i w:val="0"/>
          <w:caps w:val="0"/>
          <w:color w:val="auto"/>
          <w:spacing w:val="0"/>
          <w:sz w:val="32"/>
          <w:szCs w:val="32"/>
          <w:lang w:val="en-US" w:eastAsia="zh-CN"/>
        </w:rPr>
        <w:t>六、</w:t>
      </w:r>
      <w:r>
        <w:rPr>
          <w:rStyle w:val="8"/>
          <w:rFonts w:hint="eastAsia" w:ascii="黑体" w:hAnsi="黑体" w:eastAsia="黑体" w:cs="黑体"/>
          <w:b/>
          <w:bCs/>
          <w:i w:val="0"/>
          <w:caps w:val="0"/>
          <w:color w:val="auto"/>
          <w:spacing w:val="0"/>
          <w:sz w:val="32"/>
          <w:szCs w:val="32"/>
        </w:rPr>
        <w:t>需要报告的事项</w:t>
      </w:r>
      <w:bookmarkStart w:id="10" w:name="_GoBack"/>
      <w:bookmarkEnd w:id="10"/>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Style w:val="8"/>
          <w:rFonts w:hint="eastAsia" w:ascii="仿宋" w:hAnsi="仿宋" w:eastAsia="仿宋" w:cs="仿宋"/>
          <w:b/>
          <w:bCs/>
          <w:i w:val="0"/>
          <w:caps w:val="0"/>
          <w:color w:val="auto"/>
          <w:spacing w:val="0"/>
          <w:sz w:val="32"/>
          <w:szCs w:val="32"/>
        </w:rPr>
      </w:pPr>
      <w:r>
        <w:rPr>
          <w:rFonts w:hint="eastAsia" w:ascii="仿宋" w:hAnsi="仿宋" w:eastAsia="仿宋" w:cs="仿宋"/>
          <w:b/>
          <w:bCs/>
          <w:i w:val="0"/>
          <w:caps w:val="0"/>
          <w:color w:val="auto"/>
          <w:spacing w:val="0"/>
          <w:sz w:val="32"/>
          <w:szCs w:val="32"/>
          <w:lang w:eastAsia="zh-CN"/>
        </w:rPr>
        <w:t>（一）市信访局</w:t>
      </w:r>
      <w:r>
        <w:rPr>
          <w:rStyle w:val="8"/>
          <w:rFonts w:hint="eastAsia" w:ascii="仿宋" w:hAnsi="仿宋" w:eastAsia="仿宋" w:cs="仿宋"/>
          <w:b/>
          <w:bCs/>
          <w:i w:val="0"/>
          <w:caps w:val="0"/>
          <w:color w:val="auto"/>
          <w:spacing w:val="0"/>
          <w:sz w:val="32"/>
          <w:szCs w:val="32"/>
        </w:rPr>
        <w:t>本年度</w:t>
      </w:r>
      <w:r>
        <w:rPr>
          <w:rStyle w:val="8"/>
          <w:rFonts w:hint="eastAsia" w:ascii="仿宋" w:hAnsi="仿宋" w:eastAsia="仿宋" w:cs="仿宋"/>
          <w:b/>
          <w:bCs/>
          <w:i w:val="0"/>
          <w:caps w:val="0"/>
          <w:color w:val="auto"/>
          <w:spacing w:val="0"/>
          <w:sz w:val="32"/>
          <w:szCs w:val="32"/>
          <w:lang w:val="en-US" w:eastAsia="zh-CN"/>
        </w:rPr>
        <w:t>无</w:t>
      </w:r>
      <w:r>
        <w:rPr>
          <w:rStyle w:val="8"/>
          <w:rFonts w:hint="eastAsia" w:ascii="仿宋" w:hAnsi="仿宋" w:eastAsia="仿宋" w:cs="仿宋"/>
          <w:b/>
          <w:bCs/>
          <w:i w:val="0"/>
          <w:caps w:val="0"/>
          <w:color w:val="auto"/>
          <w:spacing w:val="0"/>
          <w:sz w:val="32"/>
          <w:szCs w:val="32"/>
        </w:rPr>
        <w:t>收取信息处理费情况。</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hint="eastAsia" w:ascii="仿宋" w:hAnsi="仿宋" w:eastAsia="仿宋" w:cs="仿宋"/>
          <w:b/>
          <w:bCs/>
          <w:i w:val="0"/>
          <w:caps w:val="0"/>
          <w:color w:val="auto"/>
          <w:spacing w:val="0"/>
          <w:sz w:val="32"/>
          <w:szCs w:val="32"/>
          <w:lang w:eastAsia="zh-CN"/>
        </w:rPr>
      </w:pPr>
      <w:r>
        <w:rPr>
          <w:rFonts w:hint="eastAsia" w:ascii="仿宋" w:hAnsi="仿宋" w:eastAsia="仿宋" w:cs="仿宋"/>
          <w:b/>
          <w:bCs/>
          <w:i w:val="0"/>
          <w:caps w:val="0"/>
          <w:color w:val="auto"/>
          <w:spacing w:val="0"/>
          <w:sz w:val="32"/>
          <w:szCs w:val="32"/>
          <w:lang w:eastAsia="zh-CN"/>
        </w:rPr>
        <w:t>（二）市信访局认真</w:t>
      </w:r>
      <w:r>
        <w:rPr>
          <w:rFonts w:hint="eastAsia" w:ascii="仿宋" w:hAnsi="仿宋" w:eastAsia="仿宋" w:cs="仿宋"/>
          <w:b/>
          <w:bCs/>
          <w:i w:val="0"/>
          <w:caps w:val="0"/>
          <w:color w:val="auto"/>
          <w:spacing w:val="0"/>
          <w:sz w:val="32"/>
          <w:szCs w:val="32"/>
          <w:lang w:val="en-US" w:eastAsia="zh-CN"/>
        </w:rPr>
        <w:t>落实省、市关于政务公开工作要点要求，</w:t>
      </w:r>
      <w:r>
        <w:rPr>
          <w:rFonts w:hint="eastAsia" w:ascii="仿宋" w:hAnsi="仿宋" w:eastAsia="仿宋" w:cs="仿宋"/>
          <w:b/>
          <w:bCs/>
          <w:i w:val="0"/>
          <w:caps w:val="0"/>
          <w:color w:val="auto"/>
          <w:spacing w:val="0"/>
          <w:sz w:val="32"/>
          <w:szCs w:val="32"/>
          <w:lang w:eastAsia="zh-CN"/>
        </w:rPr>
        <w:t>扎实有序推进政务公开工作，及时做好法规文件、组织机构、会议公开、决策公开、财政预决算、其他法定信息等事项的全面公开，全面提升政务公开标准化规范化水平，全面有序推进政务公开工作。</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hint="eastAsia" w:ascii="仿宋" w:hAnsi="仿宋" w:eastAsia="仿宋" w:cs="仿宋"/>
          <w:b/>
          <w:bCs/>
          <w:i w:val="0"/>
          <w:caps w:val="0"/>
          <w:color w:val="auto"/>
          <w:spacing w:val="0"/>
          <w:sz w:val="32"/>
          <w:szCs w:val="32"/>
          <w:lang w:eastAsia="zh-CN"/>
        </w:rPr>
      </w:pPr>
      <w:r>
        <w:rPr>
          <w:rStyle w:val="8"/>
          <w:rFonts w:hint="eastAsia" w:ascii="仿宋" w:hAnsi="仿宋" w:eastAsia="仿宋" w:cs="仿宋"/>
          <w:b/>
          <w:bCs/>
          <w:i w:val="0"/>
          <w:caps w:val="0"/>
          <w:color w:val="auto"/>
          <w:spacing w:val="0"/>
          <w:sz w:val="32"/>
          <w:szCs w:val="32"/>
          <w:lang w:val="en-US" w:eastAsia="zh-CN"/>
        </w:rPr>
        <w:t>（三）市信访局本年度未收到人大代表建议和政协提案。</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hint="default" w:ascii="仿宋" w:hAnsi="仿宋" w:eastAsia="仿宋" w:cs="仿宋"/>
          <w:b/>
          <w:bCs/>
          <w:i w:val="0"/>
          <w:caps w:val="0"/>
          <w:color w:val="auto"/>
          <w:spacing w:val="0"/>
          <w:sz w:val="32"/>
          <w:szCs w:val="32"/>
        </w:rPr>
      </w:pPr>
      <w:r>
        <w:rPr>
          <w:rFonts w:hint="eastAsia" w:ascii="仿宋" w:hAnsi="仿宋" w:eastAsia="仿宋" w:cs="仿宋"/>
          <w:b/>
          <w:bCs/>
          <w:i w:val="0"/>
          <w:caps w:val="0"/>
          <w:color w:val="auto"/>
          <w:spacing w:val="0"/>
          <w:sz w:val="32"/>
          <w:szCs w:val="32"/>
        </w:rPr>
        <w:t>（</w:t>
      </w:r>
      <w:r>
        <w:rPr>
          <w:rFonts w:hint="eastAsia" w:ascii="仿宋" w:hAnsi="仿宋" w:eastAsia="仿宋" w:cs="仿宋"/>
          <w:b/>
          <w:bCs/>
          <w:i w:val="0"/>
          <w:caps w:val="0"/>
          <w:color w:val="auto"/>
          <w:spacing w:val="0"/>
          <w:sz w:val="32"/>
          <w:szCs w:val="32"/>
          <w:lang w:eastAsia="zh-CN"/>
        </w:rPr>
        <w:t>四</w:t>
      </w:r>
      <w:r>
        <w:rPr>
          <w:rFonts w:hint="eastAsia" w:ascii="仿宋" w:hAnsi="仿宋" w:eastAsia="仿宋" w:cs="仿宋"/>
          <w:b/>
          <w:bCs/>
          <w:i w:val="0"/>
          <w:caps w:val="0"/>
          <w:color w:val="auto"/>
          <w:spacing w:val="0"/>
          <w:sz w:val="32"/>
          <w:szCs w:val="32"/>
        </w:rPr>
        <w:t>）</w:t>
      </w:r>
      <w:r>
        <w:rPr>
          <w:rFonts w:hint="eastAsia" w:ascii="仿宋" w:hAnsi="仿宋" w:eastAsia="仿宋" w:cs="仿宋"/>
          <w:b/>
          <w:bCs/>
          <w:i w:val="0"/>
          <w:caps w:val="0"/>
          <w:color w:val="auto"/>
          <w:spacing w:val="0"/>
          <w:sz w:val="32"/>
          <w:szCs w:val="32"/>
          <w:lang w:eastAsia="zh-CN"/>
        </w:rPr>
        <w:t>市信访</w:t>
      </w:r>
      <w:r>
        <w:rPr>
          <w:rFonts w:hint="default" w:ascii="仿宋" w:hAnsi="仿宋" w:eastAsia="仿宋" w:cs="仿宋"/>
          <w:b/>
          <w:bCs/>
          <w:i w:val="0"/>
          <w:caps w:val="0"/>
          <w:color w:val="auto"/>
          <w:spacing w:val="0"/>
          <w:sz w:val="32"/>
          <w:szCs w:val="32"/>
        </w:rPr>
        <w:t>局无其他需要报告的其他事项。</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2" w:firstLineChars="200"/>
        <w:jc w:val="left"/>
        <w:textAlignment w:val="auto"/>
        <w:rPr>
          <w:rFonts w:hint="eastAsia" w:ascii="仿宋" w:hAnsi="仿宋" w:eastAsia="仿宋" w:cs="仿宋"/>
          <w:b/>
          <w:bCs/>
          <w:color w:val="auto"/>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iOGQ4YTQ1ZTg5MGY2MTc1MmU1NTg5YWI5NjI2ZmUifQ=="/>
  </w:docVars>
  <w:rsids>
    <w:rsidRoot w:val="00000000"/>
    <w:rsid w:val="020B2C70"/>
    <w:rsid w:val="02E15799"/>
    <w:rsid w:val="2DD507EE"/>
    <w:rsid w:val="2DFFE7E1"/>
    <w:rsid w:val="40871BFB"/>
    <w:rsid w:val="535F2BC2"/>
    <w:rsid w:val="7AE90197"/>
    <w:rsid w:val="7BCF7BE5"/>
    <w:rsid w:val="7FF5CAF6"/>
    <w:rsid w:val="A7FF507B"/>
    <w:rsid w:val="B2DAFF18"/>
    <w:rsid w:val="BFE54C88"/>
    <w:rsid w:val="C7D51099"/>
    <w:rsid w:val="FFD615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000000"/>
      <w:sz w:val="12"/>
      <w:szCs w:val="12"/>
      <w:u w:val="none"/>
    </w:rPr>
  </w:style>
  <w:style w:type="character" w:styleId="10">
    <w:name w:val="Hyperlink"/>
    <w:basedOn w:val="7"/>
    <w:qFormat/>
    <w:uiPriority w:val="0"/>
    <w:rPr>
      <w:color w:val="000000"/>
      <w:sz w:val="12"/>
      <w:szCs w:val="1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3118</Words>
  <Characters>3221</Characters>
  <Lines>0</Lines>
  <Paragraphs>0</Paragraphs>
  <TotalTime>1</TotalTime>
  <ScaleCrop>false</ScaleCrop>
  <LinksUpToDate>false</LinksUpToDate>
  <CharactersWithSpaces>3221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2022-01-21T13:15:00Z</dcterms:created>
  <dc:creator>huawei</dc:creator>
  <cp:lastModifiedBy>yao</cp:lastModifiedBy>
  <cp:lastPrinted>2024-02-01T03:56:00Z</cp:lastPrinted>
  <dcterms:modified xsi:type="dcterms:W3CDTF">2024-01-31T20:27:36Z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84C3EFB17BFB458D812DD90F5F99BAB0</vt:lpwstr>
  </property>
</Properties>
</file>