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79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济宁市体育局</w:t>
      </w:r>
    </w:p>
    <w:p w14:paraId="43FDB2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3EA5B9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299481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本报告由济宁市体育局按照《中华人民共和国政府信息公开条例》（以下简称《条例》）和《中华人民共和国政府信息公开工作年度报告格式》（国办公开办函〔2021〕30号）要求编制。</w:t>
      </w:r>
    </w:p>
    <w:p w14:paraId="080F59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099C5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本报告所列数据的统计期限自2025年1月1日起至2025年12月31日止。本报告电子版可在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中国・济宁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政府门户网站（</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"http://www.jining.gov.cn/" \t "_blank"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http://www.jining.gov.cn/</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）查阅或下载。如对本报告有疑问，请与济宁市体育局联系（地址：济宁市太白湖新区省运会指挥中心A</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0781室，联系电话：0537—2967700）。</w:t>
      </w:r>
    </w:p>
    <w:p w14:paraId="7B072D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14:paraId="7E517D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在市委、市政府的坚强领导下，市体育局坚持以习近平新时代中国特色社会主义思想为指导，按照市委、市政府关于政府信息公开工作的相关要求，结合单位工作实际，充分发挥市政府门户网站政府信息公开专栏、部门网站、微信公众号等媒体作用，加强组织领导，规范公开内容，健全公开制度，进一步提高政府信息公开质量和水平。</w:t>
      </w:r>
    </w:p>
    <w:p w14:paraId="02AE3C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（一）主动公开情况</w:t>
      </w:r>
    </w:p>
    <w:p w14:paraId="55A5F3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2025年，市体育局聚焦党建工作、赛事活动、体育惠民、产业发展、竞技体育等重点领域，通过多渠道主动发布各类政府信息。其中，网站发布政务动态、政策文件、工作通知等信息</w:t>
      </w:r>
      <w:r>
        <w:rPr>
          <w:rFonts w:hint="eastAsia" w:ascii="Times New Roman" w:hAnsi="Times New Roman" w:eastAsia="仿宋_GB2312" w:cs="Times New Roman"/>
          <w:sz w:val="32"/>
          <w:szCs w:val="32"/>
          <w:lang w:val="en-US" w:eastAsia="zh-CN"/>
        </w:rPr>
        <w:t>751</w:t>
      </w:r>
      <w:bookmarkStart w:id="0" w:name="_GoBack"/>
      <w:bookmarkEnd w:id="0"/>
      <w:r>
        <w:rPr>
          <w:rFonts w:hint="default" w:ascii="Times New Roman" w:hAnsi="Times New Roman" w:eastAsia="仿宋_GB2312" w:cs="Times New Roman"/>
          <w:sz w:val="32"/>
          <w:szCs w:val="32"/>
          <w:lang w:val="en-US" w:eastAsia="zh-CN"/>
        </w:rPr>
        <w:t>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济宁体育</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微信公众号发布赛事报道、健身科普、活动预告等520条，抖音号、微信视频号发布赛事精彩瞬间、健身教程等短视频126条，其他渠道（包括政务服务平台、新闻发布会等）发布信息105条。结合重大赛事活动，通过直播、话题互动等形式扩大信息传播覆盖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济宁马拉松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国球文化周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等相关话题全网点击量超10亿次，回应群众各类咨询关切586条，其中政务服务热线544条、网络问政20条、接诉即办10条、信访平台12条。</w:t>
      </w:r>
    </w:p>
    <w:p w14:paraId="19D96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（二）依申请公开情况</w:t>
      </w:r>
    </w:p>
    <w:p w14:paraId="63E93F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2025年全年，我局收到0条依申请公开政府信息。</w:t>
      </w:r>
    </w:p>
    <w:p w14:paraId="0DA105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（三）政府信息管理情况</w:t>
      </w:r>
    </w:p>
    <w:p w14:paraId="6E9C2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持续完善信息发布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三审三校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制度，严格执行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分级审核、先审后发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流程，加强对政策文件、赛事信息、数据统计等重点内容的审核把关。建立信息动态管理机制，定期开展已发布信息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回头看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，及时更新失效信息、修正错漏内容，确保信息的准确性和时效性。科学划分公开类别，规范信息归档管理，优化信息检索功能，方便公众快速查询获取所需内容。</w:t>
      </w:r>
    </w:p>
    <w:p w14:paraId="4CBC0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（四）政府信息平台建设情况</w:t>
      </w:r>
    </w:p>
    <w:p w14:paraId="3A30D1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进一步优化政府网站体育板块栏目设置，梳理整合党建工作、赛事</w:t>
      </w:r>
      <w:r>
        <w:rPr>
          <w:rFonts w:hint="eastAsia" w:ascii="Times New Roman" w:hAnsi="Times New Roman" w:eastAsia="仿宋_GB2312" w:cs="Times New Roman"/>
          <w:strike w:val="0"/>
          <w:dstrike w:val="0"/>
          <w:color w:val="auto"/>
          <w:sz w:val="32"/>
          <w:szCs w:val="32"/>
          <w:u w:val="none"/>
          <w:shd w:val="clear" w:fill="auto"/>
          <w:lang w:val="en-US" w:eastAsia="zh-CN"/>
        </w:rPr>
        <w:t>活动</w:t>
      </w:r>
      <w:r>
        <w:rPr>
          <w:rFonts w:hint="default" w:ascii="Times New Roman" w:hAnsi="Times New Roman" w:eastAsia="仿宋_GB2312" w:cs="Times New Roman"/>
          <w:sz w:val="32"/>
          <w:szCs w:val="32"/>
          <w:lang w:val="en-US" w:eastAsia="zh-CN"/>
        </w:rPr>
        <w:t>、群众体育、竞技体育、体育产业等公开目录，提升信息检索便捷性。加强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济</w:t>
      </w:r>
      <w:r>
        <w:drawing>
          <wp:anchor distT="0" distB="0" distL="0" distR="0" simplePos="0" relativeHeight="251661312" behindDoc="1" locked="0" layoutInCell="1" allowOverlap="1">
            <wp:simplePos x="0" y="0"/>
            <wp:positionH relativeFrom="page">
              <wp:posOffset>9671050</wp:posOffset>
            </wp:positionH>
            <wp:positionV relativeFrom="paragraph">
              <wp:posOffset>12266930</wp:posOffset>
            </wp:positionV>
            <wp:extent cx="2430145" cy="2376170"/>
            <wp:effectExtent l="0" t="0" r="8255" b="508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5"/>
                    <a:stretch>
                      <a:fillRect/>
                    </a:stretch>
                  </pic:blipFill>
                  <pic:spPr>
                    <a:xfrm>
                      <a:off x="0" y="0"/>
                      <a:ext cx="2430145" cy="2376170"/>
                    </a:xfrm>
                    <a:prstGeom prst="rect">
                      <a:avLst/>
                    </a:prstGeom>
                  </pic:spPr>
                </pic:pic>
              </a:graphicData>
            </a:graphic>
          </wp:anchor>
        </w:drawing>
      </w:r>
      <w:r>
        <w:rPr>
          <w:rFonts w:hint="default" w:ascii="Times New Roman" w:hAnsi="Times New Roman" w:eastAsia="仿宋_GB2312" w:cs="Times New Roman"/>
          <w:sz w:val="32"/>
          <w:szCs w:val="32"/>
          <w:lang w:val="en-US" w:eastAsia="zh-CN"/>
        </w:rPr>
        <w:t>宁体育</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微信公众号、抖音号等新媒体平台建设，开设政策解读、县区动态等特色专栏，通过图文、视频等多种形式发布信息，增强公开内容的生动性和可读性。强化平台日常运维，定期开展巡检排查，确保平台运行稳定、内容更新及时。</w:t>
      </w:r>
    </w:p>
    <w:p w14:paraId="06C72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（五）监督保障情况</w:t>
      </w:r>
    </w:p>
    <w:p w14:paraId="1DB3EA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健全政务公开工作机制，</w:t>
      </w:r>
      <w:r>
        <w:drawing>
          <wp:anchor distT="0" distB="0" distL="0" distR="0" simplePos="0" relativeHeight="251660288" behindDoc="1" locked="0" layoutInCell="1" allowOverlap="1">
            <wp:simplePos x="0" y="0"/>
            <wp:positionH relativeFrom="page">
              <wp:posOffset>9823450</wp:posOffset>
            </wp:positionH>
            <wp:positionV relativeFrom="paragraph">
              <wp:posOffset>9371330</wp:posOffset>
            </wp:positionV>
            <wp:extent cx="2430145" cy="2376170"/>
            <wp:effectExtent l="0" t="0" r="8255" b="5080"/>
            <wp:wrapNone/>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5"/>
                    <a:stretch>
                      <a:fillRect/>
                    </a:stretch>
                  </pic:blipFill>
                  <pic:spPr>
                    <a:xfrm>
                      <a:off x="0" y="0"/>
                      <a:ext cx="2430145" cy="2376170"/>
                    </a:xfrm>
                    <a:prstGeom prst="rect">
                      <a:avLst/>
                    </a:prstGeom>
                  </pic:spPr>
                </pic:pic>
              </a:graphicData>
            </a:graphic>
          </wp:anchor>
        </w:drawing>
      </w:r>
      <w:r>
        <w:rPr>
          <w:rFonts w:hint="default" w:ascii="Times New Roman" w:hAnsi="Times New Roman" w:eastAsia="仿宋_GB2312" w:cs="Times New Roman"/>
          <w:sz w:val="32"/>
          <w:szCs w:val="32"/>
          <w:lang w:val="en-US" w:eastAsia="zh-CN"/>
        </w:rPr>
        <w:t>将政务公开纳入年度工作考核，明确各科室工作责任。加大业务培训力度，组织开展政务公开政策法规、信息撰写、平台操作等专题培训，提升工作人员专业能力。自觉接受社会监督，畅通投诉举报渠道，及时回应公众关切，未发生涉</w:t>
      </w:r>
      <w:r>
        <w:rPr>
          <w:rFonts w:hint="eastAsia" w:ascii="Times New Roman" w:hAnsi="Times New Roman" w:eastAsia="仿宋_GB2312" w:cs="Times New Roman"/>
          <w:strike w:val="0"/>
          <w:color w:val="auto"/>
          <w:sz w:val="32"/>
          <w:szCs w:val="32"/>
          <w:u w:val="none"/>
          <w:shd w:val="clear" w:fill="auto"/>
          <w:lang w:val="en-US" w:eastAsia="zh-CN"/>
        </w:rPr>
        <w:t>及</w:t>
      </w:r>
      <w:r>
        <w:rPr>
          <w:rFonts w:hint="default" w:ascii="Times New Roman" w:hAnsi="Times New Roman" w:eastAsia="仿宋_GB2312" w:cs="Times New Roman"/>
          <w:sz w:val="32"/>
          <w:szCs w:val="32"/>
          <w:lang w:val="en-US" w:eastAsia="zh-CN"/>
        </w:rPr>
        <w:t>政府信息公开</w:t>
      </w:r>
      <w:r>
        <w:rPr>
          <w:rFonts w:hint="eastAsia" w:ascii="Times New Roman" w:hAnsi="Times New Roman" w:eastAsia="仿宋_GB2312" w:cs="Times New Roman"/>
          <w:strike w:val="0"/>
          <w:color w:val="auto"/>
          <w:sz w:val="32"/>
          <w:szCs w:val="32"/>
          <w:u w:val="none"/>
          <w:shd w:val="clear" w:fill="auto"/>
          <w:lang w:val="en-US" w:eastAsia="zh-CN"/>
        </w:rPr>
        <w:t>的</w:t>
      </w:r>
      <w:r>
        <w:rPr>
          <w:rFonts w:hint="default" w:ascii="Times New Roman" w:hAnsi="Times New Roman" w:eastAsia="仿宋_GB2312" w:cs="Times New Roman"/>
          <w:sz w:val="32"/>
          <w:szCs w:val="32"/>
          <w:lang w:val="en-US" w:eastAsia="zh-CN"/>
        </w:rPr>
        <w:t>行政复议和行政诉讼，保障了政务公开工作的规范有序开展。</w:t>
      </w:r>
    </w:p>
    <w:p w14:paraId="0E37D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二、行政机关主动公开政府信息情况</w:t>
      </w:r>
    </w:p>
    <w:tbl>
      <w:tblPr>
        <w:tblStyle w:val="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72"/>
        <w:gridCol w:w="1864"/>
        <w:gridCol w:w="2178"/>
        <w:gridCol w:w="2178"/>
      </w:tblGrid>
      <w:tr w14:paraId="1089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8892" w:type="dxa"/>
            <w:gridSpan w:val="4"/>
            <w:shd w:val="clear" w:color="auto" w:fill="FFFFFF"/>
            <w:noWrap w:val="0"/>
            <w:tcMar>
              <w:left w:w="57" w:type="dxa"/>
              <w:right w:w="57" w:type="dxa"/>
            </w:tcMar>
            <w:vAlign w:val="center"/>
          </w:tcPr>
          <w:p w14:paraId="1E7523BF">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第二十条第（一）项</w:t>
            </w:r>
          </w:p>
        </w:tc>
      </w:tr>
      <w:tr w14:paraId="78FE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15A416FA">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信息内容</w:t>
            </w:r>
          </w:p>
        </w:tc>
        <w:tc>
          <w:tcPr>
            <w:tcW w:w="1864" w:type="dxa"/>
            <w:shd w:val="clear" w:color="auto" w:fill="FFFFFF"/>
            <w:noWrap w:val="0"/>
            <w:tcMar>
              <w:left w:w="57" w:type="dxa"/>
              <w:right w:w="57" w:type="dxa"/>
            </w:tcMar>
            <w:vAlign w:val="center"/>
          </w:tcPr>
          <w:p w14:paraId="7E328428">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本年制发件数</w:t>
            </w:r>
          </w:p>
        </w:tc>
        <w:tc>
          <w:tcPr>
            <w:tcW w:w="2178" w:type="dxa"/>
            <w:shd w:val="clear" w:color="auto" w:fill="FFFFFF"/>
            <w:noWrap w:val="0"/>
            <w:tcMar>
              <w:left w:w="57" w:type="dxa"/>
              <w:right w:w="57" w:type="dxa"/>
            </w:tcMar>
            <w:vAlign w:val="center"/>
          </w:tcPr>
          <w:p w14:paraId="559270AF">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本年废止件数</w:t>
            </w:r>
          </w:p>
        </w:tc>
        <w:tc>
          <w:tcPr>
            <w:tcW w:w="2177" w:type="dxa"/>
            <w:shd w:val="clear" w:color="auto" w:fill="FFFFFF"/>
            <w:noWrap w:val="0"/>
            <w:tcMar>
              <w:left w:w="57" w:type="dxa"/>
              <w:right w:w="57" w:type="dxa"/>
            </w:tcMar>
            <w:vAlign w:val="center"/>
          </w:tcPr>
          <w:p w14:paraId="6E5B2F41">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现行有效件数</w:t>
            </w:r>
          </w:p>
        </w:tc>
      </w:tr>
      <w:tr w14:paraId="23C6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341D92F5">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规章</w:t>
            </w:r>
          </w:p>
        </w:tc>
        <w:tc>
          <w:tcPr>
            <w:tcW w:w="1864" w:type="dxa"/>
            <w:shd w:val="clear" w:color="auto" w:fill="FFFFFF"/>
            <w:noWrap w:val="0"/>
            <w:tcMar>
              <w:left w:w="57" w:type="dxa"/>
              <w:right w:w="57" w:type="dxa"/>
            </w:tcMar>
            <w:vAlign w:val="center"/>
          </w:tcPr>
          <w:p w14:paraId="2FAB8F17">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2178" w:type="dxa"/>
            <w:shd w:val="clear" w:color="auto" w:fill="FFFFFF"/>
            <w:noWrap w:val="0"/>
            <w:tcMar>
              <w:left w:w="57" w:type="dxa"/>
              <w:right w:w="57" w:type="dxa"/>
            </w:tcMar>
            <w:vAlign w:val="center"/>
          </w:tcPr>
          <w:p w14:paraId="64AA01E7">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2177" w:type="dxa"/>
            <w:shd w:val="clear" w:color="auto" w:fill="FFFFFF"/>
            <w:noWrap w:val="0"/>
            <w:tcMar>
              <w:left w:w="57" w:type="dxa"/>
              <w:right w:w="57" w:type="dxa"/>
            </w:tcMar>
            <w:vAlign w:val="center"/>
          </w:tcPr>
          <w:p w14:paraId="30D6B821">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r w14:paraId="63A7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33732BC7">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rPr>
              <w:t>行政规范性文件</w:t>
            </w:r>
          </w:p>
        </w:tc>
        <w:tc>
          <w:tcPr>
            <w:tcW w:w="1864" w:type="dxa"/>
            <w:shd w:val="clear" w:color="auto" w:fill="FFFFFF"/>
            <w:noWrap w:val="0"/>
            <w:tcMar>
              <w:left w:w="57" w:type="dxa"/>
              <w:right w:w="57" w:type="dxa"/>
            </w:tcMar>
            <w:vAlign w:val="center"/>
          </w:tcPr>
          <w:p w14:paraId="0FF10BB6">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2178" w:type="dxa"/>
            <w:shd w:val="clear" w:color="auto" w:fill="FFFFFF"/>
            <w:noWrap w:val="0"/>
            <w:tcMar>
              <w:left w:w="57" w:type="dxa"/>
              <w:right w:w="57" w:type="dxa"/>
            </w:tcMar>
            <w:vAlign w:val="center"/>
          </w:tcPr>
          <w:p w14:paraId="3A48F1D6">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2177" w:type="dxa"/>
            <w:shd w:val="clear" w:color="auto" w:fill="FFFFFF"/>
            <w:noWrap w:val="0"/>
            <w:tcMar>
              <w:left w:w="57" w:type="dxa"/>
              <w:right w:w="57" w:type="dxa"/>
            </w:tcMar>
            <w:vAlign w:val="center"/>
          </w:tcPr>
          <w:p w14:paraId="44DA7A38">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1</w:t>
            </w:r>
          </w:p>
        </w:tc>
      </w:tr>
      <w:tr w14:paraId="2839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8892" w:type="dxa"/>
            <w:gridSpan w:val="4"/>
            <w:shd w:val="clear" w:color="auto" w:fill="FFFFFF"/>
            <w:noWrap w:val="0"/>
            <w:tcMar>
              <w:left w:w="57" w:type="dxa"/>
              <w:right w:w="57" w:type="dxa"/>
            </w:tcMar>
            <w:vAlign w:val="center"/>
          </w:tcPr>
          <w:p w14:paraId="3E7634C1">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rPr>
              <w:t>第二十条第（五）项</w:t>
            </w:r>
          </w:p>
        </w:tc>
      </w:tr>
      <w:tr w14:paraId="20BF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535EF024">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信息内容</w:t>
            </w:r>
          </w:p>
        </w:tc>
        <w:tc>
          <w:tcPr>
            <w:tcW w:w="6219" w:type="dxa"/>
            <w:gridSpan w:val="3"/>
            <w:shd w:val="clear" w:color="auto" w:fill="FFFFFF"/>
            <w:noWrap w:val="0"/>
            <w:tcMar>
              <w:left w:w="57" w:type="dxa"/>
              <w:right w:w="57" w:type="dxa"/>
            </w:tcMar>
            <w:vAlign w:val="center"/>
          </w:tcPr>
          <w:p w14:paraId="027949B2">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本年处理决定数量</w:t>
            </w:r>
          </w:p>
        </w:tc>
      </w:tr>
      <w:tr w14:paraId="452E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5B67A0C0">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行政许可</w:t>
            </w:r>
          </w:p>
        </w:tc>
        <w:tc>
          <w:tcPr>
            <w:tcW w:w="6219" w:type="dxa"/>
            <w:gridSpan w:val="3"/>
            <w:shd w:val="clear" w:color="auto" w:fill="FFFFFF"/>
            <w:noWrap w:val="0"/>
            <w:tcMar>
              <w:left w:w="57" w:type="dxa"/>
              <w:right w:w="57" w:type="dxa"/>
            </w:tcMar>
            <w:vAlign w:val="center"/>
          </w:tcPr>
          <w:p w14:paraId="54F59D04">
            <w:pPr>
              <w:widowControl/>
              <w:spacing w:line="300" w:lineRule="exact"/>
              <w:ind w:firstLine="2650" w:firstLineChars="1100"/>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r w14:paraId="532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8892" w:type="dxa"/>
            <w:gridSpan w:val="4"/>
            <w:shd w:val="clear" w:color="auto" w:fill="FFFFFF"/>
            <w:noWrap w:val="0"/>
            <w:tcMar>
              <w:left w:w="57" w:type="dxa"/>
              <w:right w:w="57" w:type="dxa"/>
            </w:tcMar>
            <w:vAlign w:val="center"/>
          </w:tcPr>
          <w:p w14:paraId="73B3A8B7">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第二十条第（六）项</w:t>
            </w:r>
          </w:p>
        </w:tc>
      </w:tr>
      <w:tr w14:paraId="433B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 w:hRule="atLeast"/>
          <w:jc w:val="center"/>
        </w:trPr>
        <w:tc>
          <w:tcPr>
            <w:tcW w:w="2672" w:type="dxa"/>
            <w:shd w:val="clear" w:color="auto" w:fill="FFFFFF"/>
            <w:noWrap w:val="0"/>
            <w:tcMar>
              <w:left w:w="57" w:type="dxa"/>
              <w:right w:w="57" w:type="dxa"/>
            </w:tcMar>
            <w:vAlign w:val="center"/>
          </w:tcPr>
          <w:p w14:paraId="5FC00E9F">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信息内容</w:t>
            </w:r>
          </w:p>
        </w:tc>
        <w:tc>
          <w:tcPr>
            <w:tcW w:w="6219" w:type="dxa"/>
            <w:gridSpan w:val="3"/>
            <w:shd w:val="clear" w:color="auto" w:fill="FFFFFF"/>
            <w:noWrap w:val="0"/>
            <w:tcMar>
              <w:left w:w="57" w:type="dxa"/>
              <w:right w:w="57" w:type="dxa"/>
            </w:tcMar>
            <w:vAlign w:val="center"/>
          </w:tcPr>
          <w:p w14:paraId="7CA6ACA1">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本年处理决定数量</w:t>
            </w:r>
          </w:p>
        </w:tc>
      </w:tr>
      <w:tr w14:paraId="6423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0C2C6999">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行政处罚</w:t>
            </w:r>
          </w:p>
        </w:tc>
        <w:tc>
          <w:tcPr>
            <w:tcW w:w="6219" w:type="dxa"/>
            <w:gridSpan w:val="3"/>
            <w:shd w:val="clear" w:color="auto" w:fill="FFFFFF"/>
            <w:noWrap w:val="0"/>
            <w:tcMar>
              <w:left w:w="57" w:type="dxa"/>
              <w:right w:w="57" w:type="dxa"/>
            </w:tcMar>
            <w:vAlign w:val="center"/>
          </w:tcPr>
          <w:p w14:paraId="2E5181EB">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r w14:paraId="754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4A1512DA">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行政强制</w:t>
            </w:r>
          </w:p>
        </w:tc>
        <w:tc>
          <w:tcPr>
            <w:tcW w:w="6219" w:type="dxa"/>
            <w:gridSpan w:val="3"/>
            <w:shd w:val="clear" w:color="auto" w:fill="FFFFFF"/>
            <w:noWrap w:val="0"/>
            <w:tcMar>
              <w:left w:w="57" w:type="dxa"/>
              <w:right w:w="57" w:type="dxa"/>
            </w:tcMar>
            <w:vAlign w:val="center"/>
          </w:tcPr>
          <w:p w14:paraId="3C9B68CF">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r w14:paraId="002E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8892" w:type="dxa"/>
            <w:gridSpan w:val="4"/>
            <w:shd w:val="clear" w:color="auto" w:fill="FFFFFF"/>
            <w:noWrap w:val="0"/>
            <w:tcMar>
              <w:left w:w="57" w:type="dxa"/>
              <w:right w:w="57" w:type="dxa"/>
            </w:tcMar>
            <w:vAlign w:val="center"/>
          </w:tcPr>
          <w:p w14:paraId="647E3753">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第二十条第（八）项</w:t>
            </w:r>
          </w:p>
        </w:tc>
      </w:tr>
      <w:tr w14:paraId="1ABF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5BF62DD5">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信息内容</w:t>
            </w:r>
          </w:p>
        </w:tc>
        <w:tc>
          <w:tcPr>
            <w:tcW w:w="6219" w:type="dxa"/>
            <w:gridSpan w:val="3"/>
            <w:shd w:val="clear" w:color="auto" w:fill="FFFFFF"/>
            <w:noWrap w:val="0"/>
            <w:tcMar>
              <w:left w:w="57" w:type="dxa"/>
              <w:right w:w="57" w:type="dxa"/>
            </w:tcMar>
            <w:vAlign w:val="center"/>
          </w:tcPr>
          <w:p w14:paraId="6ABA8F06">
            <w:pPr>
              <w:widowControl/>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本年收费金额（单位：万元）</w:t>
            </w:r>
          </w:p>
        </w:tc>
      </w:tr>
      <w:tr w14:paraId="5B57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8" w:hRule="atLeast"/>
          <w:jc w:val="center"/>
        </w:trPr>
        <w:tc>
          <w:tcPr>
            <w:tcW w:w="2672" w:type="dxa"/>
            <w:shd w:val="clear" w:color="auto" w:fill="FFFFFF"/>
            <w:noWrap w:val="0"/>
            <w:tcMar>
              <w:left w:w="57" w:type="dxa"/>
              <w:right w:w="57" w:type="dxa"/>
            </w:tcMar>
            <w:vAlign w:val="center"/>
          </w:tcPr>
          <w:p w14:paraId="39988597">
            <w:pPr>
              <w:widowControl/>
              <w:spacing w:line="30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行政事业性收费</w:t>
            </w:r>
          </w:p>
        </w:tc>
        <w:tc>
          <w:tcPr>
            <w:tcW w:w="6219" w:type="dxa"/>
            <w:gridSpan w:val="3"/>
            <w:shd w:val="clear" w:color="auto" w:fill="FFFFFF"/>
            <w:noWrap w:val="0"/>
            <w:tcMar>
              <w:left w:w="57" w:type="dxa"/>
              <w:right w:w="57" w:type="dxa"/>
            </w:tcMar>
            <w:vAlign w:val="center"/>
          </w:tcPr>
          <w:p w14:paraId="05F86382">
            <w:pPr>
              <w:spacing w:line="3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bl>
    <w:p w14:paraId="3BE827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三、行政机关收到和处理政府信息公开申请情况</w:t>
      </w:r>
    </w:p>
    <w:tbl>
      <w:tblPr>
        <w:tblStyle w:val="7"/>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4"/>
        <w:gridCol w:w="1041"/>
        <w:gridCol w:w="3021"/>
        <w:gridCol w:w="433"/>
        <w:gridCol w:w="567"/>
        <w:gridCol w:w="567"/>
        <w:gridCol w:w="567"/>
        <w:gridCol w:w="567"/>
        <w:gridCol w:w="567"/>
        <w:gridCol w:w="429"/>
      </w:tblGrid>
      <w:tr w14:paraId="4C48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126" w:type="dxa"/>
            <w:gridSpan w:val="3"/>
            <w:vMerge w:val="restart"/>
            <w:noWrap w:val="0"/>
            <w:tcMar>
              <w:left w:w="108" w:type="dxa"/>
              <w:right w:w="108" w:type="dxa"/>
            </w:tcMar>
            <w:vAlign w:val="center"/>
          </w:tcPr>
          <w:p w14:paraId="75BE2D96">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（本列数据的勾稽关系为：第一项加第二项之和，等于第三项加第四项之和）</w:t>
            </w:r>
          </w:p>
        </w:tc>
        <w:tc>
          <w:tcPr>
            <w:tcW w:w="3697" w:type="dxa"/>
            <w:gridSpan w:val="7"/>
            <w:noWrap w:val="0"/>
            <w:tcMar>
              <w:left w:w="57" w:type="dxa"/>
              <w:right w:w="57" w:type="dxa"/>
            </w:tcMar>
            <w:vAlign w:val="center"/>
          </w:tcPr>
          <w:p w14:paraId="19C0A649">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申请人情况</w:t>
            </w:r>
          </w:p>
        </w:tc>
      </w:tr>
      <w:tr w14:paraId="1E40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126" w:type="dxa"/>
            <w:gridSpan w:val="3"/>
            <w:vMerge w:val="continue"/>
            <w:noWrap w:val="0"/>
            <w:tcMar>
              <w:left w:w="108" w:type="dxa"/>
              <w:right w:w="108" w:type="dxa"/>
            </w:tcMar>
            <w:vAlign w:val="center"/>
          </w:tcPr>
          <w:p w14:paraId="4C2240F6">
            <w:pPr>
              <w:widowControl/>
              <w:spacing w:line="260" w:lineRule="exact"/>
              <w:jc w:val="center"/>
              <w:rPr>
                <w:rFonts w:hint="default" w:ascii="Times New Roman" w:hAnsi="Times New Roman" w:eastAsia="方正黑体简体" w:cs="Times New Roman"/>
                <w:b/>
                <w:szCs w:val="21"/>
              </w:rPr>
            </w:pPr>
          </w:p>
        </w:tc>
        <w:tc>
          <w:tcPr>
            <w:tcW w:w="433" w:type="dxa"/>
            <w:vMerge w:val="restart"/>
            <w:noWrap w:val="0"/>
            <w:tcMar>
              <w:left w:w="57" w:type="dxa"/>
              <w:right w:w="57" w:type="dxa"/>
            </w:tcMar>
            <w:vAlign w:val="center"/>
          </w:tcPr>
          <w:p w14:paraId="7232AEEF">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自然人</w:t>
            </w:r>
          </w:p>
        </w:tc>
        <w:tc>
          <w:tcPr>
            <w:tcW w:w="2835" w:type="dxa"/>
            <w:gridSpan w:val="5"/>
            <w:noWrap w:val="0"/>
            <w:tcMar>
              <w:left w:w="57" w:type="dxa"/>
              <w:right w:w="57" w:type="dxa"/>
            </w:tcMar>
            <w:vAlign w:val="center"/>
          </w:tcPr>
          <w:p w14:paraId="7DCB02DF">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法人或其他组织</w:t>
            </w:r>
          </w:p>
        </w:tc>
        <w:tc>
          <w:tcPr>
            <w:tcW w:w="429" w:type="dxa"/>
            <w:vMerge w:val="restart"/>
            <w:noWrap w:val="0"/>
            <w:tcMar>
              <w:left w:w="57" w:type="dxa"/>
              <w:right w:w="57" w:type="dxa"/>
            </w:tcMar>
            <w:vAlign w:val="center"/>
          </w:tcPr>
          <w:p w14:paraId="6BFF41EF">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总计</w:t>
            </w:r>
          </w:p>
        </w:tc>
      </w:tr>
      <w:tr w14:paraId="174A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126" w:type="dxa"/>
            <w:gridSpan w:val="3"/>
            <w:vMerge w:val="continue"/>
            <w:noWrap w:val="0"/>
            <w:tcMar>
              <w:left w:w="108" w:type="dxa"/>
              <w:right w:w="108" w:type="dxa"/>
            </w:tcMar>
            <w:vAlign w:val="center"/>
          </w:tcPr>
          <w:p w14:paraId="485CACAD">
            <w:pPr>
              <w:widowControl/>
              <w:spacing w:line="260" w:lineRule="exact"/>
              <w:rPr>
                <w:rFonts w:hint="default" w:ascii="Times New Roman" w:hAnsi="Times New Roman" w:eastAsia="方正仿宋简体" w:cs="Times New Roman"/>
                <w:b/>
                <w:szCs w:val="21"/>
              </w:rPr>
            </w:pPr>
          </w:p>
        </w:tc>
        <w:tc>
          <w:tcPr>
            <w:tcW w:w="433" w:type="dxa"/>
            <w:vMerge w:val="continue"/>
            <w:noWrap w:val="0"/>
            <w:tcMar>
              <w:left w:w="57" w:type="dxa"/>
              <w:right w:w="57" w:type="dxa"/>
            </w:tcMar>
            <w:vAlign w:val="center"/>
          </w:tcPr>
          <w:p w14:paraId="4CABF279">
            <w:pPr>
              <w:widowControl/>
              <w:spacing w:line="260" w:lineRule="exact"/>
              <w:rPr>
                <w:rFonts w:hint="default" w:ascii="Times New Roman" w:hAnsi="Times New Roman" w:eastAsia="方正仿宋简体" w:cs="Times New Roman"/>
                <w:b/>
                <w:szCs w:val="21"/>
              </w:rPr>
            </w:pPr>
          </w:p>
        </w:tc>
        <w:tc>
          <w:tcPr>
            <w:tcW w:w="567" w:type="dxa"/>
            <w:noWrap w:val="0"/>
            <w:tcMar>
              <w:left w:w="57" w:type="dxa"/>
              <w:right w:w="57" w:type="dxa"/>
            </w:tcMar>
            <w:vAlign w:val="center"/>
          </w:tcPr>
          <w:p w14:paraId="4D2A2DD5">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商业企业</w:t>
            </w:r>
          </w:p>
        </w:tc>
        <w:tc>
          <w:tcPr>
            <w:tcW w:w="567" w:type="dxa"/>
            <w:noWrap w:val="0"/>
            <w:tcMar>
              <w:left w:w="57" w:type="dxa"/>
              <w:right w:w="57" w:type="dxa"/>
            </w:tcMar>
            <w:vAlign w:val="center"/>
          </w:tcPr>
          <w:p w14:paraId="5F85D27E">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科研机构</w:t>
            </w:r>
          </w:p>
        </w:tc>
        <w:tc>
          <w:tcPr>
            <w:tcW w:w="567" w:type="dxa"/>
            <w:noWrap w:val="0"/>
            <w:tcMar>
              <w:left w:w="57" w:type="dxa"/>
              <w:right w:w="57" w:type="dxa"/>
            </w:tcMar>
            <w:vAlign w:val="center"/>
          </w:tcPr>
          <w:p w14:paraId="3CDCF343">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社会公益组织</w:t>
            </w:r>
          </w:p>
        </w:tc>
        <w:tc>
          <w:tcPr>
            <w:tcW w:w="567" w:type="dxa"/>
            <w:noWrap w:val="0"/>
            <w:tcMar>
              <w:left w:w="57" w:type="dxa"/>
              <w:right w:w="57" w:type="dxa"/>
            </w:tcMar>
            <w:vAlign w:val="center"/>
          </w:tcPr>
          <w:p w14:paraId="14D80DA6">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法律服务机构</w:t>
            </w:r>
          </w:p>
        </w:tc>
        <w:tc>
          <w:tcPr>
            <w:tcW w:w="567" w:type="dxa"/>
            <w:noWrap w:val="0"/>
            <w:tcMar>
              <w:left w:w="57" w:type="dxa"/>
              <w:right w:w="57" w:type="dxa"/>
            </w:tcMar>
            <w:vAlign w:val="center"/>
          </w:tcPr>
          <w:p w14:paraId="7DF4E4FA">
            <w:pPr>
              <w:widowControl/>
              <w:spacing w:line="260" w:lineRule="exact"/>
              <w:jc w:val="center"/>
              <w:rPr>
                <w:rFonts w:hint="default" w:ascii="Times New Roman" w:hAnsi="Times New Roman" w:eastAsia="方正黑体简体" w:cs="Times New Roman"/>
                <w:b/>
                <w:szCs w:val="21"/>
              </w:rPr>
            </w:pPr>
            <w:r>
              <w:rPr>
                <w:rFonts w:hint="default" w:ascii="Times New Roman" w:hAnsi="Times New Roman" w:eastAsia="方正黑体简体" w:cs="Times New Roman"/>
                <w:b/>
                <w:szCs w:val="21"/>
              </w:rPr>
              <w:t>其他</w:t>
            </w:r>
          </w:p>
        </w:tc>
        <w:tc>
          <w:tcPr>
            <w:tcW w:w="429" w:type="dxa"/>
            <w:vMerge w:val="continue"/>
            <w:noWrap w:val="0"/>
            <w:tcMar>
              <w:left w:w="57" w:type="dxa"/>
              <w:right w:w="57" w:type="dxa"/>
            </w:tcMar>
            <w:vAlign w:val="center"/>
          </w:tcPr>
          <w:p w14:paraId="62564F01">
            <w:pPr>
              <w:widowControl/>
              <w:spacing w:line="260" w:lineRule="exact"/>
              <w:rPr>
                <w:rFonts w:hint="default" w:ascii="Times New Roman" w:hAnsi="Times New Roman" w:eastAsia="方正仿宋简体" w:cs="Times New Roman"/>
                <w:b/>
                <w:szCs w:val="21"/>
              </w:rPr>
            </w:pPr>
          </w:p>
        </w:tc>
      </w:tr>
      <w:tr w14:paraId="2FA1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126" w:type="dxa"/>
            <w:gridSpan w:val="3"/>
            <w:noWrap w:val="0"/>
            <w:tcMar>
              <w:left w:w="57" w:type="dxa"/>
              <w:right w:w="57" w:type="dxa"/>
            </w:tcMar>
            <w:vAlign w:val="center"/>
          </w:tcPr>
          <w:p w14:paraId="37A0EC2D">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黑体简体" w:cs="Times New Roman"/>
                <w:b/>
                <w:szCs w:val="21"/>
              </w:rPr>
              <w:t>一、本年新收政府信息公开申请数量</w:t>
            </w:r>
          </w:p>
        </w:tc>
        <w:tc>
          <w:tcPr>
            <w:tcW w:w="433" w:type="dxa"/>
            <w:noWrap w:val="0"/>
            <w:tcMar>
              <w:left w:w="57" w:type="dxa"/>
              <w:right w:w="57" w:type="dxa"/>
            </w:tcMar>
            <w:vAlign w:val="center"/>
          </w:tcPr>
          <w:p w14:paraId="16E0E2C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146AB2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FB8293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954FB2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E3F462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33FBF8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12E3A49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6E6F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126" w:type="dxa"/>
            <w:gridSpan w:val="3"/>
            <w:noWrap w:val="0"/>
            <w:tcMar>
              <w:left w:w="57" w:type="dxa"/>
              <w:right w:w="57" w:type="dxa"/>
            </w:tcMar>
            <w:vAlign w:val="center"/>
          </w:tcPr>
          <w:p w14:paraId="71E54B6A">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黑体简体" w:cs="Times New Roman"/>
                <w:b/>
                <w:szCs w:val="21"/>
              </w:rPr>
              <w:t>二、上年结转政府信息公开申请数量</w:t>
            </w:r>
          </w:p>
        </w:tc>
        <w:tc>
          <w:tcPr>
            <w:tcW w:w="433" w:type="dxa"/>
            <w:noWrap w:val="0"/>
            <w:tcMar>
              <w:left w:w="57" w:type="dxa"/>
              <w:right w:w="57" w:type="dxa"/>
            </w:tcMar>
            <w:vAlign w:val="center"/>
          </w:tcPr>
          <w:p w14:paraId="603510A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7771D5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3273FD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EA6B1F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AED0C5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8BC409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3695CB4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0D88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restart"/>
            <w:noWrap w:val="0"/>
            <w:tcMar>
              <w:left w:w="57" w:type="dxa"/>
              <w:right w:w="57" w:type="dxa"/>
            </w:tcMar>
            <w:vAlign w:val="center"/>
          </w:tcPr>
          <w:p w14:paraId="7281BDDD">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黑体简体" w:cs="Times New Roman"/>
                <w:b/>
                <w:szCs w:val="21"/>
              </w:rPr>
              <w:t>三、本年度办理结果</w:t>
            </w:r>
          </w:p>
        </w:tc>
        <w:tc>
          <w:tcPr>
            <w:tcW w:w="4062" w:type="dxa"/>
            <w:gridSpan w:val="2"/>
            <w:noWrap w:val="0"/>
            <w:tcMar>
              <w:left w:w="57" w:type="dxa"/>
              <w:right w:w="57" w:type="dxa"/>
            </w:tcMar>
            <w:vAlign w:val="center"/>
          </w:tcPr>
          <w:p w14:paraId="02251858">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（一）予以公开</w:t>
            </w:r>
          </w:p>
        </w:tc>
        <w:tc>
          <w:tcPr>
            <w:tcW w:w="433" w:type="dxa"/>
            <w:noWrap w:val="0"/>
            <w:tcMar>
              <w:left w:w="57" w:type="dxa"/>
              <w:right w:w="57" w:type="dxa"/>
            </w:tcMar>
            <w:vAlign w:val="center"/>
          </w:tcPr>
          <w:p w14:paraId="216A81F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296639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CF9629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804140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A937AF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5ED109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2B33B827">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7C5F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10CEA225">
            <w:pPr>
              <w:widowControl/>
              <w:spacing w:line="260" w:lineRule="exact"/>
              <w:rPr>
                <w:rFonts w:hint="default" w:ascii="Times New Roman" w:hAnsi="Times New Roman" w:eastAsia="方正仿宋简体" w:cs="Times New Roman"/>
                <w:b/>
                <w:szCs w:val="21"/>
              </w:rPr>
            </w:pPr>
          </w:p>
        </w:tc>
        <w:tc>
          <w:tcPr>
            <w:tcW w:w="4062" w:type="dxa"/>
            <w:gridSpan w:val="2"/>
            <w:noWrap w:val="0"/>
            <w:tcMar>
              <w:left w:w="57" w:type="dxa"/>
              <w:right w:w="57" w:type="dxa"/>
            </w:tcMar>
            <w:vAlign w:val="center"/>
          </w:tcPr>
          <w:p w14:paraId="755E8ACF">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（二）部分公开（区分处理的，只计这一情形，不计其他情形）</w:t>
            </w:r>
          </w:p>
        </w:tc>
        <w:tc>
          <w:tcPr>
            <w:tcW w:w="433" w:type="dxa"/>
            <w:noWrap w:val="0"/>
            <w:tcMar>
              <w:left w:w="57" w:type="dxa"/>
              <w:right w:w="57" w:type="dxa"/>
            </w:tcMar>
            <w:vAlign w:val="center"/>
          </w:tcPr>
          <w:p w14:paraId="3996189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B3BF0E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F8B9C5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15DFF9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5E5C63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01D8EC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39C3F71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3965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315D234C">
            <w:pPr>
              <w:widowControl/>
              <w:spacing w:line="260" w:lineRule="exact"/>
              <w:rPr>
                <w:rFonts w:hint="default" w:ascii="Times New Roman" w:hAnsi="Times New Roman" w:eastAsia="方正仿宋简体" w:cs="Times New Roman"/>
                <w:b/>
                <w:szCs w:val="21"/>
              </w:rPr>
            </w:pPr>
          </w:p>
        </w:tc>
        <w:tc>
          <w:tcPr>
            <w:tcW w:w="1041" w:type="dxa"/>
            <w:vMerge w:val="restart"/>
            <w:noWrap w:val="0"/>
            <w:tcMar>
              <w:left w:w="57" w:type="dxa"/>
              <w:right w:w="57" w:type="dxa"/>
            </w:tcMar>
            <w:vAlign w:val="center"/>
          </w:tcPr>
          <w:p w14:paraId="5D3404D8">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（三）不予公开</w:t>
            </w:r>
          </w:p>
        </w:tc>
        <w:tc>
          <w:tcPr>
            <w:tcW w:w="3021" w:type="dxa"/>
            <w:noWrap w:val="0"/>
            <w:tcMar>
              <w:left w:w="57" w:type="dxa"/>
              <w:right w:w="57" w:type="dxa"/>
            </w:tcMar>
            <w:vAlign w:val="center"/>
          </w:tcPr>
          <w:p w14:paraId="1010ABF0">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1.属于国家秘密</w:t>
            </w:r>
          </w:p>
        </w:tc>
        <w:tc>
          <w:tcPr>
            <w:tcW w:w="433" w:type="dxa"/>
            <w:noWrap w:val="0"/>
            <w:tcMar>
              <w:left w:w="57" w:type="dxa"/>
              <w:right w:w="57" w:type="dxa"/>
            </w:tcMar>
            <w:vAlign w:val="center"/>
          </w:tcPr>
          <w:p w14:paraId="6537299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3B80AF7">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AE2178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E16066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0D9905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158E9C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241B70F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1E74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38A2C578">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7974A836">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5BC7AAE4">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2.其他法律</w:t>
            </w:r>
            <w:r>
              <w:rPr>
                <w:rFonts w:hint="eastAsia" w:ascii="Times New Roman" w:hAnsi="Times New Roman" w:eastAsia="方正仿宋简体" w:cs="Times New Roman"/>
                <w:b/>
                <w:strike w:val="0"/>
                <w:color w:val="auto"/>
                <w:szCs w:val="21"/>
                <w:u w:val="none"/>
                <w:shd w:val="clear" w:fill="auto"/>
                <w:lang w:eastAsia="zh-CN"/>
              </w:rPr>
              <w:t>、</w:t>
            </w:r>
            <w:r>
              <w:rPr>
                <w:rFonts w:hint="default" w:ascii="Times New Roman" w:hAnsi="Times New Roman" w:eastAsia="方正仿宋简体" w:cs="Times New Roman"/>
                <w:b/>
                <w:szCs w:val="21"/>
              </w:rPr>
              <w:t>行政法规禁止公开</w:t>
            </w:r>
          </w:p>
        </w:tc>
        <w:tc>
          <w:tcPr>
            <w:tcW w:w="433" w:type="dxa"/>
            <w:noWrap w:val="0"/>
            <w:tcMar>
              <w:left w:w="57" w:type="dxa"/>
              <w:right w:w="57" w:type="dxa"/>
            </w:tcMar>
            <w:vAlign w:val="center"/>
          </w:tcPr>
          <w:p w14:paraId="4959816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22A19A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457E6B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D49A39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D93AEE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30CA36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24DF1D7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74E2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20DDCF26">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4144FBA9">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6903B86D">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3.危及“三安全一稳定”</w:t>
            </w:r>
          </w:p>
        </w:tc>
        <w:tc>
          <w:tcPr>
            <w:tcW w:w="433" w:type="dxa"/>
            <w:noWrap w:val="0"/>
            <w:tcMar>
              <w:left w:w="57" w:type="dxa"/>
              <w:right w:w="57" w:type="dxa"/>
            </w:tcMar>
            <w:vAlign w:val="center"/>
          </w:tcPr>
          <w:p w14:paraId="1BB2F50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C6D93F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BB4EE6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A49F40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874F0A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8E2C44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497401F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0476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65D346AE">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3E10718E">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270BB118">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4.保护第三方合法权益</w:t>
            </w:r>
          </w:p>
        </w:tc>
        <w:tc>
          <w:tcPr>
            <w:tcW w:w="433" w:type="dxa"/>
            <w:noWrap w:val="0"/>
            <w:tcMar>
              <w:left w:w="57" w:type="dxa"/>
              <w:right w:w="57" w:type="dxa"/>
            </w:tcMar>
            <w:vAlign w:val="center"/>
          </w:tcPr>
          <w:p w14:paraId="0C2C62E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AAE89F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D116BB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AE0142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707EC7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0675CF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33BA58D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44B5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296BD92A">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2AF8CBC8">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634637B4">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5.属于三类内部事务信息</w:t>
            </w:r>
          </w:p>
        </w:tc>
        <w:tc>
          <w:tcPr>
            <w:tcW w:w="433" w:type="dxa"/>
            <w:noWrap w:val="0"/>
            <w:tcMar>
              <w:left w:w="57" w:type="dxa"/>
              <w:right w:w="57" w:type="dxa"/>
            </w:tcMar>
            <w:vAlign w:val="center"/>
          </w:tcPr>
          <w:p w14:paraId="685922C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3F1F3D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74EDD4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32159D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CCA5947">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D1FD02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1CBC0B3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2F71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2161BCE3">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326CAB70">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67BB84D1">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6.属于四类过程性信息</w:t>
            </w:r>
          </w:p>
        </w:tc>
        <w:tc>
          <w:tcPr>
            <w:tcW w:w="433" w:type="dxa"/>
            <w:noWrap w:val="0"/>
            <w:tcMar>
              <w:left w:w="57" w:type="dxa"/>
              <w:right w:w="57" w:type="dxa"/>
            </w:tcMar>
            <w:vAlign w:val="center"/>
          </w:tcPr>
          <w:p w14:paraId="04332E4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640C98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ECCE54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4445B4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8A88C6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26CF36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36D1849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59D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7ED31D57">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50EB6431">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77A82326">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7.属于行政执法案卷</w:t>
            </w:r>
          </w:p>
        </w:tc>
        <w:tc>
          <w:tcPr>
            <w:tcW w:w="433" w:type="dxa"/>
            <w:noWrap w:val="0"/>
            <w:tcMar>
              <w:left w:w="57" w:type="dxa"/>
              <w:right w:w="57" w:type="dxa"/>
            </w:tcMar>
            <w:vAlign w:val="center"/>
          </w:tcPr>
          <w:p w14:paraId="6CCDB13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889C27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F1EC85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4C0FF3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A313EB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98C907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735D627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2828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13037AFA">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5BC68E48">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4DCC43F1">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8.属于行政查询事项</w:t>
            </w:r>
          </w:p>
        </w:tc>
        <w:tc>
          <w:tcPr>
            <w:tcW w:w="433" w:type="dxa"/>
            <w:noWrap w:val="0"/>
            <w:tcMar>
              <w:left w:w="57" w:type="dxa"/>
              <w:right w:w="57" w:type="dxa"/>
            </w:tcMar>
            <w:vAlign w:val="center"/>
          </w:tcPr>
          <w:p w14:paraId="56D1CBD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ABFB51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03BC65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19D949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E08D9B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B7B80C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761016D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3027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66A3D8BE">
            <w:pPr>
              <w:widowControl/>
              <w:spacing w:line="260" w:lineRule="exact"/>
              <w:rPr>
                <w:rFonts w:hint="default" w:ascii="Times New Roman" w:hAnsi="Times New Roman" w:eastAsia="方正仿宋简体" w:cs="Times New Roman"/>
                <w:b/>
                <w:szCs w:val="21"/>
              </w:rPr>
            </w:pPr>
          </w:p>
        </w:tc>
        <w:tc>
          <w:tcPr>
            <w:tcW w:w="1041" w:type="dxa"/>
            <w:vMerge w:val="restart"/>
            <w:noWrap w:val="0"/>
            <w:tcMar>
              <w:left w:w="57" w:type="dxa"/>
              <w:right w:w="57" w:type="dxa"/>
            </w:tcMar>
            <w:vAlign w:val="center"/>
          </w:tcPr>
          <w:p w14:paraId="19E07BF1">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（四）无法提供</w:t>
            </w:r>
          </w:p>
        </w:tc>
        <w:tc>
          <w:tcPr>
            <w:tcW w:w="3021" w:type="dxa"/>
            <w:noWrap w:val="0"/>
            <w:tcMar>
              <w:left w:w="57" w:type="dxa"/>
              <w:right w:w="57" w:type="dxa"/>
            </w:tcMar>
            <w:vAlign w:val="center"/>
          </w:tcPr>
          <w:p w14:paraId="1D67A97D">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1.本机关不掌握相关政府信息</w:t>
            </w:r>
          </w:p>
        </w:tc>
        <w:tc>
          <w:tcPr>
            <w:tcW w:w="433" w:type="dxa"/>
            <w:noWrap w:val="0"/>
            <w:tcMar>
              <w:left w:w="57" w:type="dxa"/>
              <w:right w:w="57" w:type="dxa"/>
            </w:tcMar>
            <w:vAlign w:val="center"/>
          </w:tcPr>
          <w:p w14:paraId="1C160E9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455984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93B640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C95428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BBD9B2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6EE565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0B4E9727">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082D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2B810C36">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4C69F733">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3B7DF366">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2.没有现成信息需要另行制作</w:t>
            </w:r>
          </w:p>
        </w:tc>
        <w:tc>
          <w:tcPr>
            <w:tcW w:w="433" w:type="dxa"/>
            <w:noWrap w:val="0"/>
            <w:tcMar>
              <w:left w:w="57" w:type="dxa"/>
              <w:right w:w="57" w:type="dxa"/>
            </w:tcMar>
            <w:vAlign w:val="center"/>
          </w:tcPr>
          <w:p w14:paraId="744E50F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E5284B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B89749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935DF1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B242F1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C733CD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56772DA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4CDF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3D524013">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7D73E1C2">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7ED3E21A">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3.补正后申请内容仍不明确</w:t>
            </w:r>
          </w:p>
        </w:tc>
        <w:tc>
          <w:tcPr>
            <w:tcW w:w="433" w:type="dxa"/>
            <w:noWrap w:val="0"/>
            <w:tcMar>
              <w:left w:w="57" w:type="dxa"/>
              <w:right w:w="57" w:type="dxa"/>
            </w:tcMar>
            <w:vAlign w:val="center"/>
          </w:tcPr>
          <w:p w14:paraId="2566356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B569F0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C63322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BE37ED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BB281B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2DC530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027A95B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0B31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restart"/>
            <w:noWrap w:val="0"/>
            <w:tcMar>
              <w:left w:w="57" w:type="dxa"/>
              <w:right w:w="57" w:type="dxa"/>
            </w:tcMar>
            <w:vAlign w:val="center"/>
          </w:tcPr>
          <w:p w14:paraId="1B3BA002">
            <w:pPr>
              <w:widowControl/>
              <w:spacing w:line="260" w:lineRule="exact"/>
              <w:rPr>
                <w:rFonts w:hint="default" w:ascii="Times New Roman" w:hAnsi="Times New Roman" w:eastAsia="方正仿宋简体" w:cs="Times New Roman"/>
                <w:b/>
                <w:szCs w:val="21"/>
              </w:rPr>
            </w:pPr>
          </w:p>
        </w:tc>
        <w:tc>
          <w:tcPr>
            <w:tcW w:w="1041" w:type="dxa"/>
            <w:vMerge w:val="restart"/>
            <w:noWrap w:val="0"/>
            <w:tcMar>
              <w:left w:w="57" w:type="dxa"/>
              <w:right w:w="57" w:type="dxa"/>
            </w:tcMar>
            <w:vAlign w:val="center"/>
          </w:tcPr>
          <w:p w14:paraId="2F72EAF3">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（五）不予处理</w:t>
            </w:r>
          </w:p>
        </w:tc>
        <w:tc>
          <w:tcPr>
            <w:tcW w:w="3021" w:type="dxa"/>
            <w:noWrap w:val="0"/>
            <w:tcMar>
              <w:left w:w="57" w:type="dxa"/>
              <w:right w:w="57" w:type="dxa"/>
            </w:tcMar>
            <w:vAlign w:val="center"/>
          </w:tcPr>
          <w:p w14:paraId="1A3C779D">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1.信访举报投诉类申请</w:t>
            </w:r>
          </w:p>
        </w:tc>
        <w:tc>
          <w:tcPr>
            <w:tcW w:w="433" w:type="dxa"/>
            <w:noWrap w:val="0"/>
            <w:tcMar>
              <w:left w:w="57" w:type="dxa"/>
              <w:right w:w="57" w:type="dxa"/>
            </w:tcMar>
            <w:vAlign w:val="center"/>
          </w:tcPr>
          <w:p w14:paraId="66638F0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C51034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031DC8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4013CB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58A4CC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31B3FD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3631AFB7">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6BC8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791F3A0C">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0B1B887A">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0A71F00D">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2.重复申请</w:t>
            </w:r>
          </w:p>
        </w:tc>
        <w:tc>
          <w:tcPr>
            <w:tcW w:w="433" w:type="dxa"/>
            <w:noWrap w:val="0"/>
            <w:tcMar>
              <w:left w:w="57" w:type="dxa"/>
              <w:right w:w="57" w:type="dxa"/>
            </w:tcMar>
            <w:vAlign w:val="center"/>
          </w:tcPr>
          <w:p w14:paraId="7B86704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8DE939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997C3D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B4201A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F87709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D6F247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3114557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6E2B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32FF9419">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37872782">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2BD9E0EF">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3.要求提供公开出版物</w:t>
            </w:r>
          </w:p>
        </w:tc>
        <w:tc>
          <w:tcPr>
            <w:tcW w:w="433" w:type="dxa"/>
            <w:noWrap w:val="0"/>
            <w:tcMar>
              <w:left w:w="57" w:type="dxa"/>
              <w:right w:w="57" w:type="dxa"/>
            </w:tcMar>
            <w:vAlign w:val="center"/>
          </w:tcPr>
          <w:p w14:paraId="13F85ED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1F9213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ECD8317">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1059EB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12AD3D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E2F0FC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0F8445F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0BC8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1D7FB6D2">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283B1446">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41682CD8">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4.无正当理由大量反复申请</w:t>
            </w:r>
          </w:p>
        </w:tc>
        <w:tc>
          <w:tcPr>
            <w:tcW w:w="433" w:type="dxa"/>
            <w:noWrap w:val="0"/>
            <w:tcMar>
              <w:left w:w="57" w:type="dxa"/>
              <w:right w:w="57" w:type="dxa"/>
            </w:tcMar>
            <w:vAlign w:val="center"/>
          </w:tcPr>
          <w:p w14:paraId="375D2C6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094DAEA">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3B7A6C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EFC047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EFBB3C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FE6971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4D92E06F">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3606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6A1D9F85">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21541EA4">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77BED816">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5.要求行政机关确认或重新出具已获取信息</w:t>
            </w:r>
          </w:p>
        </w:tc>
        <w:tc>
          <w:tcPr>
            <w:tcW w:w="433" w:type="dxa"/>
            <w:noWrap w:val="0"/>
            <w:tcMar>
              <w:left w:w="57" w:type="dxa"/>
              <w:right w:w="57" w:type="dxa"/>
            </w:tcMar>
            <w:vAlign w:val="center"/>
          </w:tcPr>
          <w:p w14:paraId="3BE0910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19E883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E855BA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851426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481AD04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656F80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79EA599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4604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7814F4F5">
            <w:pPr>
              <w:widowControl/>
              <w:spacing w:line="260" w:lineRule="exact"/>
              <w:rPr>
                <w:rFonts w:hint="default" w:ascii="Times New Roman" w:hAnsi="Times New Roman" w:eastAsia="方正仿宋简体" w:cs="Times New Roman"/>
                <w:b/>
                <w:szCs w:val="21"/>
              </w:rPr>
            </w:pPr>
          </w:p>
        </w:tc>
        <w:tc>
          <w:tcPr>
            <w:tcW w:w="1041" w:type="dxa"/>
            <w:vMerge w:val="restart"/>
            <w:noWrap w:val="0"/>
            <w:tcMar>
              <w:left w:w="57" w:type="dxa"/>
              <w:right w:w="57" w:type="dxa"/>
            </w:tcMar>
            <w:vAlign w:val="center"/>
          </w:tcPr>
          <w:p w14:paraId="3644713D">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（六）其他处理</w:t>
            </w:r>
          </w:p>
        </w:tc>
        <w:tc>
          <w:tcPr>
            <w:tcW w:w="3021" w:type="dxa"/>
            <w:noWrap w:val="0"/>
            <w:tcMar>
              <w:left w:w="57" w:type="dxa"/>
              <w:right w:w="57" w:type="dxa"/>
            </w:tcMar>
            <w:vAlign w:val="center"/>
          </w:tcPr>
          <w:p w14:paraId="2942404C">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1.申请人无正当理由逾期不补正</w:t>
            </w:r>
            <w:r>
              <w:rPr>
                <w:rFonts w:hint="eastAsia" w:ascii="Times New Roman" w:hAnsi="Times New Roman" w:eastAsia="方正仿宋简体" w:cs="Times New Roman"/>
                <w:b/>
                <w:strike w:val="0"/>
                <w:dstrike w:val="0"/>
                <w:color w:val="auto"/>
                <w:szCs w:val="21"/>
                <w:u w:val="none"/>
                <w:shd w:val="clear" w:fill="auto"/>
                <w:lang w:eastAsia="zh-CN"/>
              </w:rPr>
              <w:t>，</w:t>
            </w:r>
            <w:r>
              <w:rPr>
                <w:rFonts w:hint="default" w:ascii="Times New Roman" w:hAnsi="Times New Roman" w:eastAsia="方正仿宋简体" w:cs="Times New Roman"/>
                <w:b/>
                <w:szCs w:val="21"/>
              </w:rPr>
              <w:t>行政机关不再处理其政府信息公开申请</w:t>
            </w:r>
          </w:p>
        </w:tc>
        <w:tc>
          <w:tcPr>
            <w:tcW w:w="433" w:type="dxa"/>
            <w:noWrap w:val="0"/>
            <w:tcMar>
              <w:left w:w="57" w:type="dxa"/>
              <w:right w:w="57" w:type="dxa"/>
            </w:tcMar>
            <w:vAlign w:val="center"/>
          </w:tcPr>
          <w:p w14:paraId="21FADD3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FAD8C1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A5404C9">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6222B7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43FC6E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295C211D">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1C09D75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7BA5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1A7CC1CB">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41ECC57C">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3D602E98">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2.申请人逾期未按收费通知要求缴纳费用</w:t>
            </w:r>
            <w:r>
              <w:rPr>
                <w:rFonts w:hint="eastAsia" w:ascii="Times New Roman" w:hAnsi="Times New Roman" w:eastAsia="方正仿宋简体" w:cs="Times New Roman"/>
                <w:b/>
                <w:strike w:val="0"/>
                <w:dstrike w:val="0"/>
                <w:color w:val="auto"/>
                <w:szCs w:val="21"/>
                <w:u w:val="none"/>
                <w:shd w:val="clear" w:fill="auto"/>
                <w:lang w:eastAsia="zh-CN"/>
              </w:rPr>
              <w:t>，</w:t>
            </w:r>
            <w:r>
              <w:rPr>
                <w:rFonts w:hint="default" w:ascii="Times New Roman" w:hAnsi="Times New Roman" w:eastAsia="方正仿宋简体" w:cs="Times New Roman"/>
                <w:b/>
                <w:szCs w:val="21"/>
              </w:rPr>
              <w:t>行政机关不再处理其政府信息公开申请</w:t>
            </w:r>
          </w:p>
        </w:tc>
        <w:tc>
          <w:tcPr>
            <w:tcW w:w="433" w:type="dxa"/>
            <w:noWrap w:val="0"/>
            <w:tcMar>
              <w:left w:w="57" w:type="dxa"/>
              <w:right w:w="57" w:type="dxa"/>
            </w:tcMar>
            <w:vAlign w:val="center"/>
          </w:tcPr>
          <w:p w14:paraId="27A4476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211CAB2">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3E1726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F19DC1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648EF5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BB50596">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5EAC90D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468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42971C44">
            <w:pPr>
              <w:widowControl/>
              <w:spacing w:line="260" w:lineRule="exact"/>
              <w:rPr>
                <w:rFonts w:hint="default" w:ascii="Times New Roman" w:hAnsi="Times New Roman" w:eastAsia="方正仿宋简体" w:cs="Times New Roman"/>
                <w:b/>
                <w:szCs w:val="21"/>
              </w:rPr>
            </w:pPr>
          </w:p>
        </w:tc>
        <w:tc>
          <w:tcPr>
            <w:tcW w:w="1041" w:type="dxa"/>
            <w:vMerge w:val="continue"/>
            <w:noWrap w:val="0"/>
            <w:tcMar>
              <w:left w:w="57" w:type="dxa"/>
              <w:right w:w="57" w:type="dxa"/>
            </w:tcMar>
            <w:vAlign w:val="center"/>
          </w:tcPr>
          <w:p w14:paraId="4F8D783B">
            <w:pPr>
              <w:widowControl/>
              <w:spacing w:line="260" w:lineRule="exact"/>
              <w:rPr>
                <w:rFonts w:hint="default" w:ascii="Times New Roman" w:hAnsi="Times New Roman" w:eastAsia="方正仿宋简体" w:cs="Times New Roman"/>
                <w:b/>
                <w:szCs w:val="21"/>
              </w:rPr>
            </w:pPr>
          </w:p>
        </w:tc>
        <w:tc>
          <w:tcPr>
            <w:tcW w:w="3021" w:type="dxa"/>
            <w:noWrap w:val="0"/>
            <w:tcMar>
              <w:left w:w="57" w:type="dxa"/>
              <w:right w:w="57" w:type="dxa"/>
            </w:tcMar>
            <w:vAlign w:val="center"/>
          </w:tcPr>
          <w:p w14:paraId="77700A1D">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3.其他</w:t>
            </w:r>
          </w:p>
        </w:tc>
        <w:tc>
          <w:tcPr>
            <w:tcW w:w="433" w:type="dxa"/>
            <w:noWrap w:val="0"/>
            <w:tcMar>
              <w:left w:w="57" w:type="dxa"/>
              <w:right w:w="57" w:type="dxa"/>
            </w:tcMar>
            <w:vAlign w:val="center"/>
          </w:tcPr>
          <w:p w14:paraId="394ADF4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E48F22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17F92558">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C2B9A67">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DAB020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CD3013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6E57EBC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5A8D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64" w:type="dxa"/>
            <w:vMerge w:val="continue"/>
            <w:noWrap w:val="0"/>
            <w:tcMar>
              <w:left w:w="57" w:type="dxa"/>
              <w:right w:w="57" w:type="dxa"/>
            </w:tcMar>
            <w:vAlign w:val="center"/>
          </w:tcPr>
          <w:p w14:paraId="5999243C">
            <w:pPr>
              <w:widowControl/>
              <w:spacing w:line="260" w:lineRule="exact"/>
              <w:rPr>
                <w:rFonts w:hint="default" w:ascii="Times New Roman" w:hAnsi="Times New Roman" w:eastAsia="方正仿宋简体" w:cs="Times New Roman"/>
                <w:b/>
                <w:szCs w:val="21"/>
              </w:rPr>
            </w:pPr>
          </w:p>
        </w:tc>
        <w:tc>
          <w:tcPr>
            <w:tcW w:w="4062" w:type="dxa"/>
            <w:gridSpan w:val="2"/>
            <w:noWrap w:val="0"/>
            <w:tcMar>
              <w:left w:w="57" w:type="dxa"/>
              <w:right w:w="57" w:type="dxa"/>
            </w:tcMar>
            <w:vAlign w:val="center"/>
          </w:tcPr>
          <w:p w14:paraId="305B0597">
            <w:pPr>
              <w:widowControl/>
              <w:spacing w:line="260" w:lineRule="exact"/>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（七）总计</w:t>
            </w:r>
          </w:p>
        </w:tc>
        <w:tc>
          <w:tcPr>
            <w:tcW w:w="433" w:type="dxa"/>
            <w:noWrap w:val="0"/>
            <w:tcMar>
              <w:left w:w="57" w:type="dxa"/>
              <w:right w:w="57" w:type="dxa"/>
            </w:tcMar>
            <w:vAlign w:val="center"/>
          </w:tcPr>
          <w:p w14:paraId="610EADB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D97D61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273886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30723FC">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7AB5CD93">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39E2CEA4">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2242DE51">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r w14:paraId="72F3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126" w:type="dxa"/>
            <w:gridSpan w:val="3"/>
            <w:noWrap w:val="0"/>
            <w:tcMar>
              <w:left w:w="57" w:type="dxa"/>
              <w:right w:w="57" w:type="dxa"/>
            </w:tcMar>
            <w:vAlign w:val="center"/>
          </w:tcPr>
          <w:p w14:paraId="4E947B43">
            <w:pPr>
              <w:widowControl/>
              <w:spacing w:line="260" w:lineRule="exact"/>
              <w:jc w:val="left"/>
              <w:rPr>
                <w:rFonts w:hint="default" w:ascii="Times New Roman" w:hAnsi="Times New Roman" w:eastAsia="方正仿宋简体" w:cs="Times New Roman"/>
                <w:b/>
                <w:szCs w:val="21"/>
              </w:rPr>
            </w:pPr>
            <w:r>
              <w:rPr>
                <w:rFonts w:hint="default" w:ascii="Times New Roman" w:hAnsi="Times New Roman" w:eastAsia="方正黑体简体" w:cs="Times New Roman"/>
                <w:b/>
                <w:szCs w:val="21"/>
              </w:rPr>
              <w:t>四、结转下年度继续办理</w:t>
            </w:r>
          </w:p>
        </w:tc>
        <w:tc>
          <w:tcPr>
            <w:tcW w:w="433" w:type="dxa"/>
            <w:noWrap w:val="0"/>
            <w:tcMar>
              <w:left w:w="57" w:type="dxa"/>
              <w:right w:w="57" w:type="dxa"/>
            </w:tcMar>
            <w:vAlign w:val="center"/>
          </w:tcPr>
          <w:p w14:paraId="4487318E">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678AD5E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FE4182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B57D72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5A667655">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567" w:type="dxa"/>
            <w:noWrap w:val="0"/>
            <w:tcMar>
              <w:left w:w="57" w:type="dxa"/>
              <w:right w:w="57" w:type="dxa"/>
            </w:tcMar>
            <w:vAlign w:val="center"/>
          </w:tcPr>
          <w:p w14:paraId="04B2C110">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c>
          <w:tcPr>
            <w:tcW w:w="429" w:type="dxa"/>
            <w:noWrap w:val="0"/>
            <w:tcMar>
              <w:left w:w="57" w:type="dxa"/>
              <w:right w:w="57" w:type="dxa"/>
            </w:tcMar>
            <w:vAlign w:val="center"/>
          </w:tcPr>
          <w:p w14:paraId="6230D77B">
            <w:pPr>
              <w:widowControl/>
              <w:spacing w:line="260" w:lineRule="exact"/>
              <w:jc w:val="center"/>
              <w:rPr>
                <w:rFonts w:hint="default" w:ascii="Times New Roman" w:hAnsi="Times New Roman" w:eastAsia="方正仿宋简体" w:cs="Times New Roman"/>
                <w:b/>
                <w:szCs w:val="21"/>
              </w:rPr>
            </w:pPr>
            <w:r>
              <w:rPr>
                <w:rFonts w:hint="default" w:ascii="Times New Roman" w:hAnsi="Times New Roman" w:eastAsia="方正仿宋简体" w:cs="Times New Roman"/>
                <w:b/>
                <w:szCs w:val="21"/>
              </w:rPr>
              <w:t>0</w:t>
            </w:r>
          </w:p>
        </w:tc>
      </w:tr>
    </w:tbl>
    <w:p w14:paraId="17F6DD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四、因政府信息公开工作被申请行政复议、提请行政诉讼情况</w:t>
      </w:r>
    </w:p>
    <w:tbl>
      <w:tblPr>
        <w:tblStyle w:val="7"/>
        <w:tblW w:w="870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1"/>
        <w:gridCol w:w="567"/>
        <w:gridCol w:w="567"/>
        <w:gridCol w:w="567"/>
        <w:gridCol w:w="507"/>
        <w:gridCol w:w="547"/>
        <w:gridCol w:w="505"/>
        <w:gridCol w:w="567"/>
        <w:gridCol w:w="567"/>
        <w:gridCol w:w="567"/>
        <w:gridCol w:w="567"/>
        <w:gridCol w:w="567"/>
        <w:gridCol w:w="567"/>
        <w:gridCol w:w="709"/>
        <w:gridCol w:w="676"/>
      </w:tblGrid>
      <w:tr w14:paraId="3D74C3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86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AD082F">
            <w:pPr>
              <w:widowControl/>
              <w:spacing w:line="40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行政复议</w:t>
            </w:r>
          </w:p>
        </w:tc>
        <w:tc>
          <w:tcPr>
            <w:tcW w:w="5839"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F5AB57">
            <w:pPr>
              <w:widowControl/>
              <w:spacing w:line="40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行政诉讼</w:t>
            </w:r>
          </w:p>
        </w:tc>
      </w:tr>
      <w:tr w14:paraId="1E2100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6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5E1B4D5">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结果维持</w:t>
            </w:r>
          </w:p>
        </w:tc>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6CA4538">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结果纠正</w:t>
            </w:r>
          </w:p>
        </w:tc>
        <w:tc>
          <w:tcPr>
            <w:tcW w:w="56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CC4AA5">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其他结果</w:t>
            </w:r>
          </w:p>
        </w:tc>
        <w:tc>
          <w:tcPr>
            <w:tcW w:w="56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88D453">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尚未审结</w:t>
            </w:r>
          </w:p>
        </w:tc>
        <w:tc>
          <w:tcPr>
            <w:tcW w:w="50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7808C7">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总计</w:t>
            </w:r>
          </w:p>
        </w:tc>
        <w:tc>
          <w:tcPr>
            <w:tcW w:w="275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AB1012">
            <w:pPr>
              <w:widowControl/>
              <w:spacing w:line="30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未经复议直接起诉</w:t>
            </w:r>
          </w:p>
        </w:tc>
        <w:tc>
          <w:tcPr>
            <w:tcW w:w="308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F8AB96">
            <w:pPr>
              <w:widowControl/>
              <w:spacing w:line="30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复议后起诉</w:t>
            </w:r>
          </w:p>
        </w:tc>
      </w:tr>
      <w:tr w14:paraId="5DCBF3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75" w:hRule="atLeast"/>
          <w:jc w:val="center"/>
        </w:trPr>
        <w:tc>
          <w:tcPr>
            <w:tcW w:w="66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9826FD9">
            <w:pPr>
              <w:spacing w:line="300" w:lineRule="exact"/>
              <w:ind w:left="-42" w:leftChars="-20" w:right="-42" w:rightChars="-20"/>
              <w:jc w:val="center"/>
              <w:rPr>
                <w:rFonts w:hint="default" w:ascii="Times New Roman" w:hAnsi="Times New Roman" w:eastAsia="方正黑体简体" w:cs="Times New Roman"/>
                <w:b/>
                <w:sz w:val="28"/>
                <w:szCs w:val="28"/>
              </w:rPr>
            </w:pPr>
          </w:p>
        </w:tc>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1BF37C0">
            <w:pPr>
              <w:spacing w:line="300" w:lineRule="exact"/>
              <w:ind w:left="-42" w:leftChars="-20" w:right="-42" w:rightChars="-20"/>
              <w:jc w:val="center"/>
              <w:rPr>
                <w:rFonts w:hint="default" w:ascii="Times New Roman" w:hAnsi="Times New Roman" w:eastAsia="方正黑体简体" w:cs="Times New Roman"/>
                <w:b/>
                <w:sz w:val="28"/>
                <w:szCs w:val="28"/>
              </w:rPr>
            </w:pPr>
          </w:p>
        </w:tc>
        <w:tc>
          <w:tcPr>
            <w:tcW w:w="56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03C0E4">
            <w:pPr>
              <w:spacing w:line="300" w:lineRule="exact"/>
              <w:ind w:left="-42" w:leftChars="-20" w:right="-42" w:rightChars="-20"/>
              <w:jc w:val="center"/>
              <w:rPr>
                <w:rFonts w:hint="default" w:ascii="Times New Roman" w:hAnsi="Times New Roman" w:eastAsia="方正黑体简体" w:cs="Times New Roman"/>
                <w:sz w:val="28"/>
                <w:szCs w:val="28"/>
              </w:rPr>
            </w:pPr>
          </w:p>
        </w:tc>
        <w:tc>
          <w:tcPr>
            <w:tcW w:w="56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302FD8">
            <w:pPr>
              <w:spacing w:line="300" w:lineRule="exact"/>
              <w:ind w:left="-42" w:leftChars="-20" w:right="-42" w:rightChars="-20"/>
              <w:jc w:val="center"/>
              <w:rPr>
                <w:rFonts w:hint="default" w:ascii="Times New Roman" w:hAnsi="Times New Roman" w:eastAsia="方正黑体简体" w:cs="Times New Roman"/>
                <w:sz w:val="24"/>
              </w:rPr>
            </w:pPr>
          </w:p>
        </w:tc>
        <w:tc>
          <w:tcPr>
            <w:tcW w:w="50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BD892B">
            <w:pPr>
              <w:spacing w:line="300" w:lineRule="exact"/>
              <w:ind w:left="-42" w:leftChars="-20" w:right="-42" w:rightChars="-20"/>
              <w:jc w:val="center"/>
              <w:rPr>
                <w:rFonts w:hint="default" w:ascii="Times New Roman" w:hAnsi="Times New Roman" w:eastAsia="方正黑体简体" w:cs="Times New Roman"/>
                <w:b/>
                <w:sz w:val="24"/>
              </w:rPr>
            </w:pPr>
          </w:p>
        </w:tc>
        <w:tc>
          <w:tcPr>
            <w:tcW w:w="54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14F11D">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结果维持</w:t>
            </w:r>
          </w:p>
        </w:tc>
        <w:tc>
          <w:tcPr>
            <w:tcW w:w="50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28F6DB">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结果纠正</w:t>
            </w:r>
          </w:p>
        </w:tc>
        <w:tc>
          <w:tcPr>
            <w:tcW w:w="56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8AAD0F">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其他结果</w:t>
            </w:r>
          </w:p>
        </w:tc>
        <w:tc>
          <w:tcPr>
            <w:tcW w:w="56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FAC6F9">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尚未审结</w:t>
            </w:r>
          </w:p>
        </w:tc>
        <w:tc>
          <w:tcPr>
            <w:tcW w:w="56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C752A8">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总计</w:t>
            </w:r>
          </w:p>
        </w:tc>
        <w:tc>
          <w:tcPr>
            <w:tcW w:w="56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805ABE">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结果维持</w:t>
            </w:r>
          </w:p>
        </w:tc>
        <w:tc>
          <w:tcPr>
            <w:tcW w:w="56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E573A5">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结果纠正</w:t>
            </w:r>
          </w:p>
        </w:tc>
        <w:tc>
          <w:tcPr>
            <w:tcW w:w="56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874D9B">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其他结果</w:t>
            </w:r>
          </w:p>
        </w:tc>
        <w:tc>
          <w:tcPr>
            <w:tcW w:w="70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8FEEB8">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尚未审结</w:t>
            </w:r>
          </w:p>
        </w:tc>
        <w:tc>
          <w:tcPr>
            <w:tcW w:w="67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EC8C7A">
            <w:pPr>
              <w:widowControl/>
              <w:spacing w:line="260" w:lineRule="exact"/>
              <w:ind w:left="-42" w:leftChars="-20" w:right="-42" w:rightChars="-20"/>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rPr>
              <w:t>总计</w:t>
            </w:r>
          </w:p>
        </w:tc>
      </w:tr>
      <w:tr w14:paraId="1F23DA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6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B14F77">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532B37">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99173E">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60EBB0">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AFF590">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4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4D2BA2">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0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81AECD">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59A019">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860CBB">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E14198">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0E51CC">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0022DE">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60EE3D">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70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7AD471">
            <w:pPr>
              <w:widowControl/>
              <w:spacing w:line="40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c>
          <w:tcPr>
            <w:tcW w:w="67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87DBF4">
            <w:pPr>
              <w:spacing w:line="400" w:lineRule="exact"/>
              <w:ind w:left="-42" w:leftChars="-20" w:right="-42" w:rightChars="-20"/>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0</w:t>
            </w:r>
          </w:p>
        </w:tc>
      </w:tr>
    </w:tbl>
    <w:p w14:paraId="03B03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五、政府信息公开存在的主要问题及改进情况</w:t>
      </w:r>
    </w:p>
    <w:p w14:paraId="79C3D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（一）存在的主要问题</w:t>
      </w:r>
    </w:p>
    <w:p w14:paraId="6CC3A2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公开内容深度不足。对赛事经济、体育产业发展等重点工作的政策解读不够深入，多以文字说明为主，缺乏案例分析、数据对比等可视化呈现</w:t>
      </w:r>
      <w:r>
        <w:rPr>
          <w:rFonts w:hint="eastAsia" w:ascii="Times New Roman" w:hAnsi="Times New Roman" w:eastAsia="仿宋_GB2312" w:cs="Times New Roman"/>
          <w:strike w:val="0"/>
          <w:color w:val="auto"/>
          <w:sz w:val="32"/>
          <w:szCs w:val="32"/>
          <w:u w:val="none"/>
          <w:shd w:val="clear" w:fill="auto"/>
          <w:lang w:eastAsia="zh-CN"/>
        </w:rPr>
        <w:t>方式</w:t>
      </w:r>
      <w:r>
        <w:rPr>
          <w:rFonts w:hint="default" w:ascii="Times New Roman" w:hAnsi="Times New Roman" w:eastAsia="仿宋_GB2312" w:cs="Times New Roman"/>
          <w:sz w:val="32"/>
          <w:szCs w:val="32"/>
        </w:rPr>
        <w:t>。</w:t>
      </w:r>
    </w:p>
    <w:p w14:paraId="2B338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rPr>
        <w:t>公开渠道协同性有待提升。网站、公众号、抖音号等平台信息发布存在不同步现象，部分特色栏目更新频次不均</w:t>
      </w:r>
      <w:r>
        <w:rPr>
          <w:rFonts w:hint="eastAsia" w:ascii="Times New Roman" w:hAnsi="Times New Roman" w:eastAsia="仿宋_GB2312" w:cs="Times New Roman"/>
          <w:strike w:val="0"/>
          <w:color w:val="auto"/>
          <w:sz w:val="32"/>
          <w:szCs w:val="32"/>
          <w:u w:val="none"/>
          <w:shd w:val="clear" w:fill="auto"/>
          <w:lang w:eastAsia="zh-CN"/>
        </w:rPr>
        <w:t>衡</w:t>
      </w:r>
      <w:r>
        <w:rPr>
          <w:rFonts w:hint="default" w:ascii="Times New Roman" w:hAnsi="Times New Roman" w:eastAsia="仿宋_GB2312" w:cs="Times New Roman"/>
          <w:sz w:val="32"/>
          <w:szCs w:val="32"/>
        </w:rPr>
        <w:t>，新媒体平台互动功能发挥不充分。</w:t>
      </w:r>
    </w:p>
    <w:p w14:paraId="3F710B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公开针对性不强。对群众关注的健身设施分布、赛事报名流程、体育消费补贴等实用信息整合不够，查询便捷性不足，未能完全满足公众个性化需求。</w:t>
      </w:r>
    </w:p>
    <w:p w14:paraId="2B539E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（二）改进情况</w:t>
      </w:r>
    </w:p>
    <w:p w14:paraId="2FD616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深化公开内容建设。聚焦体育事业核心工作，丰富政策解读形式，采用</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文字+图表+视频</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模式，结合具体案例和数据，清晰解读政策出台背景、主要内容和实施成效。重点梳理赛事活动、健身服务、产业扶持等群众关切</w:t>
      </w:r>
      <w:r>
        <w:rPr>
          <w:rFonts w:hint="eastAsia" w:ascii="Times New Roman" w:hAnsi="Times New Roman" w:eastAsia="仿宋_GB2312" w:cs="Times New Roman"/>
          <w:strike w:val="0"/>
          <w:color w:val="auto"/>
          <w:sz w:val="32"/>
          <w:szCs w:val="32"/>
          <w:u w:val="none"/>
          <w:shd w:val="clear" w:fill="auto"/>
          <w:lang w:eastAsia="zh-CN"/>
        </w:rPr>
        <w:t>的</w:t>
      </w:r>
      <w:r>
        <w:rPr>
          <w:rFonts w:hint="default" w:ascii="Times New Roman" w:hAnsi="Times New Roman" w:eastAsia="仿宋_GB2312" w:cs="Times New Roman"/>
          <w:sz w:val="32"/>
          <w:szCs w:val="32"/>
        </w:rPr>
        <w:t>信息。</w:t>
      </w:r>
    </w:p>
    <w:p w14:paraId="138F1F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优化平台协同运营。建立信息发布联动机制，明确各平台发布时限和责任分工，确保信息同步更新。</w:t>
      </w:r>
    </w:p>
    <w:p w14:paraId="2442A5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强化队伍能力建设。开展政务公开专题培训，邀请专家讲解政策解读技巧、新媒体运营方法等内容，提升工作人员专业素养。建立信息公开工作自查机制，定期开展检查评估，及时发现并整改问题。</w:t>
      </w:r>
    </w:p>
    <w:p w14:paraId="1F7287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14:paraId="2A6B41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（一）依据《政府信息公开信息处理费管理办法》收取信息处理费情况</w:t>
      </w:r>
    </w:p>
    <w:p w14:paraId="439A2C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2025年，市体育局未收取信息处理费。</w:t>
      </w:r>
    </w:p>
    <w:p w14:paraId="0D1A4B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（二）落实上级年度政务公开工作要点情况</w:t>
      </w:r>
    </w:p>
    <w:p w14:paraId="507CAD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认真贯彻落实2025年济宁市政务公开重点工作任务，调整完善政务公开工作领导小组，制定《2025年市体育局政务公开工作台账》，将重点任务分解至各科室。更新政府信息公开指南和主动公开目录，聚焦赛事经济、体育惠民等重点领域，加大信息公开力度，推动政务公开与体育业务工作深度融合。</w:t>
      </w:r>
    </w:p>
    <w:p w14:paraId="0AC7AB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（三）人大代表建议和政协提案办理结果公开情况</w:t>
      </w:r>
    </w:p>
    <w:p w14:paraId="330469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2025年，市体育局办理人大代表建议1件，政协委员提案5件，均已按时办结并在政府门户网站公开办理结果，公开率100%。</w:t>
      </w:r>
    </w:p>
    <w:p w14:paraId="2A84B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（四）其他有关文件专门要求通过政府信息公开工作年度报告予以报告的事项</w:t>
      </w:r>
    </w:p>
    <w:p w14:paraId="42AEE1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无。</w:t>
      </w:r>
    </w:p>
    <w:p w14:paraId="7DCDE8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2D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FDB35">
                          <w:pPr>
                            <w:pStyle w:val="5"/>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DFDB35">
                    <w:pPr>
                      <w:pStyle w:val="5"/>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46016"/>
    <w:rsid w:val="0C27646D"/>
    <w:rsid w:val="144F35ED"/>
    <w:rsid w:val="2675695A"/>
    <w:rsid w:val="2A4200DA"/>
    <w:rsid w:val="2B74283C"/>
    <w:rsid w:val="59946016"/>
    <w:rsid w:val="7DFBC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2026-01-07T06:19:00Z</dcterms:created>
  <dc:creator>y</dc:creator>
  <cp:lastModifiedBy>杨天亚</cp:lastModifiedBy>
  <cp:lastPrinted>2026-01-08T09:05:00Z</cp:lastPrinted>
  <dcterms:modified xsi:type="dcterms:W3CDTF">2026-01-19T10:25:08Z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B83052DA6FF8AFA2EE946D69B0073A81_43</vt:lpwstr>
  </property>
</Properties>
</file>