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济宁市畜牧兽医事业发展中心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</w:t>
      </w: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政府信息公开工作年度报告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年12月31日止。本报告电子版可在“中国·济宁”政府门户网站（</w:t>
      </w:r>
      <w:r>
        <w:rPr>
          <w:rStyle w:val="8"/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1"/>
          <w:szCs w:val="31"/>
        </w:rPr>
        <w:t>http://www.jining.gov.cn/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Style w:val="8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山东省第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23</w:t>
      </w:r>
      <w:r>
        <w:rPr>
          <w:rStyle w:val="8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届省运会指挥中心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F0303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0537-2966776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，济宁市畜牧兽医事业发展中心</w:t>
      </w:r>
      <w:r>
        <w:rPr>
          <w:rFonts w:hint="eastAsia" w:eastAsia="方正仿宋简体" w:cs="Times New Roman"/>
          <w:b/>
          <w:bCs/>
          <w:kern w:val="2"/>
          <w:sz w:val="32"/>
          <w:szCs w:val="32"/>
          <w:lang w:val="en-US" w:eastAsia="zh-CN" w:bidi="ar"/>
        </w:rPr>
        <w:t>认真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贯彻落实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省、市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工作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部署，紧紧围绕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群众关心关切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拓宽信息公开渠道，细化公开内容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创新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工作方式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，着力提升政务公开质量和实效，保障人民群众知情权、参与权、表达权和监督权。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 xml:space="preserve"> 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年度，市畜牧兽医事业发展中心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共发布政务公开信息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327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条，其中：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通过市政府网站政府信息公开平台发布各类公开信息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通过门户网站发布公开信息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131条；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通过“济宁畜牧”微信公众号发布各类公开信息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</w:t>
      </w:r>
    </w:p>
    <w:p>
      <w:pPr>
        <w:pStyle w:val="2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080000" cy="3810000"/>
            <wp:effectExtent l="4445" t="4445" r="2095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年度，市畜牧兽医事业发展中心未收到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公开申请。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</w:rPr>
        <w:t>严格政务信息公开审核程序</w:t>
      </w:r>
      <w:r>
        <w:rPr>
          <w:rFonts w:hint="eastAsia" w:eastAsia="方正仿宋简体" w:cs="Times New Roman"/>
          <w:b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</w:rPr>
        <w:t>按照“谁制定、谁审查、谁公开、谁负责”原则，做到一事一审、先审后发，提升公开质量，严把信息安全，确保公开内容合法规范。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  <w:t>年，市畜牧兽医事业发展中心新出台规范性文件0件，废止0件，现行有效0件。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2" w:firstLineChars="200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优化门户网站信息公开专栏设置和内容展示形式，在政务公开板块下设置职能机构、人事信息、行政通知、公告公示等栏目，完善检索、查阅、下载等功能。充分发挥微信公众号传播快、受众广、互动强的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优势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，积极发布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图文并茂的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服务事项办理指南、畜牧相关政策法规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、畜产品质量安全科普视频等内容，直观形象的将内容推送给受众，让群众“看得见、读得懂”。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2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定期召开会议，听取政务公开工作最新要求和工作进展情况汇报，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安排部署重点工作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优化调整政务公开工作领导小组，明确领导小组职责，指定一名同志专职、两名同志兼职负责政务公开日常工作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；制定年度培训计划，定期开展政务公开工作培训，增强政务公开意识，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提升业务水平。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 xml:space="preserve">  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240" w:lineRule="auto"/>
        <w:ind w:right="0" w:rightChars="0" w:firstLine="642" w:firstLineChars="200"/>
        <w:jc w:val="left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市畜牧兽医事业发展中心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政府信息公开工作扎实推进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，但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面对新形势、新要求，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仍存在以下不足：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一是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政策解读形式较为单一，解读深度不够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；二是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信息的时效性有待提升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下步，中心将着重做好以下工作：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是健全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文件解读工作机制。坚持“谁起草、谁解读”的原则，认真落实政策文件与解读方案、解读材料同步组织、同步审签、同步部署的工作机制，提高政策解读的质量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是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提升公开信息时效性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需要公开的信息审核无误后，第一时间公开，定期审查已公开信息，已过有效期的第一时间标注或删除，确保公开信息准确、有效。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）收取信息处理费的情况</w:t>
      </w:r>
    </w:p>
    <w:p>
      <w:pPr>
        <w:spacing w:line="590" w:lineRule="exact"/>
        <w:ind w:left="640" w:leftChars="320" w:right="-100" w:rightChars="-50" w:firstLine="0" w:firstLineChars="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年，市畜牧兽医事业发展中心未收取信息处理费。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落实上级年度政务公开工作要点情况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制定年度政务公开工作实施方案，压实主体责任，细化任务分工，推进政务公开工作任务落实落地；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定期更新政府信息公开指南、主动公开基本目录，完善政务公开工作制度，规范依申请公开办理流程，确保政务公开各项任务落到实处。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 w:ascii="Times New Roman" w:hAnsi="Times New Roman" w:cs="Times New Roman"/>
        </w:rPr>
      </w:pPr>
      <w:bookmarkStart w:id="0" w:name="_GoBack"/>
      <w:r>
        <w:rPr>
          <w:rStyle w:val="8"/>
          <w:rFonts w:hint="default" w:ascii="Times New Roman" w:hAnsi="Times New Roman" w:eastAsia="方正仿宋简体" w:cs="Times New Roman"/>
          <w:b/>
          <w:kern w:val="0"/>
          <w:sz w:val="31"/>
          <w:szCs w:val="31"/>
          <w:lang w:val="en-US" w:eastAsia="zh-CN" w:bidi="ar"/>
        </w:rPr>
        <w:t>（三）人大代表建议和政协提案办理结果公开情况：2023年度，市畜牧兽医事业发展中心办理人大代表建议1件，已在规定时间内办理完毕并公开办理情况。2023年度，市畜牧兽医事业发展中心未收到政协提案。</w:t>
      </w:r>
    </w:p>
    <w:bookmarkEnd w:id="0"/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Light">
    <w:altName w:val="方正书宋_GBK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MjRlOGM2ZGY4NWFkN2YzMzI4MzRmN2MwNjE4MjUifQ=="/>
  </w:docVars>
  <w:rsids>
    <w:rsidRoot w:val="6C2D1409"/>
    <w:rsid w:val="0EFFCCB2"/>
    <w:rsid w:val="3F89DBBE"/>
    <w:rsid w:val="5FDE34B1"/>
    <w:rsid w:val="5FFF0D64"/>
    <w:rsid w:val="65B595A2"/>
    <w:rsid w:val="6C2D1409"/>
    <w:rsid w:val="6D9E843C"/>
    <w:rsid w:val="77B7C85C"/>
    <w:rsid w:val="79FFF756"/>
    <w:rsid w:val="7EED6C50"/>
    <w:rsid w:val="7F7FDBCF"/>
    <w:rsid w:val="7FFBFEEE"/>
    <w:rsid w:val="7FFF10A6"/>
    <w:rsid w:val="AFFF9B4F"/>
    <w:rsid w:val="CC7FC59F"/>
    <w:rsid w:val="D7FF1625"/>
    <w:rsid w:val="F3AFDD39"/>
    <w:rsid w:val="F73A5653"/>
    <w:rsid w:val="F9EC62AE"/>
    <w:rsid w:val="FF5F44D8"/>
    <w:rsid w:val="FFB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20" w:after="120"/>
      <w:outlineLvl w:val="0"/>
    </w:pPr>
    <w:rPr>
      <w:rFonts w:ascii="黑体" w:hAnsi="黑体" w:eastAsia="黑体" w:cs="黑体"/>
      <w:bCs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1400" b="0" i="0" u="none" strike="noStrike" kern="1200" spc="0" baseline="0">
              <a:ln w="12700" cmpd="sng">
                <a:noFill/>
                <a:prstDash val="solid"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false"/>
    <c:plotArea>
      <c:layout/>
      <c:pieChart>
        <c:varyColors val="true"/>
        <c:ser>
          <c:idx val="0"/>
          <c:order val="0"/>
          <c:tx>
            <c:strRef>
              <c:f>Sheet1!$B$1</c:f>
              <c:strCache>
                <c:ptCount val="1"/>
                <c:pt idx="0">
                  <c:v>济宁市畜牧兽医事业发展中心
2023年度政府信息公开数量</c:v>
                </c:pt>
              </c:strCache>
            </c:strRef>
          </c:tx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true"/>
          </c:dLbls>
          <c:cat>
            <c:strRef>
              <c:f>Sheet1!$A$2:$A$4</c:f>
              <c:strCache>
                <c:ptCount val="3"/>
                <c:pt idx="0">
                  <c:v>政府信息公开平台</c:v>
                </c:pt>
                <c:pt idx="1">
                  <c:v>部门门户网站</c:v>
                </c:pt>
                <c:pt idx="2">
                  <c:v>“济宁畜牧”微信公众号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126</c:v>
                </c:pt>
                <c:pt idx="1">
                  <c:v>131</c:v>
                </c:pt>
                <c:pt idx="2">
                  <c:v>70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2023-01-21T07:42:00Z</dcterms:created>
  <dc:creator>董真</dc:creator>
  <cp:lastModifiedBy>user</cp:lastModifiedBy>
  <dcterms:modified xsi:type="dcterms:W3CDTF">2024-03-01T14:20:35Z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6E26D451836E44A6B8E6BA70E6EFACBC</vt:lpwstr>
  </property>
</Properties>
</file>