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100" w:lineRule="exact"/>
        <w:jc w:val="center"/>
        <w:rPr>
          <w:rFonts w:ascii="文星标宋" w:hAnsi="文星标宋" w:eastAsia="文星标宋" w:cs="文星标宋"/>
          <w:color w:val="FF0000"/>
          <w:w w:val="48"/>
          <w:sz w:val="28"/>
          <w:szCs w:val="28"/>
        </w:rPr>
      </w:pPr>
    </w:p>
    <w:tbl>
      <w:tblPr>
        <w:tblStyle w:val="5"/>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spacing w:val="20"/>
                <w:w w:val="52"/>
                <w:sz w:val="120"/>
                <w:szCs w:val="120"/>
              </w:rPr>
            </w:pPr>
            <w:bookmarkStart w:id="0" w:name="print1"/>
            <w:r>
              <w:rPr>
                <w:rFonts w:hint="eastAsia" w:ascii="方正小标宋简体" w:hAnsi="文星标宋" w:eastAsia="方正小标宋简体" w:cs="方正小标宋简体"/>
                <w:b/>
                <w:color w:val="FF0000"/>
                <w:spacing w:val="20"/>
                <w:w w:val="52"/>
                <w:sz w:val="120"/>
                <w:szCs w:val="120"/>
                <w:lang w:bidi="ar"/>
              </w:rPr>
              <w:t>济宁市人民政府办公室文件</w:t>
            </w:r>
            <w:bookmarkEnd w:id="0"/>
          </w:p>
        </w:tc>
      </w:tr>
    </w:tbl>
    <w:p>
      <w:pPr>
        <w:spacing w:line="400" w:lineRule="exact"/>
        <w:jc w:val="center"/>
      </w:pPr>
      <w:r>
        <w:rPr>
          <w:rFonts w:eastAsia="方正仿宋简体"/>
          <w:sz w:val="32"/>
          <w:szCs w:val="32"/>
          <w:lang w:bidi="ar"/>
        </w:rPr>
        <w:tab/>
      </w:r>
    </w:p>
    <w:p>
      <w:pPr>
        <w:spacing w:line="400" w:lineRule="exact"/>
        <w:jc w:val="center"/>
      </w:pPr>
    </w:p>
    <w:p>
      <w:pPr>
        <w:jc w:val="center"/>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济政办发〔2023〕</w:t>
      </w:r>
      <w:r>
        <w:rPr>
          <w:rFonts w:hint="default" w:ascii="方正仿宋简体" w:hAnsi="文星仿宋" w:eastAsia="方正仿宋简体" w:cs="方正仿宋简体"/>
          <w:b/>
          <w:sz w:val="32"/>
          <w:szCs w:val="32"/>
          <w:lang w:bidi="ar"/>
        </w:rPr>
        <w:t>7</w:t>
      </w:r>
      <w:r>
        <w:rPr>
          <w:rFonts w:hint="eastAsia" w:ascii="方正仿宋简体" w:hAnsi="文星仿宋" w:eastAsia="方正仿宋简体" w:cs="方正仿宋简体"/>
          <w:b/>
          <w:sz w:val="32"/>
          <w:szCs w:val="32"/>
          <w:lang w:bidi="ar"/>
        </w:rPr>
        <w:t>号</w:t>
      </w:r>
    </w:p>
    <w:p>
      <w:pPr>
        <w:spacing w:line="660" w:lineRule="exact"/>
        <w:jc w:val="center"/>
        <w:rPr>
          <w:rFonts w:ascii="方正小标宋简体" w:hAnsi="文星仿宋" w:eastAsia="方正小标宋简体" w:cs="方正小标宋简体"/>
          <w:b/>
          <w:color w:val="FF0000"/>
        </w:rPr>
      </w:pPr>
      <w:r>
        <w:rPr>
          <w:rFonts w:eastAsia="方正仿宋简体"/>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71795" cy="0"/>
                <wp:effectExtent l="0" t="0" r="0" b="0"/>
                <wp:wrapNone/>
                <wp:docPr id="4"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0pt;margin-top:7.95pt;height:0pt;width:430.85pt;z-index:251659264;mso-width-relative:page;mso-height-relative:page;" filled="f" stroked="t" coordsize="21600,21600" o:gfxdata="UEsFBgAAAAAAAAAAAAAAAAAAAAAAAFBLAwQKAAAAAACHTuJAAAAAAAAAAAAAAAAABAAAAGRycy9Q SwMEFAAAAAgAh07iQONMvoDUAAAABgEAAA8AAABkcnMvZG93bnJldi54bWxNj71OxDAQhHsk3sFa JDrOCYL7CXFOCAkqKO44CjonXuJAvI5sXxLenkUURzkzq5lvy+3sejFiiJ0nBfkiA4HUeNNRq+Dw +ni1BhGTJqN7T6jgGyNsq/OzUhfGT7TDcZ9awSUUC63ApjQUUsbGotNx4Qckzj58cDqxDK00QU9c 7np5nWVL6XRHvGD1gA8Wm6/90Sm4eX6rhynY98PuaV5tcJ7Gl897pS4v8uwORMI5nY7hF5/RoWKm 2h/JRNEr4EcSu7cbEJyul/kKRP1nyKqU//GrH1BLAwQUAAAACACHTuJAcD4P4bwBAACAAwAADgAA AGRycy9lMm9Eb2MueG1srVPbjhoxDH2v1H+I8r7MgNjSjhj2YSl9WbVIbT/A5DITKTfFKQN/Xyew bC8vVbU8BCe2j32OPeuHk7PsqBKa4Hs+n7WcKS+CNH7o+fdvu7v3nGEGL8EGr3p+VsgfNm/frKfY qUUYg5UqMQLx2E2x52POsWsaFKNygLMQlSenDslBpmsaGplgInRnm0XbvmumkGRMQShEet1enHxT 8bVWIn/RGlVmtufUW65nquehnM1mDd2QII5GXNuA/+jCgfFU9Aa1hQzsRzJ/QTkjUsCg80wE1wSt jVCVA7GZt3+w+TpCVJULiYPxJhO+Hqz4fNwnZmTPl5x5cDSiJ+MVWxZlpogdBTz6fbreMO5ToXnS yZV/IsBOVc3zTU11ykzQ4/1yNV99uOdMPPual8SYMH9SwbFi9NxSzaofHJ8wUzEKfQ4pdaxnE63X YtXSEAXQomgLmUwXqXX0Q03GYI3cGWtLCqbh8GgTOwKNfrdr6Vc4EfBvYaXKFnC8xFXXZSlGBfKj lyyfI4niaXt56cEpyZlVtOzFIkDoMhj7L5FU2nrqoMh6EbJYhyDPVd/6TmOuPV5XsuzRr/ea/fLh bH4CUEsDBAoAAAAAAIdO4kAAAAAAAAAAAAAAAAAGAAAAX3JlbHMvUEsDBBQAAAAIAIdO4kCKFGY8 0QAAAJQBAAALAAAAX3JlbHMvLnJlbHOlkMFqwzAMhu+DvYPRfXGawxijTi+j0GvpHsDYimMaW0Yy 2fr28w6DZfS2o36h7xP//vCZFrUiS6RsYNf1oDA78jEHA++X49MLKKk2e7tQRgM3FDiMjw/7My62 tiOZYxHVKFkMzLWWV63FzZisdFQwt81EnGxtIwddrLvagHro+2fNvxkwbpjq5A3wyQ+gLrfSzH/Y KTomoal2jpKmaYruHlUHtmWO7sg24Ru5RrMcsBrwLBoHalnXfgR9X7/7p97TRz7jutV+h4zrj1dv uhy/AFBLAwQUAAAACACHTuJAfublIPcAAADhAQAAEwAAAFtDb250ZW50X1R5cGVzXS54bWyVkUFO wzAQRfdI3MHyFiVOu0AIJemCtEtAqBxgZE8Si2RseUxob4+TthtEkVjaM/+/J7vcHMZBTBjYOqrk Ki+kQNLOWOoq+b7fZQ9ScAQyMDjCSh6R5aa+vSn3R48sUpq4kn2M/lEp1j2OwLnzSGnSujBCTMfQ KQ/6AzpU66K4V9pRRIpZnDtkXTbYwucQxfaQrk8mAQeW4um0OLMqCd4PVkNMpmoi84OSnQl5Si47 3FvPd0lDql8J8+Q64Jx7SU8TrEHxCiE+w5g0lAmsjPuigFP+d8lsOXLm2tZqzJvATYq94XSxutaO a9c4/d/y7ZK6dKvlg+pvUEsBAhQAFAAAAAgAh07iQH7m5SD3AAAA4QEAABMAAAAAAAAAAQAgAAAA PwQAAFtDb250ZW50X1R5cGVzXS54bWxQSwECFAAKAAAAAACHTuJAAAAAAAAAAAAAAAAABgAAAAAA AAAAABAAAAAhAwAAX3JlbHMvUEsBAhQAFAAAAAgAh07iQIoUZjzRAAAAlAEAAAsAAAAAAAAAAQAg AAAARQMAAF9yZWxzLy5yZWxzUEsBAhQACgAAAAAAh07iQAAAAAAAAAAAAAAAAAQAAAAAAAAAAAAQ AAAAFgAAAGRycy9QSwECFAAUAAAACACHTuJA40y+gNQAAAAGAQAADwAAAAAAAAABACAAAAA4AAAA ZHJzL2Rvd25yZXYueG1sUEsBAhQAFAAAAAgAh07iQHA+D+G8AQAAgAMAAA4AAAAAAAAAAQAgAAAA OQEAAGRycy9lMm9Eb2MueG1sUEsFBgAAAAAGAAYAWQEAAGcFAAAAAA== ">
                <v:fill on="f" focussize="0,0"/>
                <v:stroke weight="1pt" color="#FF0000" joinstyle="round"/>
                <v:imagedata o:title=""/>
                <o:lock v:ext="edit" aspectratio="f"/>
              </v:line>
            </w:pict>
          </mc:Fallback>
        </mc:AlternateContent>
      </w:r>
    </w:p>
    <w:p>
      <w:pPr>
        <w:spacing w:line="660" w:lineRule="exact"/>
        <w:jc w:val="center"/>
        <w:rPr>
          <w:rFonts w:ascii="方正小标宋简体" w:hAnsi="文星仿宋" w:eastAsia="方正小标宋简体" w:cs="方正小标宋简体"/>
          <w:b/>
          <w:color w:val="000000"/>
          <w:sz w:val="44"/>
          <w:szCs w:val="44"/>
        </w:rPr>
      </w:pPr>
    </w:p>
    <w:p>
      <w:pPr>
        <w:spacing w:line="500" w:lineRule="exact"/>
        <w:jc w:val="center"/>
        <w:rPr>
          <w:rFonts w:ascii="方正小标宋简体" w:hAnsi="文星仿宋" w:eastAsia="方正小标宋简体" w:cs="方正小标宋简体"/>
          <w:b/>
          <w:sz w:val="44"/>
          <w:szCs w:val="44"/>
        </w:rPr>
      </w:pPr>
      <w:bookmarkStart w:id="1" w:name="标题"/>
      <w:bookmarkEnd w:id="1"/>
      <w:r>
        <w:rPr>
          <w:rFonts w:hint="eastAsia" w:ascii="方正小标宋简体" w:hAnsi="文星仿宋" w:eastAsia="方正小标宋简体" w:cs="方正小标宋简体"/>
          <w:b/>
          <w:sz w:val="44"/>
          <w:szCs w:val="44"/>
          <w:lang w:bidi="ar"/>
        </w:rPr>
        <w:t>济宁市人民政府办公室</w:t>
      </w:r>
    </w:p>
    <w:p>
      <w:pPr>
        <w:spacing w:line="500" w:lineRule="exact"/>
        <w:jc w:val="center"/>
        <w:rPr>
          <w:rFonts w:ascii="方正小标宋简体" w:hAnsi="文星仿宋" w:eastAsia="方正小标宋简体" w:cs="方正小标宋简体"/>
          <w:b/>
          <w:sz w:val="44"/>
          <w:szCs w:val="44"/>
        </w:rPr>
      </w:pPr>
      <w:bookmarkStart w:id="2" w:name="BKsubject"/>
      <w:bookmarkEnd w:id="2"/>
      <w:bookmarkStart w:id="3" w:name="Content"/>
      <w:r>
        <w:rPr>
          <w:rFonts w:hint="eastAsia" w:ascii="方正小标宋简体" w:hAnsi="文星仿宋" w:eastAsia="方正小标宋简体" w:cs="方正小标宋简体"/>
          <w:b/>
          <w:sz w:val="44"/>
          <w:szCs w:val="44"/>
          <w:lang w:bidi="ar"/>
        </w:rPr>
        <w:t>关于印发济宁市2023年数字强市工作要点的通    知</w:t>
      </w:r>
    </w:p>
    <w:p>
      <w:pPr>
        <w:spacing w:line="500" w:lineRule="exact"/>
        <w:ind w:firstLine="384" w:firstLineChars="200"/>
        <w:rPr>
          <w:b/>
        </w:rPr>
      </w:pPr>
    </w:p>
    <w:p>
      <w:pPr>
        <w:spacing w:line="500" w:lineRule="exact"/>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lang w:bidi="ar"/>
        </w:rPr>
        <w:t>各县（市、区）人民政府，济宁高新区、太白湖新区、济宁经济技术开发区管委会，市</w:t>
      </w:r>
      <w:r>
        <w:rPr>
          <w:rFonts w:hint="default" w:ascii="方正仿宋简体" w:hAnsi="文星仿宋" w:eastAsia="方正仿宋简体" w:cs="方正仿宋简体"/>
          <w:b/>
          <w:color w:val="000000"/>
          <w:sz w:val="32"/>
          <w:lang w:bidi="ar"/>
        </w:rPr>
        <w:t>直</w:t>
      </w:r>
      <w:r>
        <w:rPr>
          <w:rFonts w:hint="eastAsia" w:ascii="方正仿宋简体" w:hAnsi="文星仿宋" w:eastAsia="方正仿宋简体" w:cs="方正仿宋简体"/>
          <w:b/>
          <w:color w:val="000000"/>
          <w:sz w:val="32"/>
          <w:lang w:bidi="ar"/>
        </w:rPr>
        <w:t>各部门、单位：</w:t>
      </w:r>
    </w:p>
    <w:bookmarkEnd w:id="3"/>
    <w:p>
      <w:pPr>
        <w:spacing w:line="500" w:lineRule="exact"/>
        <w:ind w:firstLine="624" w:firstLineChars="200"/>
        <w:rPr>
          <w:rFonts w:ascii="方正仿宋简体" w:hAnsi="文星仿宋" w:eastAsia="方正仿宋简体" w:cs="方正仿宋简体"/>
          <w:b/>
          <w:color w:val="000000"/>
        </w:rPr>
      </w:pPr>
      <w:r>
        <w:rPr>
          <w:rFonts w:hint="eastAsia" w:ascii="方正仿宋简体" w:hAnsi="文星仿宋" w:eastAsia="方正仿宋简体" w:cs="方正仿宋简体"/>
          <w:b/>
          <w:sz w:val="32"/>
          <w:szCs w:val="32"/>
          <w:lang w:bidi="ar"/>
        </w:rPr>
        <w:t>《</w:t>
      </w:r>
      <w:r>
        <w:rPr>
          <w:rFonts w:ascii="方正仿宋简体" w:hAnsi="方正仿宋简体" w:eastAsia="方正仿宋简体" w:cs="方正仿宋简体"/>
          <w:b/>
          <w:sz w:val="32"/>
        </w:rPr>
        <w:t>济宁市2023年数字强市工作要点》已经市政府同意，现印发给你们，请认真</w:t>
      </w:r>
      <w:r>
        <w:rPr>
          <w:rFonts w:hint="eastAsia" w:ascii="方正仿宋简体" w:hAnsi="方正仿宋简体" w:eastAsia="方正仿宋简体" w:cs="方正仿宋简体"/>
          <w:b/>
          <w:sz w:val="32"/>
          <w:lang w:eastAsia="zh-CN"/>
        </w:rPr>
        <w:t>组织落实</w:t>
      </w:r>
      <w:r>
        <w:rPr>
          <w:rFonts w:ascii="方正仿宋简体" w:hAnsi="方正仿宋简体" w:eastAsia="方正仿宋简体" w:cs="方正仿宋简体"/>
          <w:b/>
          <w:sz w:val="32"/>
        </w:rPr>
        <w:t>。</w:t>
      </w:r>
    </w:p>
    <w:p>
      <w:pPr>
        <w:spacing w:line="500" w:lineRule="exact"/>
        <w:ind w:firstLine="624" w:firstLineChars="200"/>
        <w:rPr>
          <w:rFonts w:hint="eastAsia" w:ascii="方正仿宋简体" w:hAnsi="文星仿宋" w:eastAsia="方正仿宋简体" w:cs="方正仿宋简体"/>
          <w:b/>
          <w:color w:val="000000"/>
          <w:sz w:val="32"/>
          <w:szCs w:val="32"/>
        </w:rPr>
      </w:pPr>
    </w:p>
    <w:p>
      <w:pPr>
        <w:spacing w:line="500" w:lineRule="exact"/>
        <w:ind w:firstLine="624" w:firstLineChars="200"/>
        <w:rPr>
          <w:rFonts w:ascii="方正仿宋简体" w:hAnsi="文星仿宋" w:eastAsia="方正仿宋简体" w:cs="方正仿宋简体"/>
          <w:b/>
          <w:color w:val="000000"/>
          <w:sz w:val="32"/>
          <w:szCs w:val="32"/>
        </w:rPr>
      </w:pPr>
    </w:p>
    <w:p>
      <w:pPr>
        <w:wordWrap w:val="0"/>
        <w:spacing w:line="600" w:lineRule="exact"/>
        <w:jc w:val="right"/>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szCs w:val="32"/>
          <w:lang w:bidi="ar"/>
        </w:rPr>
        <w:t xml:space="preserve">济宁市人民政府办公室  </w:t>
      </w:r>
      <w:r>
        <w:rPr>
          <w:rFonts w:hint="default" w:ascii="方正仿宋简体" w:hAnsi="文星仿宋" w:eastAsia="方正仿宋简体" w:cs="方正仿宋简体"/>
          <w:b/>
          <w:color w:val="000000"/>
          <w:sz w:val="32"/>
          <w:szCs w:val="32"/>
          <w:lang w:bidi="ar"/>
        </w:rPr>
        <w:t xml:space="preserve"> </w:t>
      </w:r>
      <w:r>
        <w:rPr>
          <w:rFonts w:hint="eastAsia" w:ascii="方正仿宋简体" w:hAnsi="文星仿宋" w:eastAsia="方正仿宋简体" w:cs="方正仿宋简体"/>
          <w:b/>
          <w:color w:val="000000"/>
          <w:sz w:val="32"/>
          <w:szCs w:val="32"/>
          <w:lang w:bidi="ar"/>
        </w:rPr>
        <w:t xml:space="preserve">    </w:t>
      </w:r>
    </w:p>
    <w:p>
      <w:pPr>
        <w:wordWrap w:val="0"/>
        <w:spacing w:line="600" w:lineRule="exact"/>
        <w:jc w:val="right"/>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szCs w:val="32"/>
          <w:lang w:bidi="ar"/>
        </w:rPr>
        <w:t>2023年</w:t>
      </w:r>
      <w:r>
        <w:rPr>
          <w:rFonts w:hint="default" w:ascii="方正仿宋简体" w:hAnsi="文星仿宋" w:eastAsia="方正仿宋简体" w:cs="方正仿宋简体"/>
          <w:b/>
          <w:color w:val="000000"/>
          <w:sz w:val="32"/>
          <w:szCs w:val="32"/>
          <w:lang w:bidi="ar"/>
        </w:rPr>
        <w:t>9</w:t>
      </w:r>
      <w:r>
        <w:rPr>
          <w:rFonts w:hint="eastAsia" w:ascii="方正仿宋简体" w:hAnsi="文星仿宋" w:eastAsia="方正仿宋简体" w:cs="方正仿宋简体"/>
          <w:b/>
          <w:color w:val="000000"/>
          <w:sz w:val="32"/>
          <w:szCs w:val="32"/>
          <w:lang w:bidi="ar"/>
        </w:rPr>
        <w:t>月</w:t>
      </w:r>
      <w:r>
        <w:rPr>
          <w:rFonts w:hint="default" w:ascii="方正仿宋简体" w:hAnsi="文星仿宋" w:eastAsia="方正仿宋简体" w:cs="方正仿宋简体"/>
          <w:b/>
          <w:color w:val="000000"/>
          <w:sz w:val="32"/>
          <w:szCs w:val="32"/>
          <w:lang w:bidi="ar"/>
        </w:rPr>
        <w:t>8</w:t>
      </w:r>
      <w:r>
        <w:rPr>
          <w:rFonts w:hint="eastAsia" w:ascii="方正仿宋简体" w:hAnsi="文星仿宋" w:eastAsia="方正仿宋简体" w:cs="方正仿宋简体"/>
          <w:b/>
          <w:color w:val="000000"/>
          <w:sz w:val="32"/>
          <w:szCs w:val="32"/>
          <w:lang w:bidi="ar"/>
        </w:rPr>
        <w:t xml:space="preserve">日 </w:t>
      </w:r>
      <w:r>
        <w:rPr>
          <w:rFonts w:hint="default" w:ascii="方正仿宋简体" w:hAnsi="文星仿宋" w:eastAsia="方正仿宋简体" w:cs="方正仿宋简体"/>
          <w:b/>
          <w:color w:val="000000"/>
          <w:sz w:val="32"/>
          <w:szCs w:val="32"/>
          <w:lang w:bidi="ar"/>
        </w:rPr>
        <w:t xml:space="preserve">  </w:t>
      </w:r>
      <w:r>
        <w:rPr>
          <w:rFonts w:hint="eastAsia" w:ascii="方正仿宋简体" w:hAnsi="文星仿宋" w:eastAsia="方正仿宋简体" w:cs="方正仿宋简体"/>
          <w:b/>
          <w:color w:val="000000"/>
          <w:sz w:val="32"/>
          <w:szCs w:val="32"/>
          <w:lang w:bidi="ar"/>
        </w:rPr>
        <w:t xml:space="preserve">       </w:t>
      </w:r>
    </w:p>
    <w:p>
      <w:pPr>
        <w:spacing w:line="600" w:lineRule="exact"/>
        <w:ind w:firstLine="624" w:firstLineChars="200"/>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szCs w:val="32"/>
          <w:lang w:bidi="ar"/>
        </w:rPr>
        <w:t>（此件公开发布）</w:t>
      </w:r>
    </w:p>
    <w:p>
      <w:pPr>
        <w:spacing w:line="590" w:lineRule="exact"/>
        <w:jc w:val="center"/>
        <w:rPr>
          <w:rFonts w:ascii="方正仿宋简体" w:hAnsi="文星仿宋" w:eastAsia="方正仿宋简体" w:cs="方正仿宋简体"/>
          <w:b/>
          <w:color w:val="000000"/>
        </w:rPr>
      </w:pPr>
    </w:p>
    <w:p>
      <w:pPr>
        <w:spacing w:line="590" w:lineRule="exact"/>
        <w:jc w:val="center"/>
        <w:rPr>
          <w:rFonts w:ascii="方正仿宋简体" w:hAnsi="文星仿宋" w:eastAsia="方正仿宋简体" w:cs="方正仿宋简体"/>
          <w:b/>
          <w:color w:val="000000"/>
        </w:rPr>
      </w:pPr>
      <w:r>
        <w:rPr>
          <w:rFonts w:hint="eastAsia" w:ascii="方正小标宋简体" w:hAnsi="文星仿宋" w:eastAsia="方正小标宋简体" w:cs="方正小标宋简体"/>
          <w:b/>
          <w:sz w:val="44"/>
          <w:szCs w:val="44"/>
          <w:lang w:bidi="ar"/>
        </w:rPr>
        <w:t>济宁市2023年数字强市工作要点</w:t>
      </w:r>
    </w:p>
    <w:p>
      <w:pPr>
        <w:spacing w:line="590" w:lineRule="exact"/>
        <w:rPr>
          <w:rFonts w:ascii="方正仿宋简体" w:hAnsi="文星仿宋" w:eastAsia="方正仿宋简体" w:cs="方正仿宋简体"/>
          <w:b/>
          <w:color w:val="000000"/>
        </w:rPr>
      </w:pPr>
    </w:p>
    <w:p>
      <w:pPr>
        <w:adjustRightInd w:val="0"/>
        <w:spacing w:line="590" w:lineRule="exact"/>
        <w:ind w:firstLine="624" w:firstLineChars="200"/>
        <w:rPr>
          <w:rFonts w:hint="eastAsia" w:ascii="方正仿宋简体" w:hAnsi="文星仿宋" w:eastAsia="方正仿宋简体" w:cs="方正仿宋简体"/>
          <w:b/>
          <w:color w:val="000000"/>
          <w:spacing w:val="-6"/>
          <w:sz w:val="32"/>
          <w:szCs w:val="32"/>
        </w:rPr>
      </w:pPr>
      <w:r>
        <w:rPr>
          <w:rFonts w:hint="default" w:ascii="方正仿宋简体" w:hAnsi="文星仿宋" w:eastAsia="方正仿宋简体" w:cs="方正仿宋简体"/>
          <w:b/>
          <w:color w:val="000000"/>
          <w:sz w:val="32"/>
          <w:szCs w:val="32"/>
        </w:rPr>
        <w:t>为全面</w:t>
      </w:r>
      <w:r>
        <w:rPr>
          <w:rFonts w:hint="eastAsia" w:ascii="方正仿宋简体" w:hAnsi="文星仿宋" w:eastAsia="方正仿宋简体" w:cs="方正仿宋简体"/>
          <w:b/>
          <w:color w:val="000000"/>
          <w:sz w:val="32"/>
          <w:szCs w:val="32"/>
        </w:rPr>
        <w:t>落实数字中国、数字强省规划部署，</w:t>
      </w:r>
      <w:r>
        <w:rPr>
          <w:rFonts w:hint="default" w:ascii="方正仿宋简体" w:hAnsi="文星仿宋" w:eastAsia="方正仿宋简体" w:cs="方正仿宋简体"/>
          <w:b/>
          <w:color w:val="000000"/>
          <w:sz w:val="32"/>
          <w:szCs w:val="32"/>
        </w:rPr>
        <w:t>抢抓数字化发展机遇</w:t>
      </w:r>
      <w:r>
        <w:rPr>
          <w:rFonts w:hint="default" w:ascii="方正仿宋简体" w:hAnsi="文星仿宋" w:eastAsia="方正仿宋简体" w:cs="方正仿宋简体"/>
          <w:b/>
          <w:color w:val="000000"/>
          <w:spacing w:val="-6"/>
          <w:sz w:val="32"/>
          <w:szCs w:val="32"/>
        </w:rPr>
        <w:t>，</w:t>
      </w:r>
      <w:r>
        <w:rPr>
          <w:rFonts w:hint="eastAsia" w:ascii="方正仿宋简体" w:hAnsi="文星仿宋" w:eastAsia="方正仿宋简体" w:cs="方正仿宋简体"/>
          <w:b/>
          <w:color w:val="000000"/>
          <w:spacing w:val="-6"/>
          <w:sz w:val="32"/>
          <w:szCs w:val="32"/>
        </w:rPr>
        <w:t>着力实施“1316”行动，</w:t>
      </w:r>
      <w:r>
        <w:rPr>
          <w:rFonts w:hint="default" w:ascii="方正仿宋简体" w:hAnsi="文星仿宋" w:eastAsia="方正仿宋简体" w:cs="方正仿宋简体"/>
          <w:b/>
          <w:color w:val="000000"/>
          <w:spacing w:val="-6"/>
          <w:sz w:val="32"/>
          <w:szCs w:val="32"/>
        </w:rPr>
        <w:t>深入</w:t>
      </w:r>
      <w:r>
        <w:rPr>
          <w:rFonts w:hint="eastAsia" w:ascii="方正仿宋简体" w:hAnsi="文星仿宋" w:eastAsia="方正仿宋简体" w:cs="方正仿宋简体"/>
          <w:b/>
          <w:color w:val="000000"/>
          <w:spacing w:val="-6"/>
          <w:sz w:val="32"/>
          <w:szCs w:val="32"/>
        </w:rPr>
        <w:t>推进“数字产业化、产业数字化、数据价值化、治理服务数字化”</w:t>
      </w:r>
      <w:r>
        <w:rPr>
          <w:rFonts w:hint="default" w:ascii="方正仿宋简体" w:hAnsi="文星仿宋" w:eastAsia="方正仿宋简体" w:cs="方正仿宋简体"/>
          <w:b/>
          <w:color w:val="000000"/>
          <w:spacing w:val="-6"/>
          <w:sz w:val="32"/>
          <w:szCs w:val="32"/>
        </w:rPr>
        <w:t>，加快数字强市建设，根据《</w:t>
      </w:r>
      <w:r>
        <w:rPr>
          <w:rFonts w:hint="eastAsia" w:ascii="方正仿宋简体" w:hAnsi="文星仿宋" w:eastAsia="方正仿宋简体" w:cs="方正仿宋简体"/>
          <w:b/>
          <w:color w:val="000000"/>
          <w:spacing w:val="-6"/>
          <w:sz w:val="32"/>
          <w:szCs w:val="32"/>
        </w:rPr>
        <w:t>数字济宁“十四五”发展规划</w:t>
      </w:r>
      <w:r>
        <w:rPr>
          <w:rFonts w:hint="default" w:ascii="方正仿宋简体" w:hAnsi="文星仿宋" w:eastAsia="方正仿宋简体" w:cs="方正仿宋简体"/>
          <w:b/>
          <w:color w:val="000000"/>
          <w:spacing w:val="-6"/>
          <w:sz w:val="32"/>
          <w:szCs w:val="32"/>
        </w:rPr>
        <w:t>》工作安排，</w:t>
      </w:r>
      <w:r>
        <w:rPr>
          <w:rFonts w:hint="eastAsia" w:ascii="方正仿宋简体" w:hAnsi="文星仿宋" w:eastAsia="方正仿宋简体" w:cs="方正仿宋简体"/>
          <w:b/>
          <w:color w:val="000000"/>
          <w:spacing w:val="-6"/>
          <w:sz w:val="32"/>
          <w:szCs w:val="32"/>
          <w:lang w:eastAsia="zh-CN"/>
        </w:rPr>
        <w:t>结合我市实际，</w:t>
      </w:r>
      <w:r>
        <w:rPr>
          <w:rFonts w:hint="default" w:ascii="方正仿宋简体" w:hAnsi="文星仿宋" w:eastAsia="方正仿宋简体" w:cs="方正仿宋简体"/>
          <w:b/>
          <w:color w:val="000000"/>
          <w:spacing w:val="-6"/>
          <w:sz w:val="32"/>
          <w:szCs w:val="32"/>
        </w:rPr>
        <w:t>制定本工作要点</w:t>
      </w:r>
      <w:r>
        <w:rPr>
          <w:rFonts w:hint="eastAsia" w:ascii="方正仿宋简体" w:hAnsi="文星仿宋" w:eastAsia="方正仿宋简体" w:cs="方正仿宋简体"/>
          <w:b/>
          <w:color w:val="000000"/>
          <w:spacing w:val="-6"/>
          <w:sz w:val="32"/>
          <w:szCs w:val="32"/>
        </w:rPr>
        <w:t>。</w:t>
      </w:r>
    </w:p>
    <w:p>
      <w:pPr>
        <w:adjustRightInd w:val="0"/>
        <w:spacing w:line="590" w:lineRule="exact"/>
        <w:ind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一、总体目标</w:t>
      </w:r>
    </w:p>
    <w:p>
      <w:pPr>
        <w:adjustRightInd w:val="0"/>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坚持全市一盘棋，以系统观念进行整体规划，统筹推进数字强市建设，加快培育数字经济新动能、打造数字政府新模式、优化数字社会新服务。2023年</w:t>
      </w:r>
      <w:r>
        <w:rPr>
          <w:rFonts w:hint="default" w:ascii="方正仿宋简体" w:hAnsi="文星仿宋" w:eastAsia="方正仿宋简体" w:cs="方正仿宋简体"/>
          <w:b/>
          <w:color w:val="000000"/>
          <w:sz w:val="32"/>
          <w:szCs w:val="32"/>
        </w:rPr>
        <w:t>，</w:t>
      </w:r>
      <w:r>
        <w:rPr>
          <w:rFonts w:hint="eastAsia" w:ascii="方正仿宋简体" w:hAnsi="文星仿宋" w:eastAsia="方正仿宋简体" w:cs="方正仿宋简体"/>
          <w:b/>
          <w:color w:val="000000"/>
          <w:sz w:val="32"/>
          <w:szCs w:val="32"/>
        </w:rPr>
        <w:t>数字经济核心产业规模突破600亿元、增长20%以上，数字经济实力显著增强；依申请政务服务事项网办覆盖率和全程网办率分别达到95%、85%，“爱山东”济宁分厅用户日活跃数超过50万，机关对公事项网办率达到60%以上，社会治理“一网统管”、政府决策“一网支撑”体系建设取得突破，数字政府迈入全省第一方阵；教育、健康、交通、文旅等高品质服务供给能力迈上新台阶，四星级智慧城市覆盖率达到50%以上，智慧社区覆盖率达到75%以上，数字社会成效大幅提升。</w:t>
      </w:r>
    </w:p>
    <w:p>
      <w:pPr>
        <w:adjustRightInd w:val="0"/>
        <w:spacing w:line="590" w:lineRule="exact"/>
        <w:ind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二、聚焦三个走在前列，全面引领数字强市建设</w:t>
      </w:r>
    </w:p>
    <w:p>
      <w:pPr>
        <w:adjustRightInd w:val="0"/>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（一）推进数字经济走在前列</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1. 加快传统产业数字化转型升级。推进数字赋能农业升级，认证一批智慧农业、智慧畜牧业应用基地，打造一批数字农业典型应用场景，大力推广绿色高效农机具及农用北斗终端及辅助驾驶系统应用，引导传统农业机械智能化改造提升。推进数字赋能制造业升级，实施“智改数转”行动，推动1000家企业开展数字化改造，培育3家省级工业互联网平台，评选20家工业互联网示范标杆，推动30家企业、1000台工业设备上云上平台。推进数字赋能商贸业升级，建设智慧商圈基础大数据平台，完成太白楼路商圈数据归集治理，培育4家亿元以上电商企业，打造2家以上省级电商直播基地和供应链基地。</w:t>
      </w:r>
      <w:r>
        <w:rPr>
          <w:rFonts w:hint="eastAsia" w:ascii="方正楷体简体" w:hAnsi="文星仿宋" w:eastAsia="方正楷体简体" w:cs="方正仿宋简体"/>
          <w:b/>
          <w:color w:val="000000"/>
          <w:sz w:val="32"/>
          <w:szCs w:val="32"/>
        </w:rPr>
        <w:t>（牵头单位：市工业和信息化局、市农业农村局、市商务局、市畜牧兽医事业发展中心；责任单位：市直有关部门</w:t>
      </w:r>
      <w:r>
        <w:rPr>
          <w:rFonts w:hint="default" w:ascii="方正楷体简体" w:hAnsi="文星仿宋" w:eastAsia="方正楷体简体" w:cs="方正仿宋简体"/>
          <w:b/>
          <w:color w:val="000000"/>
          <w:sz w:val="32"/>
          <w:szCs w:val="32"/>
        </w:rPr>
        <w:t>、</w:t>
      </w:r>
      <w:r>
        <w:rPr>
          <w:rFonts w:hint="eastAsia" w:ascii="方正楷体简体" w:hAnsi="文星仿宋" w:eastAsia="方正楷体简体" w:cs="方正仿宋简体"/>
          <w:b/>
          <w:color w:val="000000"/>
          <w:sz w:val="32"/>
          <w:szCs w:val="32"/>
        </w:rPr>
        <w:t>单位，各县市区）</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2. 加快数字产业化布局。壮大电子信息制造业，以集成电路等产业为重点，加快实施珞石机器人二期等20个支撑性项目，做强机器人、集成电路2条产业链。提升软件和信息技术服务业，高水平建设新风光电子科技等5家省级软件工程技术中心。打造数字经济特色园区，加快兖州区省级工业互联网园区建设，培育济宁高新区为省级工业互联网园区，支持济宁高新区建设省级软件名园，</w:t>
      </w:r>
      <w:r>
        <w:rPr>
          <w:rFonts w:hint="default" w:ascii="方正仿宋简体" w:hAnsi="文星仿宋" w:eastAsia="方正仿宋简体" w:cs="方正仿宋简体"/>
          <w:b/>
          <w:color w:val="000000"/>
          <w:sz w:val="32"/>
          <w:szCs w:val="32"/>
        </w:rPr>
        <w:t>支</w:t>
      </w:r>
      <w:r>
        <w:rPr>
          <w:rFonts w:hint="eastAsia" w:ascii="方正仿宋简体" w:hAnsi="文星仿宋" w:eastAsia="方正仿宋简体" w:cs="方正仿宋简体"/>
          <w:b/>
          <w:color w:val="000000"/>
          <w:sz w:val="32"/>
          <w:szCs w:val="32"/>
        </w:rPr>
        <w:t>持现有7家省级数字经济园区</w:t>
      </w:r>
      <w:r>
        <w:rPr>
          <w:rFonts w:hint="default" w:ascii="方正仿宋简体" w:hAnsi="文星仿宋" w:eastAsia="方正仿宋简体" w:cs="方正仿宋简体"/>
          <w:b/>
          <w:color w:val="000000"/>
          <w:sz w:val="32"/>
          <w:szCs w:val="32"/>
        </w:rPr>
        <w:t>建设</w:t>
      </w:r>
      <w:r>
        <w:rPr>
          <w:rFonts w:hint="eastAsia" w:ascii="方正仿宋简体" w:hAnsi="文星仿宋" w:eastAsia="方正仿宋简体" w:cs="方正仿宋简体"/>
          <w:b/>
          <w:color w:val="000000"/>
          <w:sz w:val="32"/>
          <w:szCs w:val="32"/>
        </w:rPr>
        <w:t>，新增2家省级数字经济园区。</w:t>
      </w:r>
      <w:r>
        <w:rPr>
          <w:rFonts w:hint="eastAsia" w:ascii="方正楷体简体" w:hAnsi="文星仿宋" w:eastAsia="方正楷体简体" w:cs="方正仿宋简体"/>
          <w:b/>
          <w:color w:val="000000"/>
          <w:sz w:val="32"/>
          <w:szCs w:val="32"/>
        </w:rPr>
        <w:t>（牵头单位：市工业和信息化局；责任单位：各县市区）</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3. 聚力打造国内领先的近零碳排放产业园示范区。加快培育和壮大新能源产业集群，发挥山东时代</w:t>
      </w:r>
      <w:r>
        <w:rPr>
          <w:rFonts w:hint="default" w:ascii="方正仿宋简体" w:hAnsi="文星仿宋" w:eastAsia="方正仿宋简体" w:cs="方正仿宋简体"/>
          <w:b/>
          <w:color w:val="000000"/>
          <w:sz w:val="32"/>
          <w:szCs w:val="32"/>
        </w:rPr>
        <w:t>新能源科技有限公司</w:t>
      </w:r>
      <w:r>
        <w:rPr>
          <w:rFonts w:hint="eastAsia" w:ascii="方正仿宋简体" w:hAnsi="文星仿宋" w:eastAsia="方正仿宋简体" w:cs="方正仿宋简体"/>
          <w:b/>
          <w:color w:val="000000"/>
          <w:sz w:val="32"/>
          <w:szCs w:val="32"/>
        </w:rPr>
        <w:t>带动作用，坚持协同发力、聚链成群，延链强链拓展新能源产业版图。以宁德时代储能产业项目为引领，积极助推济宁（颜店）科技产业园打造近零碳示范区。创新低碳管理，建立健全颜店科技产业园碳管理制度，通过数字赋能智慧园区体系，编制碳排放清单，建设园区碳排放信息管理平台，强化全生命周期碳排放智慧监测与管理。加强园区企业碳排放的统计、监测、报告和核查体系建设，建立完善企业碳排放数据管理和分析系统，挖掘碳减排潜力。积极开展低碳技术创新与应用，建立低碳技术创新研发、孵化和推广应用的公共综合服务平台，推动企业低碳技术的研发、应用和产业化发展。</w:t>
      </w:r>
      <w:r>
        <w:rPr>
          <w:rFonts w:hint="eastAsia" w:ascii="方正楷体简体" w:hAnsi="文星仿宋" w:eastAsia="方正楷体简体" w:cs="方正仿宋简体"/>
          <w:b/>
          <w:color w:val="000000"/>
          <w:sz w:val="32"/>
          <w:szCs w:val="32"/>
        </w:rPr>
        <w:t>〔牵头单位：济宁（颜店）科技产业园、市生态环境局〕</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4. 加快数字基础设施建设。实施“千兆入户、万兆入园”和“双千兆”工程，建设高质量、大规模独立组网5G网络，年内新建成开通5G基站2600个以上，形成城区深度覆盖、典型应用场景精准覆盖、乡镇驻地全覆盖的5G网络格局。大力发展高品质千兆光纤网络，建设万兆无源光网络及以上端口数占比达到40%。推动35千伏及以上公用变电站实现光纤100%覆盖，配电线路自动化配置率达95%。开展数据中心提质增效行动，建设“中国移动（济宁）鲁南算力中心”，提升算力支撑能力。</w:t>
      </w:r>
      <w:r>
        <w:rPr>
          <w:rFonts w:hint="eastAsia" w:ascii="方正楷体简体" w:hAnsi="文星仿宋" w:eastAsia="方正楷体简体" w:cs="方正仿宋简体"/>
          <w:b/>
          <w:color w:val="000000"/>
          <w:sz w:val="32"/>
          <w:szCs w:val="32"/>
        </w:rPr>
        <w:t>（牵头单位：市工业和信息化局、市能源局、市信息通信发展办公室、市大数据中心；责任单位：市电信公司、市移动公司、市联通公司、市铁塔公司，各县市区）</w:t>
      </w:r>
    </w:p>
    <w:p>
      <w:pPr>
        <w:adjustRightInd w:val="0"/>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（二）推进数字政府走在前列</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1. 打造普惠便捷的政务服务体系。深化“双全双百”提升工程，持续推进政务服务标准化、规范化、便利化、数字化建设，全面优化线上线下服务供给和办事流程，提升“一次办好”改革成效。塑强“爱山东·济e办”服务品牌，深化窗口端、桌面端、移动端等多渠道“同标同源”建设，提升线上线下融合服务能力，年底前基本实现企业群众在线办事“进一个网、办所有事”，建设“24小时不打烊”的网上政府、掌上政府。加强“无证明城市”建设，深化“鲁通码”和电子证照证明应用，使用频率最高的前100项电子证照证明在政务服务和社会生活场景中全面应用，政务服务证明材料共享率达60%。</w:t>
      </w:r>
      <w:r>
        <w:rPr>
          <w:rFonts w:hint="eastAsia" w:ascii="方正楷体简体" w:hAnsi="文星仿宋" w:eastAsia="方正楷体简体" w:cs="方正仿宋简体"/>
          <w:b/>
          <w:color w:val="000000"/>
          <w:sz w:val="32"/>
          <w:szCs w:val="32"/>
        </w:rPr>
        <w:t>（牵头单位：市政府办公室、市行政审批服务局、市大数据中心；责任单位：市直有关部门</w:t>
      </w:r>
      <w:r>
        <w:rPr>
          <w:rFonts w:hint="default" w:ascii="方正楷体简体" w:hAnsi="文星仿宋" w:eastAsia="方正楷体简体" w:cs="方正仿宋简体"/>
          <w:b/>
          <w:color w:val="000000"/>
          <w:sz w:val="32"/>
          <w:szCs w:val="32"/>
        </w:rPr>
        <w:t>、</w:t>
      </w:r>
      <w:r>
        <w:rPr>
          <w:rFonts w:hint="eastAsia" w:ascii="方正楷体简体" w:hAnsi="文星仿宋" w:eastAsia="方正楷体简体" w:cs="方正仿宋简体"/>
          <w:b/>
          <w:color w:val="000000"/>
          <w:sz w:val="32"/>
          <w:szCs w:val="32"/>
        </w:rPr>
        <w:t>单位，各县市区）</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2. 打造精细智能的社会治理体系。建设社会治理综合信息系统，对接融合12345热线、网格化平台、多元矛盾纠纷化解平台、网络问政、企业诉求“接诉即办”“济时办”小程序等业务系统数据资源，实现对社会治理热点或突发问题的第一时间预警和统一指挥调度。建设完善“一站式”矛盾纠纷多元化解平台，提升“一站式”矛盾纠纷多元化解能力。实施网格化智能化平台融合应用工程，推动网格事项精细化管理，及时预警风险隐患。推进数字法治系统建设，聚焦执法司法规范化集成应用、行政执法监督集成应用、平安基础工作集成应用、执法司法为民集成应用四大集成应用，建设网格化平台、智慧政法平台、平安指数平台、统一地址库平台，提升政法工作现代化水平。实施智慧应急工程，打造“应急大脑”功能，提高灾害事故信息获取、应急通信保障、辅助指挥决策和社会动员能力。加快矿山系统智能化改造，推动煤矿工业互联网应用平台建设，提升煤矿安全生产数字化治理能力，建成东滩等4处国家智能化示范煤矿，智能化开采产量达到80%以上。强化监管执法数字化应用，逐步实现行政执法全流程数字化运行、管理和监督。加快“双随机、一公开”以及信用监管在市场治理领域的融合应用，推动涉企信息统一归集，建立精准靶向的监管机制，实现风险动态评估和分类监管。</w:t>
      </w:r>
      <w:r>
        <w:rPr>
          <w:rFonts w:hint="eastAsia" w:ascii="方正楷体简体" w:hAnsi="文星仿宋" w:eastAsia="方正楷体简体" w:cs="方正仿宋简体"/>
          <w:b/>
          <w:color w:val="000000"/>
          <w:sz w:val="32"/>
          <w:szCs w:val="32"/>
        </w:rPr>
        <w:t>（牵头单位：市委政法委、市发展改革委、市司法局、市自然资源和规划局、市应急局、市市场监管局、市能源局、市社会治理中心；责任单位：各县市区）</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3. 打造系统科学的生态环保体系。聚焦生态环境监测治理，搭建挥发性有机物预警监测网监控平台，优化完善生态环境自动监测网络，提升水气环境质量、重点污染源的全面感知和实时监控能力。围绕自然资源和国土空间开发利用，迭代升级国土空间规划“一张图”监督信息系统、济宁市国土空间基础信息平台，建设济宁市国土空间用途管制审批监管系统，深化空天地一体化自然资源监测监管系统应用。加大企业碳排放数据质量管理，健全排放源统计调查、核算核查、监管制度，形成集约节约、循环高效、普惠共享的绿色低碳发展新格局。</w:t>
      </w:r>
      <w:r>
        <w:rPr>
          <w:rFonts w:hint="eastAsia" w:ascii="方正楷体简体" w:hAnsi="文星仿宋" w:eastAsia="方正楷体简体" w:cs="方正仿宋简体"/>
          <w:b/>
          <w:color w:val="000000"/>
          <w:sz w:val="32"/>
          <w:szCs w:val="32"/>
        </w:rPr>
        <w:t>（牵头单位：市自然资源和规划局、市生态环境局；责任单位：各县市区）</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4. 打造整体高效的机关运行体系。迭代升级全市一体化协同办公平台，优化在线预览、文档编辑等功能。丰富“山东通”应用体系，全市所有非涉密对公业务系统全部接入“山东通”。优化数字机关平台功能，60%以上机关对公事项实现网办。实施机关内部多部门联办“一件事”集成改革，打造10个“一件事”协同应用。推进“数字人大”建设，打造人大智能监督及评价系统，推动人大核心业务和重大任务流程再造。加快“数字政协”建设，优化政协各类业务事项多跨场景协同应用，打造全国数字政协“济宁样板”。加快“数字组工”建设，不断提升组织工作质效。</w:t>
      </w:r>
      <w:r>
        <w:rPr>
          <w:rFonts w:hint="eastAsia" w:ascii="方正楷体简体" w:hAnsi="文星仿宋" w:eastAsia="方正楷体简体" w:cs="方正仿宋简体"/>
          <w:b/>
          <w:color w:val="000000"/>
          <w:sz w:val="32"/>
          <w:szCs w:val="32"/>
        </w:rPr>
        <w:t>（牵头单位：市委办公室、市委组织部、市人大常委会办公室、市政府办公室、市政协办公室、市大数据中心；责任单位：市直有关部门</w:t>
      </w:r>
      <w:r>
        <w:rPr>
          <w:rFonts w:hint="default" w:ascii="方正楷体简体" w:hAnsi="文星仿宋" w:eastAsia="方正楷体简体" w:cs="方正仿宋简体"/>
          <w:b/>
          <w:color w:val="000000"/>
          <w:sz w:val="32"/>
          <w:szCs w:val="32"/>
        </w:rPr>
        <w:t>、</w:t>
      </w:r>
      <w:r>
        <w:rPr>
          <w:rFonts w:hint="eastAsia" w:ascii="方正楷体简体" w:hAnsi="文星仿宋" w:eastAsia="方正楷体简体" w:cs="方正仿宋简体"/>
          <w:b/>
          <w:color w:val="000000"/>
          <w:sz w:val="32"/>
          <w:szCs w:val="32"/>
        </w:rPr>
        <w:t>单位，各县市区）</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5. 打造科学精准的领导决策体系。围绕市委、市政府重大战略部署，建设一批智能辅助决策系统，为智能分析、科学研判和风险防控提供支撑。建立健全经济社会治理数据指标体系，持续提升经济运行、文化旅游等领域数字化监测预警水平，完善智能化监测分析体系，系统刻画分析经济社会运行情况，实现对经济运行情况的动态监测和趋势研判，提升逆周期调节能力。</w:t>
      </w:r>
      <w:r>
        <w:rPr>
          <w:rFonts w:hint="eastAsia" w:ascii="方正楷体简体" w:hAnsi="文星仿宋" w:eastAsia="方正楷体简体" w:cs="方正仿宋简体"/>
          <w:b/>
          <w:color w:val="000000"/>
          <w:sz w:val="32"/>
          <w:szCs w:val="32"/>
        </w:rPr>
        <w:t>（牵头单位：市委办公室、市政府办公室、市发展改革委、市大数据中心；责任单位：市直有关部门</w:t>
      </w:r>
      <w:r>
        <w:rPr>
          <w:rFonts w:hint="default" w:ascii="方正楷体简体" w:hAnsi="文星仿宋" w:eastAsia="方正楷体简体" w:cs="方正仿宋简体"/>
          <w:b/>
          <w:color w:val="000000"/>
          <w:sz w:val="32"/>
          <w:szCs w:val="32"/>
        </w:rPr>
        <w:t>、</w:t>
      </w:r>
      <w:r>
        <w:rPr>
          <w:rFonts w:hint="eastAsia" w:ascii="方正楷体简体" w:hAnsi="文星仿宋" w:eastAsia="方正楷体简体" w:cs="方正仿宋简体"/>
          <w:b/>
          <w:color w:val="000000"/>
          <w:sz w:val="32"/>
          <w:szCs w:val="32"/>
        </w:rPr>
        <w:t>单位，各县市区）</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6. 打造开放共享的数据资源体系。全面深化数据资源“汇、治、用”，健全完善一体化大数据平台，优化视联网平台，完善人口库、法人库、地理空间库等基础数据库，分行业、分领域建设专题库，确保数据应汇尽汇。推进“一人一档”“一企一档”建设，建立“一数一源、多源校核”的数据治理机制，强化数据治理，持续提升数据质量，确保数据可用、好用。探索开展公共数据分级分类确权和授权运营，推进数据要素流通交易，打造数据价值化典型案例。强化公共视频监控资源统筹建设管理，提升公共视频监控建设质量和共享应用能力。</w:t>
      </w:r>
      <w:r>
        <w:rPr>
          <w:rFonts w:hint="eastAsia" w:ascii="方正楷体简体" w:hAnsi="文星仿宋" w:eastAsia="方正楷体简体" w:cs="方正仿宋简体"/>
          <w:b/>
          <w:color w:val="000000"/>
          <w:sz w:val="32"/>
          <w:szCs w:val="32"/>
        </w:rPr>
        <w:t>（牵头单位：市大数据中心；责任单位：市直有关部门</w:t>
      </w:r>
      <w:r>
        <w:rPr>
          <w:rFonts w:hint="default" w:ascii="方正楷体简体" w:hAnsi="文星仿宋" w:eastAsia="方正楷体简体" w:cs="方正仿宋简体"/>
          <w:b/>
          <w:color w:val="000000"/>
          <w:sz w:val="32"/>
          <w:szCs w:val="32"/>
        </w:rPr>
        <w:t>、</w:t>
      </w:r>
      <w:r>
        <w:rPr>
          <w:rFonts w:hint="eastAsia" w:ascii="方正楷体简体" w:hAnsi="文星仿宋" w:eastAsia="方正楷体简体" w:cs="方正仿宋简体"/>
          <w:b/>
          <w:color w:val="000000"/>
          <w:sz w:val="32"/>
          <w:szCs w:val="32"/>
        </w:rPr>
        <w:t>单位，各县市区）</w:t>
      </w:r>
    </w:p>
    <w:p>
      <w:pPr>
        <w:adjustRightInd w:val="0"/>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（三）推进数字社会走在前列</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1. 强化数字公共服务供给。围绕教育、医疗、就业、社保、医保、文化、体育、救助等重点领域，推动新一代信息技术与公共服务深度融合，打造一批典型数字化应用场景，构建全生命周期的数字化惠民服务体系。推进“智慧校园”建设，“智慧校园”覆盖率达到80%以上。推进智慧医疗建设，实现全市范围内二级及以上综合医疗机构间医疗健康信息互通共享；推进医疗收费电子结算凭证创新应用，年底前二级及以上定点医疗机构实现医保电子凭证全流程应用，省内异地就医手工报销线上申请办理。提升智慧出行水平，进一步优化智能交通大数据中心，完善城区智能交通管控系统；搭建交通运输大数据资源中心和交通运输数据支撑平台，为公众出行、决策支持、监测预警和应急指挥等应用提供服务。加快智慧景区建设，推动重点景区票务系统整合应用，优化在线购票服务体验。用好省低收入人口监测信息平台，提升对符合条件的困难群众救助服务效能。（</w:t>
      </w:r>
      <w:r>
        <w:rPr>
          <w:rFonts w:hint="eastAsia" w:ascii="方正楷体简体" w:hAnsi="文星仿宋" w:eastAsia="方正楷体简体" w:cs="方正仿宋简体"/>
          <w:b/>
          <w:color w:val="000000"/>
          <w:sz w:val="32"/>
          <w:szCs w:val="32"/>
        </w:rPr>
        <w:t>牵头单位：市教育局、市公安局、市民政局、市交通运输局、市文化和旅游局、市卫生健康委、市医保局；责任单位：市直有关部门</w:t>
      </w:r>
      <w:r>
        <w:rPr>
          <w:rFonts w:hint="default" w:ascii="方正楷体简体" w:hAnsi="文星仿宋" w:eastAsia="方正楷体简体" w:cs="方正仿宋简体"/>
          <w:b/>
          <w:color w:val="000000"/>
          <w:sz w:val="32"/>
          <w:szCs w:val="32"/>
        </w:rPr>
        <w:t>、</w:t>
      </w:r>
      <w:r>
        <w:rPr>
          <w:rFonts w:hint="eastAsia" w:ascii="方正楷体简体" w:hAnsi="文星仿宋" w:eastAsia="方正楷体简体" w:cs="方正仿宋简体"/>
          <w:b/>
          <w:color w:val="000000"/>
          <w:sz w:val="32"/>
          <w:szCs w:val="32"/>
        </w:rPr>
        <w:t>单位，各县市区）</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2. 实施新型智慧城市提标提速工程。擦亮“运河之都、慧治济宁”智慧城市品牌，推动市本级、邹城、鱼台、</w:t>
      </w:r>
      <w:r>
        <w:rPr>
          <w:rFonts w:hint="default" w:ascii="方正仿宋简体" w:hAnsi="文星仿宋" w:eastAsia="方正仿宋简体" w:cs="方正仿宋简体"/>
          <w:b/>
          <w:color w:val="000000"/>
          <w:sz w:val="32"/>
          <w:szCs w:val="32"/>
        </w:rPr>
        <w:t>济宁</w:t>
      </w:r>
      <w:r>
        <w:rPr>
          <w:rFonts w:hint="eastAsia" w:ascii="方正仿宋简体" w:hAnsi="文星仿宋" w:eastAsia="方正仿宋简体" w:cs="方正仿宋简体"/>
          <w:b/>
          <w:color w:val="000000"/>
          <w:sz w:val="32"/>
          <w:szCs w:val="32"/>
        </w:rPr>
        <w:t>高新</w:t>
      </w:r>
      <w:r>
        <w:rPr>
          <w:rFonts w:hint="default" w:ascii="方正仿宋简体" w:hAnsi="文星仿宋" w:eastAsia="方正仿宋简体" w:cs="方正仿宋简体"/>
          <w:b/>
          <w:color w:val="000000"/>
          <w:sz w:val="32"/>
          <w:szCs w:val="32"/>
        </w:rPr>
        <w:t>区</w:t>
      </w:r>
      <w:r>
        <w:rPr>
          <w:rFonts w:hint="eastAsia" w:ascii="方正仿宋简体" w:hAnsi="文星仿宋" w:eastAsia="方正仿宋简体" w:cs="方正仿宋简体"/>
          <w:b/>
          <w:color w:val="000000"/>
          <w:sz w:val="32"/>
          <w:szCs w:val="32"/>
        </w:rPr>
        <w:t>向四星级成长型提档升级，曲阜、微山、汶上、梁山、泗水向四星级基础型提档升级。深入推进智慧应用场景建设，围绕黄河流域生态保护和高质量发展、文化两创等领域打造一批特色应用。优化升级城市大脑，整合学校、医院、车位、公厕等公共场所信息，打造城市资源“一张图”，方便群众出行；构建城市综合体征指标体系，建立城市重点建筑物数字孪生模型，全面监测城市运行态势，直观反映城市运行情况。搭建无人机服务平台，围绕重点项目、城市防汛、应急指挥等领域进行定时巡航，自动生成全景地图，赋能各级各部门智慧应用场景建设。</w:t>
      </w:r>
      <w:r>
        <w:rPr>
          <w:rFonts w:hint="eastAsia" w:ascii="方正楷体简体" w:hAnsi="文星仿宋" w:eastAsia="方正楷体简体" w:cs="方正仿宋简体"/>
          <w:b/>
          <w:color w:val="000000"/>
          <w:sz w:val="32"/>
          <w:szCs w:val="32"/>
        </w:rPr>
        <w:t>（牵头单位：市大数据中心；责任单位：市直有关部门，各县市区）</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3. 实施智慧社区提质增效工程。优化智慧社区管理平台功能，深化平台部署应用，丰富平台服务功能。新建134个基础型智慧社区、18个成长型智慧社区、14个标杆型智慧社区，打通城市治理和民生服务“最后一公里”，推进智慧社区全域覆盖试点，形成一批可复制、可推广的经验做法，推动智慧便民设施进社区，探索智慧社区可持续运营模式。</w:t>
      </w:r>
      <w:r>
        <w:rPr>
          <w:rFonts w:hint="eastAsia" w:ascii="方正楷体简体" w:hAnsi="文星仿宋" w:eastAsia="方正楷体简体" w:cs="方正仿宋简体"/>
          <w:b/>
          <w:color w:val="000000"/>
          <w:sz w:val="32"/>
          <w:szCs w:val="32"/>
        </w:rPr>
        <w:t>（牵头单位：市大数据中心；责任单位：各县市区）</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4. 深入推进数字乡村建设。推动千兆光网、5G网络和物联网向有需求的农村地区延伸，年底前全市行政村5G网络通达率达70%以上，乡镇驻地实现千兆光网全覆盖。全面推进数字校园建设，建设一批城乡中小学优质资源共享的教学模式改革示范项目。推动政务服务智能终端向乡村覆盖，推进涉农服务事项在线办理。</w:t>
      </w:r>
      <w:r>
        <w:rPr>
          <w:rFonts w:hint="eastAsia" w:ascii="方正楷体简体" w:hAnsi="文星仿宋" w:eastAsia="方正楷体简体" w:cs="方正仿宋简体"/>
          <w:b/>
          <w:color w:val="000000"/>
          <w:sz w:val="32"/>
          <w:szCs w:val="32"/>
        </w:rPr>
        <w:t>（牵头单位：市委网信办；责任单位：市教育局、市工业和信息化局、市行政审批服务局）</w:t>
      </w:r>
    </w:p>
    <w:p>
      <w:pPr>
        <w:adjustRightInd w:val="0"/>
        <w:spacing w:line="590" w:lineRule="exact"/>
        <w:ind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三、实施十大应用创新，全面提升惠民利企水平</w:t>
      </w:r>
    </w:p>
    <w:p>
      <w:pPr>
        <w:adjustRightInd w:val="0"/>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（一）建设工业经济高质量发展大数据平台</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优化整合“亩产效益”综合评价大数据平台、助企攀登系统等平台，搭建全市综合性工业经济高质量发展大数据平台，运用信息化手段实现对工业运行、助企攀登、项目建设、产业发展管理的数字化提升，为全市工业高质量发展提供科学决策和支撑。</w:t>
      </w:r>
      <w:r>
        <w:rPr>
          <w:rFonts w:hint="eastAsia" w:ascii="方正楷体简体" w:hAnsi="文星仿宋" w:eastAsia="方正楷体简体" w:cs="方正仿宋简体"/>
          <w:b/>
          <w:color w:val="000000"/>
          <w:sz w:val="32"/>
          <w:szCs w:val="32"/>
        </w:rPr>
        <w:t>（牵头单位：市制造强市建设指挥部、市工业和信息化局、市大数据中心；责任单位：市发展改革委、市财政局、市地方金融监管局、人民银行济宁市分行、</w:t>
      </w:r>
      <w:r>
        <w:rPr>
          <w:rFonts w:hint="default" w:ascii="方正楷体简体" w:hAnsi="文星仿宋" w:eastAsia="方正楷体简体" w:cs="方正仿宋简体"/>
          <w:b/>
          <w:color w:val="000000"/>
          <w:sz w:val="32"/>
          <w:szCs w:val="32"/>
        </w:rPr>
        <w:t>国网济宁</w:t>
      </w:r>
      <w:r>
        <w:rPr>
          <w:rFonts w:hint="eastAsia" w:ascii="方正楷体简体" w:hAnsi="文星仿宋" w:eastAsia="方正楷体简体" w:cs="方正仿宋简体"/>
          <w:b/>
          <w:color w:val="000000"/>
          <w:sz w:val="32"/>
          <w:szCs w:val="32"/>
        </w:rPr>
        <w:t>供电公司）</w:t>
      </w:r>
    </w:p>
    <w:p>
      <w:pPr>
        <w:adjustRightInd w:val="0"/>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（二）建设文旅大数据平台</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加强智慧文旅大数据平台建设，完善客源监测、客源分析等功能，通过描绘游客画像数据，为旅游线路个性化推荐、精准营销、文旅专项治理等提供决策支撑。</w:t>
      </w:r>
      <w:r>
        <w:rPr>
          <w:rFonts w:hint="eastAsia" w:ascii="方正楷体简体" w:hAnsi="文星仿宋" w:eastAsia="方正楷体简体" w:cs="方正仿宋简体"/>
          <w:b/>
          <w:color w:val="000000"/>
          <w:sz w:val="32"/>
          <w:szCs w:val="32"/>
        </w:rPr>
        <w:t>（牵头单位：市文化和旅游局、市大数据中心；责任单位：市直有关部门</w:t>
      </w:r>
      <w:r>
        <w:rPr>
          <w:rFonts w:hint="default" w:ascii="方正楷体简体" w:hAnsi="文星仿宋" w:eastAsia="方正楷体简体" w:cs="方正仿宋简体"/>
          <w:b/>
          <w:color w:val="000000"/>
          <w:sz w:val="32"/>
          <w:szCs w:val="32"/>
        </w:rPr>
        <w:t>、</w:t>
      </w:r>
      <w:r>
        <w:rPr>
          <w:rFonts w:hint="eastAsia" w:ascii="方正楷体简体" w:hAnsi="文星仿宋" w:eastAsia="方正楷体简体" w:cs="方正仿宋简体"/>
          <w:b/>
          <w:color w:val="000000"/>
          <w:sz w:val="32"/>
          <w:szCs w:val="32"/>
        </w:rPr>
        <w:t>单位）</w:t>
      </w:r>
    </w:p>
    <w:p>
      <w:pPr>
        <w:adjustRightInd w:val="0"/>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（三）建设智慧交通</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优化智慧停车服务，接入不少于2万个停车泊位，通过“AI泊济宁”APP、微信公众号实现车位查询、一键导航、快捷泊车等服务，缓解停车难问题。推进智慧公交建设，实现公交线路来车实时信息预报全覆盖。依托济宁城区智能交通（一期）项目，进一步完善城区智能交通管控系统，从建设、应用、数据融合三个方面出发，强化科技赋能，不断提升个人交通出行服务水平。加快“智慧机场”建设，围绕“1+3+4+N”的总体框架，推动新机场“智能化、平台化、服务化、数据化”建设，打造“智慧机场”示范项目。</w:t>
      </w:r>
      <w:r>
        <w:rPr>
          <w:rFonts w:hint="eastAsia" w:ascii="方正楷体简体" w:hAnsi="文星仿宋" w:eastAsia="方正楷体简体" w:cs="方正仿宋简体"/>
          <w:b/>
          <w:color w:val="000000"/>
          <w:sz w:val="32"/>
          <w:szCs w:val="32"/>
        </w:rPr>
        <w:t>（牵头单位：市公安局、市住房城乡建设局、市交通运输局、市民航事业发展中心）</w:t>
      </w:r>
    </w:p>
    <w:p>
      <w:pPr>
        <w:adjustRightInd w:val="0"/>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（四）建设城市基础设施生命线</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建设桥梁在线监测系统，整合燃气、供水、排水、供电、热力、桥梁等管理信息，全面掌握城市基础设施运行状况，构建城市运行管理“一网统管”体系，提升城市安全运行管理科学化、精细化、智能化水平。</w:t>
      </w:r>
      <w:r>
        <w:rPr>
          <w:rFonts w:hint="eastAsia" w:ascii="方正楷体简体" w:hAnsi="文星仿宋" w:eastAsia="方正楷体简体" w:cs="方正仿宋简体"/>
          <w:b/>
          <w:color w:val="000000"/>
          <w:sz w:val="32"/>
          <w:szCs w:val="32"/>
        </w:rPr>
        <w:t>（牵头单位：市城市管理局、市住房城乡建设局）</w:t>
      </w:r>
    </w:p>
    <w:p>
      <w:pPr>
        <w:adjustRightInd w:val="0"/>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（五）建设应急融合通信平台</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打通应急系统手机、卫星电话、图传单兵、视频监控等多种通信方式的传输渠道，建立立体化覆盖的音视频协调工作体系。规划建设通信前突车、大型通信指挥车、物资装备运输车3车编组的移动应急通信指挥中心，满足应急、消防、公安现场应急指挥通信需求，实现突发事件快速上报、统一部署、迅速处置和联合指挥，提高全市应急指挥效率。</w:t>
      </w:r>
      <w:r>
        <w:rPr>
          <w:rFonts w:hint="eastAsia" w:ascii="方正楷体简体" w:hAnsi="文星仿宋" w:eastAsia="方正楷体简体" w:cs="方正仿宋简体"/>
          <w:b/>
          <w:color w:val="000000"/>
          <w:sz w:val="32"/>
          <w:szCs w:val="32"/>
        </w:rPr>
        <w:t>（牵头单位：市应急局；责任单位：市公安局）</w:t>
      </w:r>
    </w:p>
    <w:p>
      <w:pPr>
        <w:adjustRightInd w:val="0"/>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（六）建设惠民补贴直通车</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打通人社、民政、教育等9个部门数据，推动政策智配告知、业务主动提醒、事项智配直享，实现高龄补贴、经济困难老年人补贴等25类补贴“免申即享”“无感智办”。</w:t>
      </w:r>
      <w:r>
        <w:rPr>
          <w:rFonts w:hint="eastAsia" w:ascii="方正楷体简体" w:hAnsi="文星仿宋" w:eastAsia="方正楷体简体" w:cs="方正仿宋简体"/>
          <w:b/>
          <w:color w:val="000000"/>
          <w:sz w:val="32"/>
          <w:szCs w:val="32"/>
        </w:rPr>
        <w:t>（牵头单位：市大数据中心；责任单位：市直有关部门</w:t>
      </w:r>
      <w:r>
        <w:rPr>
          <w:rFonts w:hint="default" w:ascii="方正楷体简体" w:hAnsi="文星仿宋" w:eastAsia="方正楷体简体" w:cs="方正仿宋简体"/>
          <w:b/>
          <w:color w:val="000000"/>
          <w:sz w:val="32"/>
          <w:szCs w:val="32"/>
        </w:rPr>
        <w:t>、</w:t>
      </w:r>
      <w:r>
        <w:rPr>
          <w:rFonts w:hint="eastAsia" w:ascii="方正楷体简体" w:hAnsi="文星仿宋" w:eastAsia="方正楷体简体" w:cs="方正仿宋简体"/>
          <w:b/>
          <w:color w:val="000000"/>
          <w:sz w:val="32"/>
          <w:szCs w:val="32"/>
        </w:rPr>
        <w:t>单位）</w:t>
      </w:r>
    </w:p>
    <w:p>
      <w:pPr>
        <w:adjustRightInd w:val="0"/>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（七）打造电子病历“掌上查”</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打破医疗健康数据共享壁垒，在“爱山东”移动政务服务平台上线电子病历“掌上查”专区，实现电子病历、门诊处方、检验检查、住院费用、体检报告等主要医疗健康数据一键检索，强化个人隐私保护，从应用入口、后台存储、数据传输3个维度筑牢电子病历“掌上查”数据安全体系。</w:t>
      </w:r>
      <w:r>
        <w:rPr>
          <w:rFonts w:hint="eastAsia" w:ascii="方正楷体简体" w:hAnsi="文星仿宋" w:eastAsia="方正楷体简体" w:cs="方正仿宋简体"/>
          <w:b/>
          <w:color w:val="000000"/>
          <w:sz w:val="32"/>
          <w:szCs w:val="32"/>
        </w:rPr>
        <w:t>（牵头单位：市政府办公室、市卫生健康委、市大数据中心）</w:t>
      </w:r>
    </w:p>
    <w:p>
      <w:pPr>
        <w:adjustRightInd w:val="0"/>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（八）优化提升智慧港航</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推动济宁港梁山港区铁水联运智慧化港口示范工程建设。加快电子航道图服务功能建设，落实京杭运河济宁段智慧航道应用试点任务。充分发挥“济港通”平台集聚作用，整合产业链上下游资源，搭建港航贸易平台，助推港航经济绿色低碳高质量发展。</w:t>
      </w:r>
      <w:r>
        <w:rPr>
          <w:rFonts w:hint="eastAsia" w:ascii="方正楷体简体" w:hAnsi="文星仿宋" w:eastAsia="方正楷体简体" w:cs="方正仿宋简体"/>
          <w:b/>
          <w:color w:val="000000"/>
          <w:sz w:val="32"/>
          <w:szCs w:val="32"/>
        </w:rPr>
        <w:t>（牵头单位：市交通运输局、市港航事业发展中心、济宁能源发展集团）</w:t>
      </w:r>
    </w:p>
    <w:p>
      <w:pPr>
        <w:adjustRightInd w:val="0"/>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（九）优化提</w:t>
      </w:r>
      <w:r>
        <w:rPr>
          <w:rFonts w:hint="eastAsia" w:ascii="方正楷体简体" w:hAnsi="方正楷体简体" w:eastAsia="方正楷体简体" w:cs="方正楷体简体"/>
          <w:b/>
          <w:color w:val="000000"/>
          <w:sz w:val="32"/>
          <w:szCs w:val="32"/>
        </w:rPr>
        <w:t>升“惠企通”</w:t>
      </w:r>
      <w:r>
        <w:rPr>
          <w:rFonts w:hint="eastAsia" w:ascii="方正楷体简体" w:hAnsi="文星仿宋" w:eastAsia="方正楷体简体" w:cs="方正仿宋简体"/>
          <w:b/>
          <w:color w:val="000000"/>
          <w:sz w:val="32"/>
          <w:szCs w:val="32"/>
        </w:rPr>
        <w:t>平台</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建立</w:t>
      </w:r>
      <w:r>
        <w:rPr>
          <w:rFonts w:hint="eastAsia" w:ascii="方正仿宋简体" w:hAnsi="方正仿宋简体" w:eastAsia="方正仿宋简体" w:cs="方正仿宋简体"/>
          <w:b/>
          <w:color w:val="000000"/>
          <w:sz w:val="32"/>
          <w:szCs w:val="32"/>
        </w:rPr>
        <w:t>“惠企通”推进专班，升级“惠企通”服务平台，健全企业库、政策库，深化企业大数据综合分析应用，推进政策与适用企业自动匹配，全面增强惠企政策“一键直达、免申即享”</w:t>
      </w:r>
      <w:r>
        <w:rPr>
          <w:rFonts w:hint="eastAsia" w:ascii="方正仿宋简体" w:hAnsi="文星仿宋" w:eastAsia="方正仿宋简体" w:cs="方正仿宋简体"/>
          <w:b/>
          <w:color w:val="000000"/>
          <w:sz w:val="32"/>
          <w:szCs w:val="32"/>
        </w:rPr>
        <w:t>服务能力。</w:t>
      </w:r>
      <w:r>
        <w:rPr>
          <w:rFonts w:hint="eastAsia" w:ascii="方正楷体简体" w:hAnsi="文星仿宋" w:eastAsia="方正楷体简体" w:cs="方正仿宋简体"/>
          <w:b/>
          <w:color w:val="000000"/>
          <w:sz w:val="32"/>
          <w:szCs w:val="32"/>
        </w:rPr>
        <w:t>（牵头单位：市政府办公室、市大数据中心；责任单位：市直有关部门</w:t>
      </w:r>
      <w:r>
        <w:rPr>
          <w:rFonts w:hint="default" w:ascii="方正楷体简体" w:hAnsi="文星仿宋" w:eastAsia="方正楷体简体" w:cs="方正仿宋简体"/>
          <w:b/>
          <w:color w:val="000000"/>
          <w:sz w:val="32"/>
          <w:szCs w:val="32"/>
        </w:rPr>
        <w:t>、</w:t>
      </w:r>
      <w:r>
        <w:rPr>
          <w:rFonts w:hint="eastAsia" w:ascii="方正楷体简体" w:hAnsi="文星仿宋" w:eastAsia="方正楷体简体" w:cs="方正仿宋简体"/>
          <w:b/>
          <w:color w:val="000000"/>
          <w:sz w:val="32"/>
          <w:szCs w:val="32"/>
        </w:rPr>
        <w:t>单位，各县市区）</w:t>
      </w:r>
    </w:p>
    <w:p>
      <w:pPr>
        <w:adjustRightInd w:val="0"/>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（十）做大做强金融服务平台</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推动数据在金融服务领域应用，建立中小微企业标签库、资源库，实现金融资源智能匹配。鼓励各类金融机构入驻金融服务平台，创新金融服务产品，建立全市融资服务一张网，开展线上融资服务，助推银企高效对接。</w:t>
      </w:r>
      <w:r>
        <w:rPr>
          <w:rFonts w:hint="eastAsia" w:ascii="方正楷体简体" w:hAnsi="文星仿宋" w:eastAsia="方正楷体简体" w:cs="方正仿宋简体"/>
          <w:b/>
          <w:color w:val="000000"/>
          <w:sz w:val="32"/>
          <w:szCs w:val="32"/>
        </w:rPr>
        <w:t>（牵头单位：市财政局、市地方金融监管局、市大数据中心、</w:t>
      </w:r>
      <w:r>
        <w:rPr>
          <w:rFonts w:hint="default" w:ascii="方正楷体简体" w:hAnsi="文星仿宋" w:eastAsia="方正楷体简体" w:cs="方正仿宋简体"/>
          <w:b/>
          <w:color w:val="000000"/>
          <w:sz w:val="32"/>
          <w:szCs w:val="32"/>
        </w:rPr>
        <w:t>人民银行济宁市分行</w:t>
      </w:r>
      <w:r>
        <w:rPr>
          <w:rFonts w:hint="eastAsia" w:ascii="方正楷体简体" w:hAnsi="文星仿宋" w:eastAsia="方正楷体简体" w:cs="方正仿宋简体"/>
          <w:b/>
          <w:color w:val="000000"/>
          <w:sz w:val="32"/>
          <w:szCs w:val="32"/>
        </w:rPr>
        <w:t>、国家金融监督管理总局济宁监督管理分局）</w:t>
      </w:r>
    </w:p>
    <w:p>
      <w:pPr>
        <w:adjustRightInd w:val="0"/>
        <w:spacing w:line="590" w:lineRule="exact"/>
        <w:ind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四、落实六个支撑保障，全面提升数字强市支撑能力</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（一）强化组织领导保障</w:t>
      </w:r>
      <w:r>
        <w:rPr>
          <w:rFonts w:hint="default" w:ascii="方正楷体简体" w:hAnsi="文星仿宋" w:eastAsia="方正楷体简体" w:cs="方正仿宋简体"/>
          <w:b/>
          <w:color w:val="000000"/>
          <w:sz w:val="32"/>
          <w:szCs w:val="32"/>
        </w:rPr>
        <w:t>。</w:t>
      </w:r>
      <w:r>
        <w:rPr>
          <w:rFonts w:hint="eastAsia" w:ascii="方正仿宋简体" w:hAnsi="文星仿宋" w:eastAsia="方正仿宋简体" w:cs="方正仿宋简体"/>
          <w:b/>
          <w:color w:val="000000"/>
          <w:sz w:val="32"/>
          <w:szCs w:val="32"/>
        </w:rPr>
        <w:t>将数字强市建设作为“一把手”工程推进，进一步健全主要领导亲自抓、分管领导靠上抓的机制，各级各部门统筹本级、本系统项目建设和工作协调，形成上下联动、高效协同的推进机制。健全完善工作协调调度机制，定期召开工作协调会，调度工作进展，晾晒部门工作进度。</w:t>
      </w:r>
      <w:r>
        <w:rPr>
          <w:rFonts w:hint="eastAsia" w:ascii="方正楷体简体" w:hAnsi="文星仿宋" w:eastAsia="方正楷体简体" w:cs="方正仿宋简体"/>
          <w:b/>
          <w:color w:val="000000"/>
          <w:sz w:val="32"/>
          <w:szCs w:val="32"/>
        </w:rPr>
        <w:t>（牵头单位：市大数据中心；责任单位：市直有关部门</w:t>
      </w:r>
      <w:r>
        <w:rPr>
          <w:rFonts w:hint="default" w:ascii="方正楷体简体" w:hAnsi="文星仿宋" w:eastAsia="方正楷体简体" w:cs="方正仿宋简体"/>
          <w:b/>
          <w:color w:val="000000"/>
          <w:sz w:val="32"/>
          <w:szCs w:val="32"/>
        </w:rPr>
        <w:t>、</w:t>
      </w:r>
      <w:r>
        <w:rPr>
          <w:rFonts w:hint="eastAsia" w:ascii="方正楷体简体" w:hAnsi="文星仿宋" w:eastAsia="方正楷体简体" w:cs="方正仿宋简体"/>
          <w:b/>
          <w:color w:val="000000"/>
          <w:sz w:val="32"/>
          <w:szCs w:val="32"/>
        </w:rPr>
        <w:t>单位，各县市区）</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（二）强化人才队伍保障</w:t>
      </w:r>
      <w:r>
        <w:rPr>
          <w:rFonts w:hint="default" w:ascii="方正楷体简体" w:hAnsi="文星仿宋" w:eastAsia="方正楷体简体" w:cs="方正仿宋简体"/>
          <w:b/>
          <w:color w:val="000000"/>
          <w:sz w:val="32"/>
          <w:szCs w:val="32"/>
        </w:rPr>
        <w:t>。</w:t>
      </w:r>
      <w:r>
        <w:rPr>
          <w:rFonts w:hint="eastAsia" w:ascii="方正仿宋简体" w:hAnsi="文星仿宋" w:eastAsia="方正仿宋简体" w:cs="方正仿宋简体"/>
          <w:b/>
          <w:color w:val="000000"/>
          <w:sz w:val="32"/>
          <w:szCs w:val="32"/>
        </w:rPr>
        <w:t>在各级党校（行政学院）主体班次中将大数据知识作为重要培训内容，依托各类网络教育学习平台、知名高校等定期开展大数据专题培训，全面提升各级领导干部数字素养和履职能力。建立全市大数据人才库，切实发挥大数据专家在顶层设计、决策咨询等方面的重要作用。加强校地企合作，积极引进培养新一代信息技术领域急需紧缺高层次人才和创新创业团队，为数字强市建设提供智力支撑。</w:t>
      </w:r>
      <w:r>
        <w:rPr>
          <w:rFonts w:hint="eastAsia" w:ascii="方正楷体简体" w:hAnsi="文星仿宋" w:eastAsia="方正楷体简体" w:cs="方正仿宋简体"/>
          <w:b/>
          <w:color w:val="000000"/>
          <w:sz w:val="32"/>
          <w:szCs w:val="32"/>
        </w:rPr>
        <w:t>（牵头单位：市委组织部、市委党校、市人力资源社会保障局、市大数据中心；责任单位：市直有关部门</w:t>
      </w:r>
      <w:r>
        <w:rPr>
          <w:rFonts w:hint="default" w:ascii="方正楷体简体" w:hAnsi="文星仿宋" w:eastAsia="方正楷体简体" w:cs="方正仿宋简体"/>
          <w:b/>
          <w:color w:val="000000"/>
          <w:sz w:val="32"/>
          <w:szCs w:val="32"/>
        </w:rPr>
        <w:t>、</w:t>
      </w:r>
      <w:r>
        <w:rPr>
          <w:rFonts w:hint="eastAsia" w:ascii="方正楷体简体" w:hAnsi="文星仿宋" w:eastAsia="方正楷体简体" w:cs="方正仿宋简体"/>
          <w:b/>
          <w:color w:val="000000"/>
          <w:sz w:val="32"/>
          <w:szCs w:val="32"/>
        </w:rPr>
        <w:t>单位，各县市区）</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（三）强化资金投入保障</w:t>
      </w:r>
      <w:r>
        <w:rPr>
          <w:rFonts w:hint="default" w:ascii="方正楷体简体" w:hAnsi="文星仿宋" w:eastAsia="方正楷体简体" w:cs="方正仿宋简体"/>
          <w:b/>
          <w:color w:val="000000"/>
          <w:sz w:val="32"/>
          <w:szCs w:val="32"/>
        </w:rPr>
        <w:t>。</w:t>
      </w:r>
      <w:r>
        <w:rPr>
          <w:rFonts w:hint="eastAsia" w:ascii="方正仿宋简体" w:hAnsi="文星仿宋" w:eastAsia="方正仿宋简体" w:cs="方正仿宋简体"/>
          <w:b/>
          <w:color w:val="000000"/>
          <w:sz w:val="32"/>
          <w:szCs w:val="32"/>
        </w:rPr>
        <w:t>将数字强市建设作为财政支出重点保障领域，统筹各级相关专项资金做好经费保障。建立多元化可持续投融资机制，鼓励引导各类社会资本积极参与数字强市建设。</w:t>
      </w:r>
      <w:r>
        <w:rPr>
          <w:rFonts w:hint="eastAsia" w:ascii="方正楷体简体" w:hAnsi="文星仿宋" w:eastAsia="方正楷体简体" w:cs="方正仿宋简体"/>
          <w:b/>
          <w:color w:val="000000"/>
          <w:sz w:val="32"/>
          <w:szCs w:val="32"/>
        </w:rPr>
        <w:t>（牵头单位：市财政局、市大数据中心）</w:t>
      </w:r>
    </w:p>
    <w:p>
      <w:pPr>
        <w:adjustRightInd w:val="0"/>
        <w:spacing w:line="59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（四）强化舆论宣传保障</w:t>
      </w:r>
      <w:r>
        <w:rPr>
          <w:rFonts w:hint="default" w:ascii="方正楷体简体" w:hAnsi="文星仿宋" w:eastAsia="方正楷体简体" w:cs="方正仿宋简体"/>
          <w:b/>
          <w:color w:val="000000"/>
          <w:sz w:val="32"/>
          <w:szCs w:val="32"/>
        </w:rPr>
        <w:t>。</w:t>
      </w:r>
      <w:r>
        <w:rPr>
          <w:rFonts w:hint="eastAsia" w:ascii="方正仿宋简体" w:hAnsi="文星仿宋" w:eastAsia="方正仿宋简体" w:cs="方正仿宋简体"/>
          <w:b/>
          <w:color w:val="000000"/>
          <w:sz w:val="32"/>
          <w:szCs w:val="32"/>
        </w:rPr>
        <w:t>加大宣传力度，加大与各级媒体合作力度，着力讲好“数字强市故事”。积极开展进社区、进园区、进校园等活动，全面提升公民数字素养，营造全民参与、共建共享的数字强市建设氛围。</w:t>
      </w:r>
      <w:r>
        <w:rPr>
          <w:rFonts w:hint="eastAsia" w:ascii="方正楷体简体" w:hAnsi="文星仿宋" w:eastAsia="方正楷体简体" w:cs="方正仿宋简体"/>
          <w:b/>
          <w:color w:val="000000"/>
          <w:sz w:val="32"/>
          <w:szCs w:val="32"/>
        </w:rPr>
        <w:t>（牵头单位：市大数据中心）</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（五）强化网络安全保障</w:t>
      </w:r>
      <w:r>
        <w:rPr>
          <w:rFonts w:hint="default" w:ascii="方正楷体简体" w:hAnsi="文星仿宋" w:eastAsia="方正楷体简体" w:cs="方正仿宋简体"/>
          <w:b/>
          <w:color w:val="000000"/>
          <w:sz w:val="32"/>
          <w:szCs w:val="32"/>
        </w:rPr>
        <w:t>。</w:t>
      </w:r>
      <w:r>
        <w:rPr>
          <w:rFonts w:hint="eastAsia" w:ascii="方正仿宋简体" w:hAnsi="文星仿宋" w:eastAsia="方正仿宋简体" w:cs="方正仿宋简体"/>
          <w:b/>
          <w:color w:val="000000"/>
          <w:sz w:val="32"/>
          <w:szCs w:val="32"/>
        </w:rPr>
        <w:t>建立全市政务领域网络安全态势感知体系，提升全市一体化安全监测能力。推进密码基础设施和密码支撑平台建设，提升密码基础设施支撑能力。加快政务云灾备体系建设，完成关键数据同城和异地灾备。完善安全事件应急工作机制，不断提升安全防护水平和应急处置能力。</w:t>
      </w:r>
      <w:r>
        <w:rPr>
          <w:rFonts w:hint="eastAsia" w:ascii="方正楷体简体" w:hAnsi="文星仿宋" w:eastAsia="方正楷体简体" w:cs="方正仿宋简体"/>
          <w:b/>
          <w:color w:val="000000"/>
          <w:sz w:val="32"/>
          <w:szCs w:val="32"/>
        </w:rPr>
        <w:t>（牵头单位：市委办公室、市委网信办、市公安局、市大数据中心；责任单位：市直有关部门</w:t>
      </w:r>
      <w:r>
        <w:rPr>
          <w:rFonts w:hint="default" w:ascii="方正楷体简体" w:hAnsi="文星仿宋" w:eastAsia="方正楷体简体" w:cs="方正仿宋简体"/>
          <w:b/>
          <w:color w:val="000000"/>
          <w:sz w:val="32"/>
          <w:szCs w:val="32"/>
        </w:rPr>
        <w:t>、</w:t>
      </w:r>
      <w:r>
        <w:rPr>
          <w:rFonts w:hint="eastAsia" w:ascii="方正楷体简体" w:hAnsi="文星仿宋" w:eastAsia="方正楷体简体" w:cs="方正仿宋简体"/>
          <w:b/>
          <w:color w:val="000000"/>
          <w:sz w:val="32"/>
          <w:szCs w:val="32"/>
        </w:rPr>
        <w:t>单位，各县市区）</w:t>
      </w:r>
    </w:p>
    <w:p>
      <w:pPr>
        <w:adjustRightInd w:val="0"/>
        <w:spacing w:line="590" w:lineRule="exact"/>
        <w:ind w:firstLine="624" w:firstLineChars="200"/>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（六）强化工作督导调度</w:t>
      </w:r>
      <w:r>
        <w:rPr>
          <w:rFonts w:hint="default" w:ascii="方正楷体简体" w:hAnsi="文星仿宋" w:eastAsia="方正楷体简体" w:cs="方正仿宋简体"/>
          <w:b/>
          <w:color w:val="000000"/>
          <w:sz w:val="32"/>
          <w:szCs w:val="32"/>
        </w:rPr>
        <w:t>。</w:t>
      </w:r>
      <w:r>
        <w:rPr>
          <w:rFonts w:hint="eastAsia" w:ascii="方正仿宋简体" w:hAnsi="文星仿宋" w:eastAsia="方正仿宋简体" w:cs="方正仿宋简体"/>
          <w:b/>
          <w:color w:val="000000"/>
          <w:sz w:val="32"/>
          <w:szCs w:val="32"/>
        </w:rPr>
        <w:t>健全公开、透明、公正的常态化督导调度机制，将数字强市建设作为市委、市政府重点督查事项，定期对各级各部门建设任务进行督查、督办，定期通报工作进展。</w:t>
      </w:r>
      <w:r>
        <w:rPr>
          <w:rFonts w:hint="eastAsia" w:ascii="方正楷体简体" w:hAnsi="文星仿宋" w:eastAsia="方正楷体简体" w:cs="方正仿宋简体"/>
          <w:b/>
          <w:color w:val="000000"/>
          <w:sz w:val="32"/>
          <w:szCs w:val="32"/>
        </w:rPr>
        <w:t>（牵头单位：市委办公室、市政府办公室、市大数据中心）</w:t>
      </w:r>
    </w:p>
    <w:p>
      <w:pPr>
        <w:adjustRightInd w:val="0"/>
        <w:spacing w:line="590" w:lineRule="exact"/>
        <w:ind w:firstLine="624" w:firstLineChars="200"/>
        <w:rPr>
          <w:rFonts w:ascii="方正仿宋简体" w:hAnsi="文星仿宋" w:eastAsia="方正仿宋简体" w:cs="方正仿宋简体"/>
          <w:b/>
          <w:color w:val="000000"/>
          <w:sz w:val="32"/>
          <w:szCs w:val="32"/>
        </w:rPr>
      </w:pPr>
    </w:p>
    <w:p>
      <w:pPr>
        <w:adjustRightInd w:val="0"/>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附件：1. 数字强市建设重点任务清单（市直部门</w:t>
      </w:r>
      <w:r>
        <w:rPr>
          <w:rFonts w:hint="default" w:ascii="方正仿宋简体" w:hAnsi="文星仿宋" w:eastAsia="方正仿宋简体" w:cs="方正仿宋简体"/>
          <w:b/>
          <w:color w:val="000000"/>
          <w:sz w:val="32"/>
          <w:szCs w:val="32"/>
        </w:rPr>
        <w:t>、</w:t>
      </w:r>
      <w:r>
        <w:rPr>
          <w:rFonts w:hint="eastAsia" w:ascii="方正仿宋简体" w:hAnsi="文星仿宋" w:eastAsia="方正仿宋简体" w:cs="方正仿宋简体"/>
          <w:b/>
          <w:color w:val="000000"/>
          <w:sz w:val="32"/>
          <w:szCs w:val="32"/>
        </w:rPr>
        <w:t>单位）</w:t>
      </w:r>
    </w:p>
    <w:p>
      <w:pPr>
        <w:adjustRightInd w:val="0"/>
        <w:spacing w:line="590" w:lineRule="exact"/>
        <w:ind w:firstLine="1560" w:firstLineChars="500"/>
        <w:rPr>
          <w:rFonts w:hint="eastAsia" w:ascii="方正仿宋简体" w:eastAsia="方正仿宋简体"/>
          <w:b/>
          <w:bCs/>
          <w:sz w:val="24"/>
        </w:rPr>
      </w:pPr>
      <w:r>
        <w:rPr>
          <w:rFonts w:hint="eastAsia" w:ascii="方正仿宋简体" w:hAnsi="文星仿宋" w:eastAsia="方正仿宋简体" w:cs="方正仿宋简体"/>
          <w:b/>
          <w:color w:val="000000"/>
          <w:sz w:val="32"/>
          <w:szCs w:val="32"/>
        </w:rPr>
        <w:t>2. 数字强市建设重点任务清单（县市区）</w:t>
      </w:r>
    </w:p>
    <w:p>
      <w:pPr>
        <w:wordWrap w:val="0"/>
        <w:spacing w:line="600" w:lineRule="exact"/>
        <w:ind w:firstLine="464" w:firstLineChars="200"/>
        <w:rPr>
          <w:rFonts w:hint="eastAsia" w:ascii="方正仿宋简体" w:eastAsia="方正仿宋简体"/>
          <w:b/>
          <w:bCs/>
          <w:sz w:val="24"/>
        </w:rPr>
      </w:pPr>
    </w:p>
    <w:p>
      <w:pPr>
        <w:spacing w:line="600" w:lineRule="exact"/>
        <w:ind w:firstLine="464" w:firstLineChars="200"/>
        <w:rPr>
          <w:rFonts w:hint="eastAsia" w:ascii="方正仿宋简体" w:eastAsia="方正仿宋简体"/>
          <w:b/>
          <w:bCs/>
          <w:sz w:val="24"/>
        </w:rPr>
      </w:pPr>
    </w:p>
    <w:p>
      <w:pPr>
        <w:spacing w:line="600" w:lineRule="exact"/>
        <w:ind w:firstLine="464" w:firstLineChars="200"/>
        <w:rPr>
          <w:rFonts w:hint="eastAsia" w:ascii="方正仿宋简体" w:eastAsia="方正仿宋简体"/>
          <w:b/>
          <w:bCs/>
          <w:sz w:val="24"/>
        </w:rPr>
      </w:pPr>
    </w:p>
    <w:p>
      <w:pPr>
        <w:spacing w:line="600" w:lineRule="exact"/>
        <w:ind w:firstLine="464" w:firstLineChars="200"/>
        <w:rPr>
          <w:rFonts w:hint="eastAsia" w:ascii="方正仿宋简体" w:eastAsia="方正仿宋简体"/>
          <w:b/>
          <w:bCs/>
          <w:sz w:val="24"/>
        </w:rPr>
        <w:sectPr>
          <w:footerReference r:id="rId7" w:type="first"/>
          <w:headerReference r:id="rId3" w:type="default"/>
          <w:footerReference r:id="rId5" w:type="default"/>
          <w:headerReference r:id="rId4" w:type="even"/>
          <w:footerReference r:id="rId6" w:type="even"/>
          <w:pgSz w:w="11906" w:h="16838"/>
          <w:pgMar w:top="1814" w:right="1588" w:bottom="1191" w:left="1588" w:header="0" w:footer="1559" w:gutter="0"/>
          <w:pgNumType w:fmt="numberInDash"/>
          <w:cols w:space="425" w:num="1"/>
          <w:titlePg/>
          <w:docGrid w:type="linesAndChars" w:linePitch="628" w:charSpace="-1683"/>
        </w:sectPr>
      </w:pPr>
    </w:p>
    <w:p>
      <w:pPr>
        <w:spacing w:line="500" w:lineRule="exact"/>
        <w:rPr>
          <w:rFonts w:hint="eastAsia" w:ascii="方正黑体简体" w:hAnsi="方正黑体简体" w:eastAsia="方正黑体简体" w:cs="方正黑体简体"/>
          <w:b/>
          <w:bCs/>
          <w:sz w:val="32"/>
          <w:szCs w:val="32"/>
        </w:rPr>
      </w:pPr>
      <w:r>
        <w:rPr>
          <w:rFonts w:hint="eastAsia" w:ascii="方正黑体简体" w:hAnsi="方正黑体简体" w:eastAsia="方正黑体简体" w:cs="方正黑体简体"/>
          <w:b/>
          <w:bCs/>
          <w:sz w:val="32"/>
          <w:szCs w:val="32"/>
        </w:rPr>
        <w:t>附件1</w:t>
      </w:r>
    </w:p>
    <w:p>
      <w:pPr>
        <w:spacing w:line="500" w:lineRule="exact"/>
        <w:jc w:val="center"/>
        <w:rPr>
          <w:rFonts w:hint="eastAsia" w:ascii="方正仿宋简体" w:eastAsia="方正仿宋简体"/>
          <w:b/>
          <w:bCs/>
          <w:sz w:val="24"/>
        </w:rPr>
      </w:pPr>
      <w:r>
        <w:rPr>
          <w:rFonts w:hint="eastAsia" w:ascii="方正小标宋简体" w:hAnsi="方正小标宋简体" w:eastAsia="方正小标宋简体" w:cs="方正小标宋简体"/>
          <w:b/>
          <w:bCs/>
          <w:sz w:val="44"/>
          <w:szCs w:val="44"/>
        </w:rPr>
        <w:t>数字强市建设重点任务清单（市直部门、单位）</w:t>
      </w:r>
    </w:p>
    <w:tbl>
      <w:tblPr>
        <w:tblStyle w:val="5"/>
        <w:tblW w:w="14055" w:type="dxa"/>
        <w:tblInd w:w="93" w:type="dxa"/>
        <w:tblLayout w:type="autofit"/>
        <w:tblCellMar>
          <w:top w:w="0" w:type="dxa"/>
          <w:left w:w="108" w:type="dxa"/>
          <w:bottom w:w="0" w:type="dxa"/>
          <w:right w:w="108" w:type="dxa"/>
        </w:tblCellMar>
      </w:tblPr>
      <w:tblGrid>
        <w:gridCol w:w="740"/>
        <w:gridCol w:w="2411"/>
        <w:gridCol w:w="680"/>
        <w:gridCol w:w="10224"/>
      </w:tblGrid>
      <w:tr>
        <w:tblPrEx>
          <w:tblCellMar>
            <w:top w:w="0" w:type="dxa"/>
            <w:left w:w="108" w:type="dxa"/>
            <w:bottom w:w="0" w:type="dxa"/>
            <w:right w:w="108" w:type="dxa"/>
          </w:tblCellMar>
        </w:tblPrEx>
        <w:trPr>
          <w:trHeight w:val="403" w:hRule="atLeast"/>
          <w:tblHeader/>
        </w:trPr>
        <w:tc>
          <w:tcPr>
            <w:tcW w:w="740"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方正黑体简体" w:hAnsi="方正黑体简体" w:eastAsia="方正黑体简体" w:cs="方正黑体简体"/>
                <w:b/>
                <w:bCs/>
                <w:sz w:val="24"/>
              </w:rPr>
            </w:pPr>
            <w:r>
              <w:rPr>
                <w:rFonts w:hint="eastAsia" w:ascii="方正黑体简体" w:hAnsi="方正黑体简体" w:eastAsia="方正黑体简体" w:cs="方正黑体简体"/>
                <w:b/>
                <w:bCs/>
                <w:sz w:val="24"/>
              </w:rPr>
              <w:t>序号</w:t>
            </w:r>
          </w:p>
        </w:tc>
        <w:tc>
          <w:tcPr>
            <w:tcW w:w="2411"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hint="eastAsia" w:ascii="方正黑体简体" w:hAnsi="方正黑体简体" w:eastAsia="方正黑体简体" w:cs="方正黑体简体"/>
                <w:b/>
                <w:bCs/>
                <w:sz w:val="24"/>
              </w:rPr>
            </w:pPr>
            <w:r>
              <w:rPr>
                <w:rFonts w:hint="eastAsia" w:ascii="方正黑体简体" w:hAnsi="方正黑体简体" w:eastAsia="方正黑体简体" w:cs="方正黑体简体"/>
                <w:b/>
                <w:bCs/>
                <w:sz w:val="24"/>
              </w:rPr>
              <w:t>部门</w:t>
            </w:r>
          </w:p>
        </w:tc>
        <w:tc>
          <w:tcPr>
            <w:tcW w:w="10904" w:type="dxa"/>
            <w:gridSpan w:val="2"/>
            <w:tcBorders>
              <w:top w:val="single" w:color="auto" w:sz="4" w:space="0"/>
              <w:left w:val="nil"/>
              <w:bottom w:val="single" w:color="auto" w:sz="4" w:space="0"/>
              <w:right w:val="single" w:color="000000" w:sz="4" w:space="0"/>
            </w:tcBorders>
            <w:vAlign w:val="center"/>
          </w:tcPr>
          <w:p>
            <w:pPr>
              <w:widowControl/>
              <w:spacing w:line="320" w:lineRule="exact"/>
              <w:jc w:val="center"/>
              <w:rPr>
                <w:rFonts w:hint="eastAsia" w:ascii="方正黑体简体" w:hAnsi="方正黑体简体" w:eastAsia="方正黑体简体" w:cs="方正黑体简体"/>
                <w:b/>
                <w:bCs/>
                <w:sz w:val="24"/>
              </w:rPr>
            </w:pPr>
            <w:r>
              <w:rPr>
                <w:rFonts w:hint="eastAsia" w:ascii="方正黑体简体" w:hAnsi="方正黑体简体" w:eastAsia="方正黑体简体" w:cs="方正黑体简体"/>
                <w:b/>
                <w:bCs/>
                <w:sz w:val="24"/>
              </w:rPr>
              <w:t>具体任务目标</w:t>
            </w:r>
          </w:p>
        </w:tc>
      </w:tr>
      <w:tr>
        <w:tblPrEx>
          <w:tblCellMar>
            <w:top w:w="0" w:type="dxa"/>
            <w:left w:w="108" w:type="dxa"/>
            <w:bottom w:w="0" w:type="dxa"/>
            <w:right w:w="108" w:type="dxa"/>
          </w:tblCellMar>
        </w:tblPrEx>
        <w:trPr>
          <w:trHeight w:val="499" w:hRule="atLeast"/>
        </w:trPr>
        <w:tc>
          <w:tcPr>
            <w:tcW w:w="14055" w:type="dxa"/>
            <w:gridSpan w:val="4"/>
            <w:tcBorders>
              <w:top w:val="single" w:color="auto" w:sz="4" w:space="0"/>
              <w:left w:val="single" w:color="auto" w:sz="4" w:space="0"/>
              <w:bottom w:val="nil"/>
              <w:right w:val="single" w:color="000000" w:sz="4" w:space="0"/>
            </w:tcBorders>
            <w:vAlign w:val="center"/>
          </w:tcPr>
          <w:p>
            <w:pPr>
              <w:widowControl/>
              <w:spacing w:line="320" w:lineRule="exact"/>
              <w:jc w:val="center"/>
              <w:rPr>
                <w:rFonts w:hint="eastAsia" w:ascii="方正仿宋简体" w:eastAsia="方正仿宋简体"/>
                <w:b/>
                <w:bCs/>
                <w:sz w:val="24"/>
              </w:rPr>
            </w:pPr>
            <w:r>
              <w:rPr>
                <w:rFonts w:hint="eastAsia" w:ascii="方正楷体简体" w:hAnsi="方正楷体简体" w:eastAsia="方正楷体简体" w:cs="方正楷体简体"/>
                <w:b/>
                <w:bCs/>
                <w:sz w:val="24"/>
              </w:rPr>
              <w:t>共性任务</w:t>
            </w:r>
          </w:p>
        </w:tc>
      </w:tr>
      <w:tr>
        <w:tblPrEx>
          <w:tblCellMar>
            <w:top w:w="0" w:type="dxa"/>
            <w:left w:w="108" w:type="dxa"/>
            <w:bottom w:w="0" w:type="dxa"/>
            <w:right w:w="108" w:type="dxa"/>
          </w:tblCellMar>
        </w:tblPrEx>
        <w:trPr>
          <w:trHeight w:val="1651" w:hRule="atLeast"/>
        </w:trPr>
        <w:tc>
          <w:tcPr>
            <w:tcW w:w="740" w:type="dxa"/>
            <w:vMerge w:val="restart"/>
            <w:tcBorders>
              <w:top w:val="single" w:color="auto" w:sz="4" w:space="0"/>
              <w:left w:val="single" w:color="auto" w:sz="4" w:space="0"/>
              <w:bottom w:val="single" w:color="000000"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1</w:t>
            </w:r>
          </w:p>
        </w:tc>
        <w:tc>
          <w:tcPr>
            <w:tcW w:w="2411" w:type="dxa"/>
            <w:vMerge w:val="restart"/>
            <w:tcBorders>
              <w:top w:val="single" w:color="auto" w:sz="4" w:space="0"/>
              <w:left w:val="single" w:color="auto" w:sz="4" w:space="0"/>
              <w:bottom w:val="single" w:color="000000"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市直各部门、单位</w:t>
            </w:r>
          </w:p>
        </w:tc>
        <w:tc>
          <w:tcPr>
            <w:tcW w:w="680"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1</w:t>
            </w:r>
          </w:p>
        </w:tc>
        <w:tc>
          <w:tcPr>
            <w:tcW w:w="10224" w:type="dxa"/>
            <w:tcBorders>
              <w:top w:val="single" w:color="auto" w:sz="4" w:space="0"/>
              <w:left w:val="nil"/>
              <w:bottom w:val="single" w:color="auto" w:sz="4" w:space="0"/>
              <w:right w:val="single" w:color="auto" w:sz="4" w:space="0"/>
            </w:tcBorders>
            <w:vAlign w:val="center"/>
          </w:tcPr>
          <w:p>
            <w:pPr>
              <w:widowControl/>
              <w:spacing w:line="320" w:lineRule="exact"/>
              <w:rPr>
                <w:rFonts w:hint="eastAsia" w:ascii="方正仿宋简体" w:eastAsia="方正仿宋简体"/>
                <w:b/>
                <w:bCs/>
                <w:sz w:val="24"/>
              </w:rPr>
            </w:pPr>
            <w:r>
              <w:rPr>
                <w:rFonts w:hint="eastAsia" w:ascii="方正仿宋简体" w:eastAsia="方正仿宋简体"/>
                <w:b/>
                <w:bCs/>
                <w:sz w:val="24"/>
              </w:rPr>
              <w:t>深入推进数字机关建设，积极推广“山东通”，机关公职人员全部注册并使用，使用全市统一OA办公系统办公，非涉密线上视频会议统一使用“山东通”视频会议系统召开，机关内部事项网办率达到100%，机关对公事项网办率达到60%以上，对公业务系统要全部入驻“山东通”并关闭原有访问渠道。</w:t>
            </w:r>
          </w:p>
        </w:tc>
      </w:tr>
      <w:tr>
        <w:tblPrEx>
          <w:tblCellMar>
            <w:top w:w="0" w:type="dxa"/>
            <w:left w:w="108" w:type="dxa"/>
            <w:bottom w:w="0" w:type="dxa"/>
            <w:right w:w="108" w:type="dxa"/>
          </w:tblCellMar>
        </w:tblPrEx>
        <w:trPr>
          <w:trHeight w:val="965" w:hRule="atLeast"/>
        </w:trPr>
        <w:tc>
          <w:tcPr>
            <w:tcW w:w="740"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2411"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hint="eastAsia" w:ascii="方正仿宋简体" w:eastAsia="方正仿宋简体"/>
                <w:b/>
                <w:bCs/>
                <w:sz w:val="24"/>
              </w:rPr>
            </w:pPr>
            <w:r>
              <w:rPr>
                <w:rFonts w:hint="eastAsia" w:ascii="方正仿宋简体" w:eastAsia="方正仿宋简体"/>
                <w:b/>
                <w:bCs/>
                <w:sz w:val="24"/>
              </w:rPr>
              <w:t>加强“爱山东”移动端推广应用，自建政务服务移动渠道主动向“爱山东”济宁分厅整合，并关停原有访问渠道。</w:t>
            </w:r>
          </w:p>
        </w:tc>
      </w:tr>
      <w:tr>
        <w:tblPrEx>
          <w:tblCellMar>
            <w:top w:w="0" w:type="dxa"/>
            <w:left w:w="108" w:type="dxa"/>
            <w:bottom w:w="0" w:type="dxa"/>
            <w:right w:w="108" w:type="dxa"/>
          </w:tblCellMar>
        </w:tblPrEx>
        <w:trPr>
          <w:trHeight w:val="850" w:hRule="atLeast"/>
        </w:trPr>
        <w:tc>
          <w:tcPr>
            <w:tcW w:w="740"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2411"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hint="eastAsia" w:ascii="方正仿宋简体" w:eastAsia="方正仿宋简体"/>
                <w:b/>
                <w:bCs/>
                <w:sz w:val="24"/>
              </w:rPr>
            </w:pPr>
            <w:r>
              <w:rPr>
                <w:rFonts w:hint="eastAsia" w:ascii="方正仿宋简体" w:eastAsia="方正仿宋简体"/>
                <w:b/>
                <w:bCs/>
                <w:sz w:val="24"/>
              </w:rPr>
              <w:t>加强本部门、本系统数据资源管理，主动向市一体化大数据平台汇聚数据，定期进行更新，及时审核共享申请。</w:t>
            </w:r>
          </w:p>
        </w:tc>
      </w:tr>
      <w:tr>
        <w:tblPrEx>
          <w:tblCellMar>
            <w:top w:w="0" w:type="dxa"/>
            <w:left w:w="108" w:type="dxa"/>
            <w:bottom w:w="0" w:type="dxa"/>
            <w:right w:w="108" w:type="dxa"/>
          </w:tblCellMar>
        </w:tblPrEx>
        <w:trPr>
          <w:trHeight w:val="1119" w:hRule="atLeast"/>
        </w:trPr>
        <w:tc>
          <w:tcPr>
            <w:tcW w:w="740"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2411"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4</w:t>
            </w:r>
          </w:p>
        </w:tc>
        <w:tc>
          <w:tcPr>
            <w:tcW w:w="10224" w:type="dxa"/>
            <w:tcBorders>
              <w:top w:val="nil"/>
              <w:left w:val="nil"/>
              <w:bottom w:val="single" w:color="auto" w:sz="4" w:space="0"/>
              <w:right w:val="single" w:color="auto" w:sz="4" w:space="0"/>
            </w:tcBorders>
            <w:vAlign w:val="center"/>
          </w:tcPr>
          <w:p>
            <w:pPr>
              <w:widowControl/>
              <w:spacing w:line="320" w:lineRule="exact"/>
              <w:rPr>
                <w:rFonts w:hint="eastAsia" w:ascii="方正仿宋简体" w:eastAsia="方正仿宋简体"/>
                <w:b/>
                <w:bCs/>
                <w:sz w:val="24"/>
              </w:rPr>
            </w:pPr>
            <w:r>
              <w:rPr>
                <w:rFonts w:hint="eastAsia" w:ascii="方正仿宋简体" w:eastAsia="方正仿宋简体"/>
                <w:b/>
                <w:bCs/>
                <w:sz w:val="24"/>
              </w:rPr>
              <w:t>积极推进大数据创新应用，按照《关于开展大数据创新应用提升行动的通知》</w:t>
            </w:r>
            <w:r>
              <w:rPr>
                <w:rFonts w:hint="default" w:ascii="方正仿宋简体" w:eastAsia="方正仿宋简体"/>
                <w:b/>
                <w:bCs/>
                <w:sz w:val="24"/>
              </w:rPr>
              <w:t>（</w:t>
            </w:r>
            <w:r>
              <w:rPr>
                <w:rFonts w:hint="eastAsia" w:ascii="方正仿宋简体" w:eastAsia="方正仿宋简体"/>
                <w:b/>
                <w:bCs/>
                <w:sz w:val="24"/>
              </w:rPr>
              <w:t>鲁数字〔2023〕38号</w:t>
            </w:r>
            <w:r>
              <w:rPr>
                <w:rFonts w:hint="default" w:ascii="方正仿宋简体" w:eastAsia="方正仿宋简体"/>
                <w:b/>
                <w:bCs/>
                <w:sz w:val="24"/>
              </w:rPr>
              <w:t>）</w:t>
            </w:r>
            <w:r>
              <w:rPr>
                <w:rFonts w:hint="eastAsia" w:ascii="方正仿宋简体" w:eastAsia="方正仿宋简体"/>
                <w:b/>
                <w:bCs/>
                <w:sz w:val="24"/>
              </w:rPr>
              <w:t>，完成推广复用场景打造，在本领域形成一批数据应用解决方案和典型案例。</w:t>
            </w:r>
          </w:p>
        </w:tc>
      </w:tr>
      <w:tr>
        <w:tblPrEx>
          <w:tblCellMar>
            <w:top w:w="0" w:type="dxa"/>
            <w:left w:w="108" w:type="dxa"/>
            <w:bottom w:w="0" w:type="dxa"/>
            <w:right w:w="108" w:type="dxa"/>
          </w:tblCellMar>
        </w:tblPrEx>
        <w:trPr>
          <w:trHeight w:val="993" w:hRule="atLeast"/>
        </w:trPr>
        <w:tc>
          <w:tcPr>
            <w:tcW w:w="740"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2411"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5</w:t>
            </w:r>
          </w:p>
        </w:tc>
        <w:tc>
          <w:tcPr>
            <w:tcW w:w="10224" w:type="dxa"/>
            <w:tcBorders>
              <w:top w:val="nil"/>
              <w:left w:val="nil"/>
              <w:bottom w:val="single" w:color="auto" w:sz="4" w:space="0"/>
              <w:right w:val="single" w:color="auto" w:sz="4" w:space="0"/>
            </w:tcBorders>
            <w:vAlign w:val="center"/>
          </w:tcPr>
          <w:p>
            <w:pPr>
              <w:widowControl/>
              <w:spacing w:line="320" w:lineRule="exact"/>
              <w:rPr>
                <w:rFonts w:hint="eastAsia" w:ascii="方正仿宋简体" w:eastAsia="方正仿宋简体"/>
                <w:b/>
                <w:bCs/>
                <w:sz w:val="24"/>
              </w:rPr>
            </w:pPr>
            <w:r>
              <w:rPr>
                <w:rFonts w:hint="eastAsia" w:ascii="方正仿宋简体" w:eastAsia="方正仿宋简体"/>
                <w:b/>
                <w:bCs/>
                <w:sz w:val="24"/>
              </w:rPr>
              <w:t>加强本部门、本系统业务系统规划，避免重复建设，提高项目使用效益，对所属政务信息系统全部推动上云管理。</w:t>
            </w:r>
          </w:p>
        </w:tc>
      </w:tr>
      <w:tr>
        <w:tblPrEx>
          <w:tblCellMar>
            <w:top w:w="0" w:type="dxa"/>
            <w:left w:w="108" w:type="dxa"/>
            <w:bottom w:w="0" w:type="dxa"/>
            <w:right w:w="108" w:type="dxa"/>
          </w:tblCellMar>
        </w:tblPrEx>
        <w:trPr>
          <w:trHeight w:val="827" w:hRule="atLeast"/>
        </w:trPr>
        <w:tc>
          <w:tcPr>
            <w:tcW w:w="740"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2411"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6</w:t>
            </w:r>
          </w:p>
        </w:tc>
        <w:tc>
          <w:tcPr>
            <w:tcW w:w="10224" w:type="dxa"/>
            <w:tcBorders>
              <w:top w:val="nil"/>
              <w:left w:val="nil"/>
              <w:bottom w:val="single" w:color="auto" w:sz="4" w:space="0"/>
              <w:right w:val="single" w:color="auto" w:sz="4" w:space="0"/>
            </w:tcBorders>
            <w:vAlign w:val="center"/>
          </w:tcPr>
          <w:p>
            <w:pPr>
              <w:widowControl/>
              <w:spacing w:line="320" w:lineRule="exact"/>
              <w:rPr>
                <w:rFonts w:hint="eastAsia" w:ascii="方正仿宋简体" w:eastAsia="方正仿宋简体"/>
                <w:b/>
                <w:bCs/>
                <w:sz w:val="24"/>
              </w:rPr>
            </w:pPr>
            <w:r>
              <w:rPr>
                <w:rFonts w:hint="eastAsia" w:ascii="方正仿宋简体" w:eastAsia="方正仿宋简体"/>
                <w:b/>
                <w:bCs/>
                <w:sz w:val="24"/>
              </w:rPr>
              <w:t>配合开展“城市大脑”建设，对本部门业务系统主动向“城市大脑”进行对接，定期更新数据。</w:t>
            </w:r>
          </w:p>
        </w:tc>
      </w:tr>
      <w:tr>
        <w:tblPrEx>
          <w:tblCellMar>
            <w:top w:w="0" w:type="dxa"/>
            <w:left w:w="108" w:type="dxa"/>
            <w:bottom w:w="0" w:type="dxa"/>
            <w:right w:w="108" w:type="dxa"/>
          </w:tblCellMar>
        </w:tblPrEx>
        <w:trPr>
          <w:trHeight w:val="696" w:hRule="atLeast"/>
        </w:trPr>
        <w:tc>
          <w:tcPr>
            <w:tcW w:w="740"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2411"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7</w:t>
            </w:r>
          </w:p>
        </w:tc>
        <w:tc>
          <w:tcPr>
            <w:tcW w:w="10224" w:type="dxa"/>
            <w:tcBorders>
              <w:top w:val="nil"/>
              <w:left w:val="nil"/>
              <w:bottom w:val="single" w:color="auto" w:sz="4" w:space="0"/>
              <w:right w:val="single" w:color="auto" w:sz="4" w:space="0"/>
            </w:tcBorders>
            <w:vAlign w:val="center"/>
          </w:tcPr>
          <w:p>
            <w:pPr>
              <w:widowControl/>
              <w:spacing w:line="320" w:lineRule="exact"/>
              <w:rPr>
                <w:rFonts w:hint="eastAsia" w:ascii="方正仿宋简体" w:eastAsia="方正仿宋简体"/>
                <w:b/>
                <w:bCs/>
                <w:sz w:val="24"/>
              </w:rPr>
            </w:pPr>
            <w:r>
              <w:rPr>
                <w:rFonts w:hint="eastAsia" w:ascii="方正仿宋简体" w:eastAsia="方正仿宋简体"/>
                <w:b/>
                <w:bCs/>
                <w:sz w:val="24"/>
              </w:rPr>
              <w:t>加强本部门、本系统网络信息安全，及时整改漏洞，确保不出现安全事件。</w:t>
            </w:r>
          </w:p>
        </w:tc>
      </w:tr>
      <w:tr>
        <w:tblPrEx>
          <w:tblCellMar>
            <w:top w:w="0" w:type="dxa"/>
            <w:left w:w="108" w:type="dxa"/>
            <w:bottom w:w="0" w:type="dxa"/>
            <w:right w:w="108" w:type="dxa"/>
          </w:tblCellMar>
        </w:tblPrEx>
        <w:trPr>
          <w:trHeight w:val="499" w:hRule="atLeast"/>
        </w:trPr>
        <w:tc>
          <w:tcPr>
            <w:tcW w:w="14055" w:type="dxa"/>
            <w:gridSpan w:val="4"/>
            <w:tcBorders>
              <w:top w:val="single" w:color="auto" w:sz="4" w:space="0"/>
              <w:left w:val="single" w:color="auto" w:sz="4" w:space="0"/>
              <w:bottom w:val="nil"/>
              <w:right w:val="single" w:color="000000" w:sz="4" w:space="0"/>
            </w:tcBorders>
            <w:vAlign w:val="center"/>
          </w:tcPr>
          <w:p>
            <w:pPr>
              <w:widowControl/>
              <w:spacing w:line="320" w:lineRule="exact"/>
              <w:jc w:val="center"/>
              <w:rPr>
                <w:rFonts w:hint="eastAsia" w:ascii="方正仿宋简体" w:eastAsia="方正仿宋简体"/>
                <w:b/>
                <w:bCs/>
                <w:sz w:val="24"/>
              </w:rPr>
            </w:pPr>
            <w:r>
              <w:rPr>
                <w:rFonts w:hint="eastAsia" w:ascii="方正楷体简体" w:hAnsi="方正楷体简体" w:eastAsia="方正楷体简体" w:cs="方正楷体简体"/>
                <w:b/>
                <w:bCs/>
                <w:sz w:val="24"/>
              </w:rPr>
              <w:t>个性任务</w:t>
            </w:r>
          </w:p>
        </w:tc>
      </w:tr>
      <w:tr>
        <w:tblPrEx>
          <w:tblCellMar>
            <w:top w:w="0" w:type="dxa"/>
            <w:left w:w="108" w:type="dxa"/>
            <w:bottom w:w="0" w:type="dxa"/>
            <w:right w:w="108" w:type="dxa"/>
          </w:tblCellMar>
        </w:tblPrEx>
        <w:trPr>
          <w:trHeight w:val="1200" w:hRule="atLeast"/>
        </w:trPr>
        <w:tc>
          <w:tcPr>
            <w:tcW w:w="74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1</w:t>
            </w:r>
          </w:p>
        </w:tc>
        <w:tc>
          <w:tcPr>
            <w:tcW w:w="241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市委办公室</w:t>
            </w:r>
          </w:p>
        </w:tc>
        <w:tc>
          <w:tcPr>
            <w:tcW w:w="680"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1</w:t>
            </w:r>
          </w:p>
        </w:tc>
        <w:tc>
          <w:tcPr>
            <w:tcW w:w="10224" w:type="dxa"/>
            <w:tcBorders>
              <w:top w:val="single" w:color="auto" w:sz="4" w:space="0"/>
              <w:left w:val="nil"/>
              <w:bottom w:val="single" w:color="auto" w:sz="4" w:space="0"/>
              <w:right w:val="single" w:color="auto" w:sz="4" w:space="0"/>
            </w:tcBorders>
            <w:vAlign w:val="center"/>
          </w:tcPr>
          <w:p>
            <w:pPr>
              <w:widowControl/>
              <w:spacing w:line="320" w:lineRule="exact"/>
              <w:rPr>
                <w:rFonts w:hint="eastAsia" w:ascii="方正仿宋简体" w:eastAsia="方正仿宋简体"/>
                <w:b/>
                <w:bCs/>
                <w:sz w:val="24"/>
              </w:rPr>
            </w:pPr>
            <w:r>
              <w:rPr>
                <w:rFonts w:hint="eastAsia" w:ascii="方正仿宋简体" w:eastAsia="方正仿宋简体"/>
                <w:b/>
                <w:bCs/>
                <w:sz w:val="24"/>
              </w:rPr>
              <w:t>提升服务领导决策水平，围绕市委、市政府重大战略部署，建设一批智能辅助决策系统，为智能分析、科学研判和风险防控提供支撑；建立健全经济社会治理数据指标体系，完善智能化监测分析体系，系统刻画分析经济社会运行情况，实现对经济运行情况的动态监测和趋势研判，提升逆周期调节能力。</w:t>
            </w:r>
          </w:p>
        </w:tc>
      </w:tr>
      <w:tr>
        <w:tblPrEx>
          <w:tblCellMar>
            <w:top w:w="0" w:type="dxa"/>
            <w:left w:w="108" w:type="dxa"/>
            <w:bottom w:w="0" w:type="dxa"/>
            <w:right w:w="108" w:type="dxa"/>
          </w:tblCellMar>
        </w:tblPrEx>
        <w:trPr>
          <w:trHeight w:val="458" w:hRule="atLeast"/>
        </w:trPr>
        <w:tc>
          <w:tcPr>
            <w:tcW w:w="74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24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hint="eastAsia" w:ascii="方正仿宋简体" w:eastAsia="方正仿宋简体"/>
                <w:b/>
                <w:bCs/>
                <w:sz w:val="24"/>
              </w:rPr>
            </w:pPr>
            <w:r>
              <w:rPr>
                <w:rFonts w:hint="eastAsia" w:ascii="方正仿宋简体" w:eastAsia="方正仿宋简体"/>
                <w:b/>
                <w:bCs/>
                <w:sz w:val="24"/>
              </w:rPr>
              <w:t>强化安全保障，推进密码基础设施和密码支撑平台建设，提升密码基础设施支撑能力。</w:t>
            </w:r>
          </w:p>
        </w:tc>
      </w:tr>
      <w:tr>
        <w:tblPrEx>
          <w:tblCellMar>
            <w:top w:w="0" w:type="dxa"/>
            <w:left w:w="108" w:type="dxa"/>
            <w:bottom w:w="0" w:type="dxa"/>
            <w:right w:w="108" w:type="dxa"/>
          </w:tblCellMar>
        </w:tblPrEx>
        <w:trPr>
          <w:trHeight w:val="702" w:hRule="atLeast"/>
        </w:trPr>
        <w:tc>
          <w:tcPr>
            <w:tcW w:w="74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24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hint="eastAsia" w:ascii="方正仿宋简体" w:eastAsia="方正仿宋简体"/>
                <w:b/>
                <w:bCs/>
                <w:sz w:val="24"/>
              </w:rPr>
            </w:pPr>
            <w:r>
              <w:rPr>
                <w:rFonts w:hint="eastAsia" w:ascii="方正仿宋简体" w:eastAsia="方正仿宋简体"/>
                <w:b/>
                <w:bCs/>
                <w:sz w:val="24"/>
              </w:rPr>
              <w:t>强化督导调度，将数字强市建设作为重点督查事项，定期对各级各部门建设任务进行督查、督办，定期通报工作进展。</w:t>
            </w:r>
          </w:p>
        </w:tc>
      </w:tr>
      <w:tr>
        <w:tblPrEx>
          <w:tblCellMar>
            <w:top w:w="0" w:type="dxa"/>
            <w:left w:w="108" w:type="dxa"/>
            <w:bottom w:w="0" w:type="dxa"/>
            <w:right w:w="108" w:type="dxa"/>
          </w:tblCellMar>
        </w:tblPrEx>
        <w:trPr>
          <w:trHeight w:val="575" w:hRule="atLeast"/>
        </w:trPr>
        <w:tc>
          <w:tcPr>
            <w:tcW w:w="740" w:type="dxa"/>
            <w:vMerge w:val="restart"/>
            <w:tcBorders>
              <w:top w:val="nil"/>
              <w:left w:val="single" w:color="auto" w:sz="4" w:space="0"/>
              <w:bottom w:val="nil"/>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2</w:t>
            </w:r>
          </w:p>
        </w:tc>
        <w:tc>
          <w:tcPr>
            <w:tcW w:w="2411" w:type="dxa"/>
            <w:vMerge w:val="restart"/>
            <w:tcBorders>
              <w:top w:val="nil"/>
              <w:left w:val="single" w:color="auto" w:sz="4" w:space="0"/>
              <w:bottom w:val="nil"/>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市委组织部</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hint="eastAsia" w:ascii="方正仿宋简体" w:eastAsia="方正仿宋简体"/>
                <w:b/>
                <w:bCs/>
                <w:sz w:val="24"/>
              </w:rPr>
            </w:pPr>
            <w:r>
              <w:rPr>
                <w:rFonts w:hint="eastAsia" w:ascii="方正仿宋简体" w:eastAsia="方正仿宋简体"/>
                <w:b/>
                <w:bCs/>
                <w:sz w:val="24"/>
              </w:rPr>
              <w:t>加快“数字组工”建设，不断提升组织工作质效。</w:t>
            </w:r>
          </w:p>
        </w:tc>
      </w:tr>
      <w:tr>
        <w:tblPrEx>
          <w:tblCellMar>
            <w:top w:w="0" w:type="dxa"/>
            <w:left w:w="108" w:type="dxa"/>
            <w:bottom w:w="0" w:type="dxa"/>
            <w:right w:w="108" w:type="dxa"/>
          </w:tblCellMar>
        </w:tblPrEx>
        <w:trPr>
          <w:trHeight w:val="659" w:hRule="atLeast"/>
        </w:trPr>
        <w:tc>
          <w:tcPr>
            <w:tcW w:w="740" w:type="dxa"/>
            <w:vMerge w:val="continue"/>
            <w:tcBorders>
              <w:top w:val="nil"/>
              <w:left w:val="single" w:color="auto" w:sz="4" w:space="0"/>
              <w:bottom w:val="nil"/>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2411" w:type="dxa"/>
            <w:vMerge w:val="continue"/>
            <w:tcBorders>
              <w:top w:val="nil"/>
              <w:left w:val="single" w:color="auto" w:sz="4" w:space="0"/>
              <w:bottom w:val="nil"/>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hint="eastAsia" w:ascii="方正仿宋简体" w:eastAsia="方正仿宋简体"/>
                <w:b/>
                <w:bCs/>
                <w:sz w:val="24"/>
              </w:rPr>
            </w:pPr>
            <w:r>
              <w:rPr>
                <w:rFonts w:hint="eastAsia" w:ascii="方正仿宋简体" w:eastAsia="方正仿宋简体"/>
                <w:b/>
                <w:bCs/>
                <w:sz w:val="24"/>
              </w:rPr>
              <w:t>在各级党校（行政学院）主体班次中将大数据知识作为重要培训内容，定期开展大数据专题培训，全面提升各级领导干部数字素养和履职能力。</w:t>
            </w:r>
          </w:p>
        </w:tc>
      </w:tr>
      <w:tr>
        <w:tblPrEx>
          <w:tblCellMar>
            <w:top w:w="0" w:type="dxa"/>
            <w:left w:w="108" w:type="dxa"/>
            <w:bottom w:w="0" w:type="dxa"/>
            <w:right w:w="108" w:type="dxa"/>
          </w:tblCellMar>
        </w:tblPrEx>
        <w:trPr>
          <w:trHeight w:val="2400" w:hRule="atLeast"/>
        </w:trPr>
        <w:tc>
          <w:tcPr>
            <w:tcW w:w="740"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3</w:t>
            </w:r>
          </w:p>
        </w:tc>
        <w:tc>
          <w:tcPr>
            <w:tcW w:w="2411"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市委政法委</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hint="eastAsia" w:ascii="方正仿宋简体" w:eastAsia="方正仿宋简体"/>
                <w:b/>
                <w:bCs/>
                <w:sz w:val="24"/>
              </w:rPr>
            </w:pPr>
            <w:r>
              <w:rPr>
                <w:rFonts w:hint="eastAsia" w:ascii="方正仿宋简体" w:eastAsia="方正仿宋简体"/>
                <w:b/>
                <w:bCs/>
                <w:sz w:val="24"/>
              </w:rPr>
              <w:t>打造精细智能的社会治理体系，建设社会治理综合信息系统，对接融合12345热线、网格化平台、多元矛盾纠纷化解平台、网络问政、企业诉求“接诉即办”“济时办”小程序等业务系统数据资源，实现对社会治理热点或突发问题的第一时间预警和统一指挥调度。建设完善“一站式”矛盾纠纷多元化解平台，提升“一站式”矛盾纠纷多元化解能力。实施网格化智能化平台融合应用工程，推动网格事项精细化管理，及时预警风险隐患。推进数字法治系统建设，聚焦执法司法规范化集成应用、行政执法监督集成应用、平安基础工作集成应用、执法司法为民集成应用四大集成应用，建设网格化平台、智慧政法平台、平安指数平台、统一地址库平台，提升政法工作现代化水平。</w:t>
            </w:r>
          </w:p>
        </w:tc>
      </w:tr>
      <w:tr>
        <w:tblPrEx>
          <w:tblCellMar>
            <w:top w:w="0" w:type="dxa"/>
            <w:left w:w="108" w:type="dxa"/>
            <w:bottom w:w="0" w:type="dxa"/>
            <w:right w:w="108" w:type="dxa"/>
          </w:tblCellMar>
        </w:tblPrEx>
        <w:trPr>
          <w:trHeight w:val="919"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4</w:t>
            </w:r>
          </w:p>
        </w:tc>
        <w:tc>
          <w:tcPr>
            <w:tcW w:w="2411"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市委网信办</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hint="eastAsia" w:ascii="方正仿宋简体" w:eastAsia="方正仿宋简体"/>
                <w:b/>
                <w:bCs/>
                <w:sz w:val="24"/>
              </w:rPr>
            </w:pPr>
            <w:r>
              <w:rPr>
                <w:rFonts w:hint="eastAsia" w:ascii="方正仿宋简体" w:eastAsia="方正仿宋简体"/>
                <w:b/>
                <w:bCs/>
                <w:sz w:val="24"/>
              </w:rPr>
              <w:t>牵头抓好数字乡村建设各项工作，推动千兆光网、5G网络和物联网向有需求的农村地区延伸，全面推进数字校园建设，推动政务服务智能终端向乡村覆盖。</w:t>
            </w:r>
          </w:p>
        </w:tc>
      </w:tr>
      <w:tr>
        <w:tblPrEx>
          <w:tblCellMar>
            <w:top w:w="0" w:type="dxa"/>
            <w:left w:w="108" w:type="dxa"/>
            <w:bottom w:w="0" w:type="dxa"/>
            <w:right w:w="108" w:type="dxa"/>
          </w:tblCellMar>
        </w:tblPrEx>
        <w:trPr>
          <w:trHeight w:val="120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2411"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hint="eastAsia" w:ascii="方正仿宋简体" w:eastAsia="方正仿宋简体"/>
                <w:b/>
                <w:bCs/>
                <w:sz w:val="24"/>
              </w:rPr>
            </w:pPr>
            <w:r>
              <w:rPr>
                <w:rFonts w:hint="eastAsia" w:ascii="方正仿宋简体" w:eastAsia="方正仿宋简体"/>
                <w:b/>
                <w:bCs/>
                <w:sz w:val="24"/>
              </w:rPr>
              <w:t>强化网络安全保障，建立全市政务领域网络安全态势感知体系，提升全市一体化安全监测能力，完善安全事件应急工作机制，不断提升安全防护水平和应急处置能力，11月底前网络安全保障、网络安全事件指标达到新型智慧城市四星级水平。</w:t>
            </w:r>
          </w:p>
        </w:tc>
      </w:tr>
      <w:tr>
        <w:tblPrEx>
          <w:tblCellMar>
            <w:top w:w="0" w:type="dxa"/>
            <w:left w:w="108" w:type="dxa"/>
            <w:bottom w:w="0" w:type="dxa"/>
            <w:right w:w="108" w:type="dxa"/>
          </w:tblCellMar>
        </w:tblPrEx>
        <w:trPr>
          <w:trHeight w:val="1680" w:hRule="atLeast"/>
        </w:trPr>
        <w:tc>
          <w:tcPr>
            <w:tcW w:w="74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5</w:t>
            </w:r>
          </w:p>
        </w:tc>
        <w:tc>
          <w:tcPr>
            <w:tcW w:w="2411"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市社会治理中心</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hint="eastAsia" w:ascii="方正仿宋简体" w:eastAsia="方正仿宋简体"/>
                <w:b/>
                <w:bCs/>
                <w:sz w:val="24"/>
              </w:rPr>
            </w:pPr>
            <w:r>
              <w:rPr>
                <w:rFonts w:hint="eastAsia" w:ascii="方正仿宋简体" w:eastAsia="方正仿宋简体"/>
                <w:b/>
                <w:bCs/>
                <w:sz w:val="24"/>
              </w:rPr>
              <w:t>建设社会治理综合信息系统，对接融合12345热线、网格化平台、多元矛盾纠纷化解平台、网络问政、企业诉求“接诉即办”“济时办”小程序等业务系统数据资源，实现对社会治理热点或突发问题的第一时间预警和统一指挥调度。建设完善“一站式”矛盾纠纷多元化解平台，提升“一站式”矛盾纠纷多元化解能力。实施网格化智能化平台融合应用工程，推动网格事项精细化管理，及时预警风险隐患。</w:t>
            </w:r>
          </w:p>
        </w:tc>
      </w:tr>
      <w:tr>
        <w:tblPrEx>
          <w:tblCellMar>
            <w:top w:w="0" w:type="dxa"/>
            <w:left w:w="108" w:type="dxa"/>
            <w:bottom w:w="0" w:type="dxa"/>
            <w:right w:w="108" w:type="dxa"/>
          </w:tblCellMar>
        </w:tblPrEx>
        <w:trPr>
          <w:trHeight w:val="1144" w:hRule="atLeast"/>
        </w:trPr>
        <w:tc>
          <w:tcPr>
            <w:tcW w:w="74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6</w:t>
            </w:r>
          </w:p>
        </w:tc>
        <w:tc>
          <w:tcPr>
            <w:tcW w:w="2411"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市残联</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hint="eastAsia" w:ascii="方正仿宋简体" w:eastAsia="方正仿宋简体"/>
                <w:b/>
                <w:bCs/>
                <w:sz w:val="24"/>
              </w:rPr>
            </w:pPr>
            <w:r>
              <w:rPr>
                <w:rFonts w:hint="eastAsia" w:ascii="方正仿宋简体" w:eastAsia="方正仿宋简体"/>
                <w:b/>
                <w:bCs/>
                <w:sz w:val="24"/>
              </w:rPr>
              <w:t>推进惠民补贴政策免申即享，10月底前实现对0—9岁低保儿童和非低保儿童送训补贴、全日制大学专科（含高职）及以上学历教育的济宁户籍在校残疾人大学生补贴领取人员的精准分析，推动政策免申即享。</w:t>
            </w:r>
          </w:p>
        </w:tc>
      </w:tr>
      <w:tr>
        <w:tblPrEx>
          <w:tblCellMar>
            <w:top w:w="0" w:type="dxa"/>
            <w:left w:w="108" w:type="dxa"/>
            <w:bottom w:w="0" w:type="dxa"/>
            <w:right w:w="108" w:type="dxa"/>
          </w:tblCellMar>
        </w:tblPrEx>
        <w:trPr>
          <w:trHeight w:val="702" w:hRule="atLeast"/>
        </w:trPr>
        <w:tc>
          <w:tcPr>
            <w:tcW w:w="74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7</w:t>
            </w:r>
          </w:p>
        </w:tc>
        <w:tc>
          <w:tcPr>
            <w:tcW w:w="2411"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市人大常委会办公室</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hint="eastAsia" w:ascii="方正仿宋简体" w:eastAsia="方正仿宋简体"/>
                <w:b/>
                <w:bCs/>
                <w:sz w:val="24"/>
              </w:rPr>
            </w:pPr>
            <w:r>
              <w:rPr>
                <w:rFonts w:hint="eastAsia" w:ascii="方正仿宋简体" w:eastAsia="方正仿宋简体"/>
                <w:b/>
                <w:bCs/>
                <w:sz w:val="24"/>
              </w:rPr>
              <w:t>推进“数字人大”建设，打造人大智能监督及评价系统，推动人大核心业务和重大任务流程再造。</w:t>
            </w:r>
          </w:p>
        </w:tc>
      </w:tr>
      <w:tr>
        <w:tblPrEx>
          <w:tblCellMar>
            <w:top w:w="0" w:type="dxa"/>
            <w:left w:w="108" w:type="dxa"/>
            <w:bottom w:w="0" w:type="dxa"/>
            <w:right w:w="108" w:type="dxa"/>
          </w:tblCellMar>
        </w:tblPrEx>
        <w:trPr>
          <w:trHeight w:val="1228"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8</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市政府办公室</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hint="eastAsia" w:ascii="方正仿宋简体" w:eastAsia="方正仿宋简体"/>
                <w:b/>
                <w:bCs/>
                <w:sz w:val="24"/>
              </w:rPr>
            </w:pPr>
            <w:r>
              <w:rPr>
                <w:rFonts w:hint="eastAsia" w:ascii="方正仿宋简体" w:eastAsia="方正仿宋简体"/>
                <w:b/>
                <w:bCs/>
                <w:sz w:val="24"/>
              </w:rPr>
              <w:t>深入推进“互联网+政务服务”，加强标准化、规范化、便利化、数字化建设，所承担的依申请政务服务事项全部实现网上办，推进办件数据、评价数据实时归集，强化线上线下服务融合，提升“一次办好”改革成效。</w:t>
            </w:r>
          </w:p>
        </w:tc>
      </w:tr>
      <w:tr>
        <w:tblPrEx>
          <w:tblCellMar>
            <w:top w:w="0" w:type="dxa"/>
            <w:left w:w="108" w:type="dxa"/>
            <w:bottom w:w="0" w:type="dxa"/>
            <w:right w:w="108" w:type="dxa"/>
          </w:tblCellMar>
        </w:tblPrEx>
        <w:trPr>
          <w:trHeight w:val="144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hint="eastAsia" w:ascii="方正仿宋简体" w:eastAsia="方正仿宋简体"/>
                <w:b/>
                <w:bCs/>
                <w:sz w:val="24"/>
              </w:rPr>
            </w:pPr>
            <w:r>
              <w:rPr>
                <w:rFonts w:hint="eastAsia" w:ascii="方正仿宋简体" w:eastAsia="方正仿宋简体"/>
                <w:b/>
                <w:bCs/>
                <w:sz w:val="24"/>
              </w:rPr>
              <w:t>提升服务领导决策水平，围绕市委、市政府重大战略部署，建设一批智能辅助决策系统，为智能分析、科学研判和风险防控提供支撑；建立健全经济社会治理数据指标体系，完善智能化监测分析体系，系统刻画分析经济社会运行情况，实现对经济运行情况的动态监测和趋势研判，提升逆周期调节能力。</w:t>
            </w:r>
          </w:p>
        </w:tc>
      </w:tr>
      <w:tr>
        <w:tblPrEx>
          <w:tblCellMar>
            <w:top w:w="0" w:type="dxa"/>
            <w:left w:w="108" w:type="dxa"/>
            <w:bottom w:w="0" w:type="dxa"/>
            <w:right w:w="108" w:type="dxa"/>
          </w:tblCellMar>
        </w:tblPrEx>
        <w:trPr>
          <w:trHeight w:val="92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hint="eastAsia" w:ascii="方正仿宋简体" w:eastAsia="方正仿宋简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hint="eastAsia" w:ascii="方正仿宋简体" w:eastAsia="方正仿宋简体"/>
                <w:b/>
                <w:bCs/>
                <w:sz w:val="24"/>
              </w:rPr>
            </w:pPr>
            <w:r>
              <w:rPr>
                <w:rFonts w:hint="eastAsia" w:ascii="方正仿宋简体" w:eastAsia="方正仿宋简体"/>
                <w:b/>
                <w:bCs/>
                <w:sz w:val="24"/>
              </w:rPr>
              <w:t>深入开展数据创新应用，打造电子病历“掌上查”，升级“惠企通”服务平台，全面做好相关平台应用推广。</w:t>
            </w:r>
          </w:p>
        </w:tc>
      </w:tr>
      <w:tr>
        <w:tblPrEx>
          <w:tblCellMar>
            <w:top w:w="0" w:type="dxa"/>
            <w:left w:w="108" w:type="dxa"/>
            <w:bottom w:w="0" w:type="dxa"/>
            <w:right w:w="108" w:type="dxa"/>
          </w:tblCellMar>
        </w:tblPrEx>
        <w:trPr>
          <w:trHeight w:val="906"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强化督导调度，将数字强市建设作为重点督查事项，定期对各级各部门建设任务进行督查、督办，定期通报工作进展。</w:t>
            </w:r>
          </w:p>
        </w:tc>
      </w:tr>
      <w:tr>
        <w:tblPrEx>
          <w:tblCellMar>
            <w:top w:w="0" w:type="dxa"/>
            <w:left w:w="108" w:type="dxa"/>
            <w:bottom w:w="0" w:type="dxa"/>
            <w:right w:w="108" w:type="dxa"/>
          </w:tblCellMar>
        </w:tblPrEx>
        <w:trPr>
          <w:trHeight w:val="878" w:hRule="atLeast"/>
        </w:trPr>
        <w:tc>
          <w:tcPr>
            <w:tcW w:w="74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9</w:t>
            </w:r>
          </w:p>
        </w:tc>
        <w:tc>
          <w:tcPr>
            <w:tcW w:w="2411" w:type="dxa"/>
            <w:tcBorders>
              <w:top w:val="nil"/>
              <w:left w:val="nil"/>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市政协办公室</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加快</w:t>
            </w:r>
            <w:r>
              <w:rPr>
                <w:rFonts w:hint="eastAsia" w:ascii="方正仿宋简体" w:eastAsia="方正仿宋简体"/>
                <w:b/>
                <w:bCs/>
                <w:sz w:val="24"/>
              </w:rPr>
              <w:t>“</w:t>
            </w:r>
            <w:r>
              <w:rPr>
                <w:rFonts w:hint="eastAsia" w:ascii="方正仿宋简体" w:hAnsi="宋体" w:eastAsia="方正仿宋简体" w:cs="宋体"/>
                <w:b/>
                <w:bCs/>
                <w:sz w:val="24"/>
              </w:rPr>
              <w:t>数字政协</w:t>
            </w:r>
            <w:r>
              <w:rPr>
                <w:rFonts w:hint="eastAsia" w:ascii="方正仿宋简体" w:eastAsia="方正仿宋简体"/>
                <w:b/>
                <w:bCs/>
                <w:sz w:val="24"/>
              </w:rPr>
              <w:t>”</w:t>
            </w:r>
            <w:r>
              <w:rPr>
                <w:rFonts w:hint="eastAsia" w:ascii="方正仿宋简体" w:hAnsi="宋体" w:eastAsia="方正仿宋简体" w:cs="宋体"/>
                <w:b/>
                <w:bCs/>
                <w:sz w:val="24"/>
              </w:rPr>
              <w:t>建设，优化政协各类业务事项多跨场景协同应用，打造全国数字政协</w:t>
            </w:r>
            <w:r>
              <w:rPr>
                <w:rFonts w:hint="eastAsia" w:ascii="方正仿宋简体" w:eastAsia="方正仿宋简体"/>
                <w:b/>
                <w:bCs/>
                <w:sz w:val="24"/>
              </w:rPr>
              <w:t>“</w:t>
            </w:r>
            <w:r>
              <w:rPr>
                <w:rFonts w:hint="eastAsia" w:ascii="方正仿宋简体" w:hAnsi="宋体" w:eastAsia="方正仿宋简体" w:cs="宋体"/>
                <w:b/>
                <w:bCs/>
                <w:sz w:val="24"/>
              </w:rPr>
              <w:t>济宁样板</w:t>
            </w:r>
            <w:r>
              <w:rPr>
                <w:rFonts w:hint="eastAsia" w:ascii="方正仿宋简体" w:eastAsia="方正仿宋简体"/>
                <w:b/>
                <w:bCs/>
                <w:sz w:val="24"/>
              </w:rPr>
              <w:t>”</w:t>
            </w:r>
            <w:r>
              <w:rPr>
                <w:rFonts w:hint="eastAsia" w:ascii="方正仿宋简体" w:hAnsi="宋体" w:eastAsia="方正仿宋简体" w:cs="宋体"/>
                <w:b/>
                <w:bCs/>
                <w:sz w:val="24"/>
              </w:rPr>
              <w:t>。</w:t>
            </w:r>
          </w:p>
        </w:tc>
      </w:tr>
      <w:tr>
        <w:tblPrEx>
          <w:tblCellMar>
            <w:top w:w="0" w:type="dxa"/>
            <w:left w:w="108" w:type="dxa"/>
            <w:bottom w:w="0" w:type="dxa"/>
            <w:right w:w="108" w:type="dxa"/>
          </w:tblCellMar>
        </w:tblPrEx>
        <w:trPr>
          <w:trHeight w:val="90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10</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市发展改革委</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22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提升服务领导决策水平，围绕市委、市政府重大战略部署，建设一批智能辅助决策系统，为智能分析、科学研判和风险防控提供支撑；建立健全经济社会治理数据指标体系，完善智能化监测分析体系，系统刻画分析经济社会运行情况，实现对经济运行情况的动态监测和趋势研判，提升逆周期调节能力。</w:t>
            </w:r>
          </w:p>
        </w:tc>
      </w:tr>
      <w:tr>
        <w:tblPrEx>
          <w:tblCellMar>
            <w:top w:w="0" w:type="dxa"/>
            <w:left w:w="108" w:type="dxa"/>
            <w:bottom w:w="0" w:type="dxa"/>
            <w:right w:w="108" w:type="dxa"/>
          </w:tblCellMar>
        </w:tblPrEx>
        <w:trPr>
          <w:trHeight w:val="15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加快</w:t>
            </w:r>
            <w:r>
              <w:rPr>
                <w:rFonts w:hint="eastAsia" w:ascii="方正仿宋简体" w:eastAsia="方正仿宋简体"/>
                <w:b/>
                <w:bCs/>
                <w:sz w:val="24"/>
              </w:rPr>
              <w:t>“</w:t>
            </w:r>
            <w:r>
              <w:rPr>
                <w:rFonts w:hint="eastAsia" w:ascii="方正仿宋简体" w:hAnsi="宋体" w:eastAsia="方正仿宋简体" w:cs="宋体"/>
                <w:b/>
                <w:bCs/>
                <w:sz w:val="24"/>
              </w:rPr>
              <w:t>双随机、一公开</w:t>
            </w:r>
            <w:r>
              <w:rPr>
                <w:rFonts w:hint="eastAsia" w:ascii="方正仿宋简体" w:eastAsia="方正仿宋简体"/>
                <w:b/>
                <w:bCs/>
                <w:sz w:val="24"/>
              </w:rPr>
              <w:t>”</w:t>
            </w:r>
            <w:r>
              <w:rPr>
                <w:rFonts w:hint="eastAsia" w:ascii="方正仿宋简体" w:hAnsi="宋体" w:eastAsia="方正仿宋简体" w:cs="宋体"/>
                <w:b/>
                <w:bCs/>
                <w:sz w:val="24"/>
              </w:rPr>
              <w:t>以及信用监管在市场治理领域的融合应用，推动涉企信息统一归集，建立精准靶向的监管机制，实现风险动态评估和分类监管。</w:t>
            </w:r>
          </w:p>
        </w:tc>
      </w:tr>
      <w:tr>
        <w:tblPrEx>
          <w:tblCellMar>
            <w:top w:w="0" w:type="dxa"/>
            <w:left w:w="108" w:type="dxa"/>
            <w:bottom w:w="0" w:type="dxa"/>
            <w:right w:w="108" w:type="dxa"/>
          </w:tblCellMar>
        </w:tblPrEx>
        <w:trPr>
          <w:trHeight w:val="7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加大</w:t>
            </w:r>
            <w:r>
              <w:rPr>
                <w:rFonts w:hint="eastAsia" w:ascii="方正仿宋简体" w:eastAsia="方正仿宋简体"/>
                <w:b/>
                <w:bCs/>
                <w:sz w:val="24"/>
              </w:rPr>
              <w:t>“</w:t>
            </w:r>
            <w:r>
              <w:rPr>
                <w:rFonts w:hint="eastAsia" w:ascii="方正仿宋简体" w:hAnsi="宋体" w:eastAsia="方正仿宋简体" w:cs="宋体"/>
                <w:b/>
                <w:bCs/>
                <w:sz w:val="24"/>
              </w:rPr>
              <w:t>惠企通</w:t>
            </w:r>
            <w:r>
              <w:rPr>
                <w:rFonts w:hint="eastAsia" w:ascii="方正仿宋简体" w:eastAsia="方正仿宋简体"/>
                <w:b/>
                <w:bCs/>
                <w:sz w:val="24"/>
              </w:rPr>
              <w:t>”</w:t>
            </w:r>
            <w:r>
              <w:rPr>
                <w:rFonts w:hint="eastAsia" w:ascii="方正仿宋简体" w:hAnsi="宋体" w:eastAsia="方正仿宋简体" w:cs="宋体"/>
                <w:b/>
                <w:bCs/>
                <w:sz w:val="24"/>
              </w:rPr>
              <w:t>平台推广应用力度，实现政策收集、发布、解读、推送、申报、兑现等全环节、全流程线上办理。</w:t>
            </w:r>
          </w:p>
        </w:tc>
      </w:tr>
      <w:tr>
        <w:tblPrEx>
          <w:tblCellMar>
            <w:top w:w="0" w:type="dxa"/>
            <w:left w:w="108" w:type="dxa"/>
            <w:bottom w:w="0" w:type="dxa"/>
            <w:right w:w="108" w:type="dxa"/>
          </w:tblCellMar>
        </w:tblPrEx>
        <w:trPr>
          <w:trHeight w:val="1002"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11</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市教育局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71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w:t>
            </w:r>
            <w:r>
              <w:rPr>
                <w:rFonts w:hint="eastAsia" w:ascii="方正仿宋简体" w:eastAsia="方正仿宋简体"/>
                <w:b/>
                <w:bCs/>
                <w:sz w:val="24"/>
              </w:rPr>
              <w:t>“</w:t>
            </w:r>
            <w:r>
              <w:rPr>
                <w:rFonts w:hint="eastAsia" w:ascii="方正仿宋简体" w:hAnsi="宋体" w:eastAsia="方正仿宋简体" w:cs="宋体"/>
                <w:b/>
                <w:bCs/>
                <w:sz w:val="24"/>
              </w:rPr>
              <w:t>智慧校园</w:t>
            </w:r>
            <w:r>
              <w:rPr>
                <w:rFonts w:hint="eastAsia" w:ascii="方正仿宋简体" w:eastAsia="方正仿宋简体"/>
                <w:b/>
                <w:bCs/>
                <w:sz w:val="24"/>
              </w:rPr>
              <w:t>”</w:t>
            </w:r>
            <w:r>
              <w:rPr>
                <w:rFonts w:hint="eastAsia" w:ascii="方正仿宋简体" w:hAnsi="宋体" w:eastAsia="方正仿宋简体" w:cs="宋体"/>
                <w:b/>
                <w:bCs/>
                <w:sz w:val="24"/>
              </w:rPr>
              <w:t>建设，</w:t>
            </w:r>
            <w:r>
              <w:rPr>
                <w:rFonts w:hint="eastAsia" w:ascii="方正仿宋简体" w:eastAsia="方正仿宋简体"/>
                <w:b/>
                <w:bCs/>
                <w:sz w:val="24"/>
              </w:rPr>
              <w:t>“</w:t>
            </w:r>
            <w:r>
              <w:rPr>
                <w:rFonts w:hint="eastAsia" w:ascii="方正仿宋简体" w:hAnsi="宋体" w:eastAsia="方正仿宋简体" w:cs="宋体"/>
                <w:b/>
                <w:bCs/>
                <w:sz w:val="24"/>
              </w:rPr>
              <w:t>智慧校园</w:t>
            </w:r>
            <w:r>
              <w:rPr>
                <w:rFonts w:hint="eastAsia" w:ascii="方正仿宋简体" w:eastAsia="方正仿宋简体"/>
                <w:b/>
                <w:bCs/>
                <w:sz w:val="24"/>
              </w:rPr>
              <w:t>”</w:t>
            </w:r>
            <w:r>
              <w:rPr>
                <w:rFonts w:hint="eastAsia" w:ascii="方正仿宋简体" w:hAnsi="宋体" w:eastAsia="方正仿宋简体" w:cs="宋体"/>
                <w:b/>
                <w:bCs/>
                <w:sz w:val="24"/>
              </w:rPr>
              <w:t>覆盖率达到</w:t>
            </w:r>
            <w:r>
              <w:rPr>
                <w:rFonts w:hint="eastAsia" w:ascii="方正仿宋简体" w:eastAsia="方正仿宋简体"/>
                <w:b/>
                <w:bCs/>
                <w:sz w:val="24"/>
              </w:rPr>
              <w:t>80%</w:t>
            </w:r>
            <w:r>
              <w:rPr>
                <w:rFonts w:hint="eastAsia" w:ascii="方正仿宋简体" w:hAnsi="宋体" w:eastAsia="方正仿宋简体" w:cs="宋体"/>
                <w:b/>
                <w:bCs/>
                <w:sz w:val="24"/>
              </w:rPr>
              <w:t>以上；全面推进数字校园建设，建设一批城乡中小学优质资源共享的教学模式改革示范项目。</w:t>
            </w:r>
          </w:p>
        </w:tc>
      </w:tr>
      <w:tr>
        <w:tblPrEx>
          <w:tblCellMar>
            <w:top w:w="0" w:type="dxa"/>
            <w:left w:w="108" w:type="dxa"/>
            <w:bottom w:w="0" w:type="dxa"/>
            <w:right w:w="108" w:type="dxa"/>
          </w:tblCellMar>
        </w:tblPrEx>
        <w:trPr>
          <w:trHeight w:val="491"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加强</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重点场景应用，</w:t>
            </w:r>
            <w:r>
              <w:rPr>
                <w:rFonts w:hint="eastAsia" w:ascii="方正仿宋简体" w:eastAsia="方正仿宋简体"/>
                <w:b/>
                <w:bCs/>
                <w:sz w:val="24"/>
              </w:rPr>
              <w:t>11</w:t>
            </w:r>
            <w:r>
              <w:rPr>
                <w:rFonts w:hint="eastAsia" w:ascii="方正仿宋简体" w:hAnsi="宋体" w:eastAsia="方正仿宋简体" w:cs="宋体"/>
                <w:b/>
                <w:bCs/>
                <w:sz w:val="24"/>
              </w:rPr>
              <w:t>月底前完成学校方面的</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场景应用工作。</w:t>
            </w:r>
          </w:p>
        </w:tc>
      </w:tr>
      <w:tr>
        <w:tblPrEx>
          <w:tblCellMar>
            <w:top w:w="0" w:type="dxa"/>
            <w:left w:w="108" w:type="dxa"/>
            <w:bottom w:w="0" w:type="dxa"/>
            <w:right w:w="108" w:type="dxa"/>
          </w:tblCellMar>
        </w:tblPrEx>
        <w:trPr>
          <w:trHeight w:val="766"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深化</w:t>
            </w:r>
            <w:r>
              <w:rPr>
                <w:rFonts w:hint="eastAsia" w:ascii="方正仿宋简体" w:eastAsia="方正仿宋简体"/>
                <w:b/>
                <w:bCs/>
                <w:sz w:val="24"/>
              </w:rPr>
              <w:t>“</w:t>
            </w:r>
            <w:r>
              <w:rPr>
                <w:rFonts w:hint="eastAsia" w:ascii="方正仿宋简体" w:hAnsi="宋体" w:eastAsia="方正仿宋简体" w:cs="宋体"/>
                <w:b/>
                <w:bCs/>
                <w:sz w:val="24"/>
              </w:rPr>
              <w:t>无证明城市</w:t>
            </w:r>
            <w:r>
              <w:rPr>
                <w:rFonts w:hint="eastAsia" w:ascii="方正仿宋简体" w:eastAsia="方正仿宋简体"/>
                <w:b/>
                <w:bCs/>
                <w:sz w:val="24"/>
              </w:rPr>
              <w:t>”</w:t>
            </w:r>
            <w:r>
              <w:rPr>
                <w:rFonts w:hint="eastAsia" w:ascii="方正仿宋简体" w:hAnsi="宋体" w:eastAsia="方正仿宋简体" w:cs="宋体"/>
                <w:b/>
                <w:bCs/>
                <w:sz w:val="24"/>
              </w:rPr>
              <w:t>建设，强化电子证照政务服务应用，</w:t>
            </w:r>
            <w:r>
              <w:rPr>
                <w:rFonts w:hint="eastAsia" w:ascii="方正仿宋简体" w:eastAsia="方正仿宋简体"/>
                <w:b/>
                <w:bCs/>
                <w:sz w:val="24"/>
              </w:rPr>
              <w:t>11</w:t>
            </w:r>
            <w:r>
              <w:rPr>
                <w:rFonts w:hint="eastAsia" w:ascii="方正仿宋简体" w:hAnsi="宋体" w:eastAsia="方正仿宋简体" w:cs="宋体"/>
                <w:b/>
                <w:bCs/>
                <w:sz w:val="24"/>
              </w:rPr>
              <w:t>月底前完成民办学校（含幼儿园）年检、普通中小学学生学籍管理等</w:t>
            </w:r>
            <w:r>
              <w:rPr>
                <w:rFonts w:hint="eastAsia" w:ascii="方正仿宋简体" w:eastAsia="方正仿宋简体"/>
                <w:b/>
                <w:bCs/>
                <w:sz w:val="24"/>
              </w:rPr>
              <w:t>2</w:t>
            </w:r>
            <w:r>
              <w:rPr>
                <w:rFonts w:hint="eastAsia" w:ascii="方正仿宋简体" w:hAnsi="宋体" w:eastAsia="方正仿宋简体" w:cs="宋体"/>
                <w:b/>
                <w:bCs/>
                <w:sz w:val="24"/>
              </w:rPr>
              <w:t>个电子证照应用。</w:t>
            </w:r>
          </w:p>
        </w:tc>
      </w:tr>
      <w:tr>
        <w:tblPrEx>
          <w:tblCellMar>
            <w:top w:w="0" w:type="dxa"/>
            <w:left w:w="108" w:type="dxa"/>
            <w:bottom w:w="0" w:type="dxa"/>
            <w:right w:w="108" w:type="dxa"/>
          </w:tblCellMar>
        </w:tblPrEx>
        <w:trPr>
          <w:trHeight w:val="1661"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5</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推进精准资助。联合大数据中心做好惠民补贴政策精准分析，</w:t>
            </w:r>
            <w:r>
              <w:rPr>
                <w:rFonts w:hint="eastAsia" w:ascii="方正仿宋简体" w:eastAsia="方正仿宋简体"/>
                <w:b/>
                <w:bCs/>
                <w:sz w:val="24"/>
              </w:rPr>
              <w:t>10月</w:t>
            </w:r>
            <w:r>
              <w:rPr>
                <w:rFonts w:hint="eastAsia" w:ascii="方正仿宋简体" w:hAnsi="宋体" w:eastAsia="方正仿宋简体" w:cs="宋体"/>
                <w:b/>
                <w:bCs/>
                <w:sz w:val="24"/>
              </w:rPr>
              <w:t>底前实现对义务教育阶段家庭经济困难学生</w:t>
            </w:r>
            <w:r>
              <w:rPr>
                <w:rFonts w:hint="eastAsia" w:ascii="方正仿宋简体" w:hAnsi="宋体" w:eastAsia="方正仿宋简体" w:cs="宋体"/>
                <w:b/>
                <w:bCs/>
                <w:spacing w:val="-6"/>
                <w:sz w:val="24"/>
              </w:rPr>
              <w:t>寄宿生生活费补助（小学、初中阶段经济困难在校寄宿学生）、义务教育阶段家庭经济困难学生非寄宿生生活费补助（小学、初中阶段经济困难在校非寄宿学生）、家庭经济困难普通高中在校生助学金、义务教育阶段济</w:t>
            </w:r>
            <w:r>
              <w:rPr>
                <w:rFonts w:hint="eastAsia" w:ascii="方正仿宋简体" w:hAnsi="宋体" w:eastAsia="方正仿宋简体" w:cs="宋体"/>
                <w:b/>
                <w:bCs/>
                <w:sz w:val="24"/>
              </w:rPr>
              <w:t>宁市家庭经济困难学生营养补助（小学、初中阶段在校低保家庭学生、特殊教育学校学生和其他家庭经济困难学生）领取人员的精准分析，实现精准资助、应助尽助。</w:t>
            </w:r>
          </w:p>
        </w:tc>
      </w:tr>
      <w:tr>
        <w:tblPrEx>
          <w:tblCellMar>
            <w:top w:w="0" w:type="dxa"/>
            <w:left w:w="108" w:type="dxa"/>
            <w:bottom w:w="0" w:type="dxa"/>
            <w:right w:w="108" w:type="dxa"/>
          </w:tblCellMar>
        </w:tblPrEx>
        <w:trPr>
          <w:trHeight w:val="7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6</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加快新型智慧城市建设，</w:t>
            </w:r>
            <w:r>
              <w:rPr>
                <w:rFonts w:hint="eastAsia" w:ascii="方正仿宋简体" w:eastAsia="方正仿宋简体"/>
                <w:b/>
                <w:bCs/>
                <w:sz w:val="24"/>
              </w:rPr>
              <w:t>11</w:t>
            </w:r>
            <w:r>
              <w:rPr>
                <w:rFonts w:hint="eastAsia" w:ascii="方正仿宋简体" w:hAnsi="宋体" w:eastAsia="方正仿宋简体" w:cs="宋体"/>
                <w:b/>
                <w:bCs/>
                <w:sz w:val="24"/>
              </w:rPr>
              <w:t>月底前入学报名便捷服务水平、智慧校园建设情况达到四星级要求。</w:t>
            </w:r>
          </w:p>
        </w:tc>
      </w:tr>
      <w:tr>
        <w:tblPrEx>
          <w:tblCellMar>
            <w:top w:w="0" w:type="dxa"/>
            <w:left w:w="108" w:type="dxa"/>
            <w:bottom w:w="0" w:type="dxa"/>
            <w:right w:w="108" w:type="dxa"/>
          </w:tblCellMar>
        </w:tblPrEx>
        <w:trPr>
          <w:trHeight w:val="1002"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12</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市科技局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28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715"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280" w:lineRule="exact"/>
              <w:rPr>
                <w:rFonts w:ascii="方正仿宋简体" w:hAnsi="宋体" w:eastAsia="方正仿宋简体" w:cs="宋体"/>
                <w:b/>
                <w:bCs/>
                <w:sz w:val="24"/>
              </w:rPr>
            </w:pPr>
            <w:r>
              <w:rPr>
                <w:rFonts w:hint="eastAsia" w:ascii="方正仿宋简体" w:hAnsi="宋体" w:eastAsia="方正仿宋简体" w:cs="宋体"/>
                <w:b/>
                <w:bCs/>
                <w:sz w:val="24"/>
              </w:rPr>
              <w:t>加大</w:t>
            </w:r>
            <w:r>
              <w:rPr>
                <w:rFonts w:hint="eastAsia" w:ascii="方正仿宋简体" w:eastAsia="方正仿宋简体"/>
                <w:b/>
                <w:bCs/>
                <w:sz w:val="24"/>
              </w:rPr>
              <w:t>“</w:t>
            </w:r>
            <w:r>
              <w:rPr>
                <w:rFonts w:hint="eastAsia" w:ascii="方正仿宋简体" w:hAnsi="宋体" w:eastAsia="方正仿宋简体" w:cs="宋体"/>
                <w:b/>
                <w:bCs/>
                <w:sz w:val="24"/>
              </w:rPr>
              <w:t>惠企通</w:t>
            </w:r>
            <w:r>
              <w:rPr>
                <w:rFonts w:hint="eastAsia" w:ascii="方正仿宋简体" w:eastAsia="方正仿宋简体"/>
                <w:b/>
                <w:bCs/>
                <w:sz w:val="24"/>
              </w:rPr>
              <w:t>”</w:t>
            </w:r>
            <w:r>
              <w:rPr>
                <w:rFonts w:hint="eastAsia" w:ascii="方正仿宋简体" w:hAnsi="宋体" w:eastAsia="方正仿宋简体" w:cs="宋体"/>
                <w:b/>
                <w:bCs/>
                <w:sz w:val="24"/>
              </w:rPr>
              <w:t>服务平台推广应用力度，实现政策收集、发布、解读、推送、申报、兑现等全环节、全流程线上办理。</w:t>
            </w:r>
          </w:p>
        </w:tc>
      </w:tr>
      <w:tr>
        <w:tblPrEx>
          <w:tblCellMar>
            <w:top w:w="0" w:type="dxa"/>
            <w:left w:w="108" w:type="dxa"/>
            <w:bottom w:w="0" w:type="dxa"/>
            <w:right w:w="108" w:type="dxa"/>
          </w:tblCellMar>
        </w:tblPrEx>
        <w:trPr>
          <w:trHeight w:val="239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13</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市工业和信息化局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280" w:lineRule="exact"/>
              <w:rPr>
                <w:rFonts w:ascii="方正仿宋简体" w:hAnsi="宋体" w:eastAsia="方正仿宋简体" w:cs="宋体"/>
                <w:b/>
                <w:bCs/>
                <w:sz w:val="24"/>
              </w:rPr>
            </w:pPr>
            <w:r>
              <w:rPr>
                <w:rFonts w:hint="eastAsia" w:ascii="方正仿宋简体" w:hAnsi="宋体" w:eastAsia="方正仿宋简体" w:cs="宋体"/>
                <w:b/>
                <w:bCs/>
                <w:sz w:val="24"/>
              </w:rPr>
              <w:t>加快培育数字经济新动能，</w:t>
            </w:r>
            <w:r>
              <w:rPr>
                <w:rFonts w:hint="eastAsia" w:ascii="方正仿宋简体" w:eastAsia="方正仿宋简体"/>
                <w:b/>
                <w:bCs/>
                <w:sz w:val="24"/>
              </w:rPr>
              <w:t>2023</w:t>
            </w:r>
            <w:r>
              <w:rPr>
                <w:rFonts w:hint="eastAsia" w:ascii="方正仿宋简体" w:hAnsi="宋体" w:eastAsia="方正仿宋简体" w:cs="宋体"/>
                <w:b/>
                <w:bCs/>
                <w:sz w:val="24"/>
              </w:rPr>
              <w:t>年数字经济核心产业规模突破</w:t>
            </w:r>
            <w:r>
              <w:rPr>
                <w:rFonts w:hint="eastAsia" w:ascii="方正仿宋简体" w:eastAsia="方正仿宋简体"/>
                <w:b/>
                <w:bCs/>
                <w:sz w:val="24"/>
              </w:rPr>
              <w:t>600</w:t>
            </w:r>
            <w:r>
              <w:rPr>
                <w:rFonts w:hint="eastAsia" w:ascii="方正仿宋简体" w:hAnsi="宋体" w:eastAsia="方正仿宋简体" w:cs="宋体"/>
                <w:b/>
                <w:bCs/>
                <w:sz w:val="24"/>
              </w:rPr>
              <w:t>亿元、增长</w:t>
            </w:r>
            <w:r>
              <w:rPr>
                <w:rFonts w:hint="eastAsia" w:ascii="方正仿宋简体" w:eastAsia="方正仿宋简体"/>
                <w:b/>
                <w:bCs/>
                <w:sz w:val="24"/>
              </w:rPr>
              <w:t>20%</w:t>
            </w:r>
            <w:r>
              <w:rPr>
                <w:rFonts w:hint="eastAsia" w:ascii="方正仿宋简体" w:hAnsi="宋体" w:eastAsia="方正仿宋简体" w:cs="宋体"/>
                <w:b/>
                <w:bCs/>
                <w:sz w:val="24"/>
              </w:rPr>
              <w:t>以上，数字经济实力显著增强。推进数字赋能制造业升级，实施</w:t>
            </w:r>
            <w:r>
              <w:rPr>
                <w:rFonts w:hint="eastAsia" w:ascii="方正仿宋简体" w:eastAsia="方正仿宋简体"/>
                <w:b/>
                <w:bCs/>
                <w:sz w:val="24"/>
              </w:rPr>
              <w:t>“</w:t>
            </w:r>
            <w:r>
              <w:rPr>
                <w:rFonts w:hint="eastAsia" w:ascii="方正仿宋简体" w:hAnsi="宋体" w:eastAsia="方正仿宋简体" w:cs="宋体"/>
                <w:b/>
                <w:bCs/>
                <w:sz w:val="24"/>
              </w:rPr>
              <w:t>智改数转</w:t>
            </w:r>
            <w:r>
              <w:rPr>
                <w:rFonts w:hint="eastAsia" w:ascii="方正仿宋简体" w:eastAsia="方正仿宋简体"/>
                <w:b/>
                <w:bCs/>
                <w:sz w:val="24"/>
              </w:rPr>
              <w:t>”</w:t>
            </w:r>
            <w:r>
              <w:rPr>
                <w:rFonts w:hint="eastAsia" w:ascii="方正仿宋简体" w:hAnsi="宋体" w:eastAsia="方正仿宋简体" w:cs="宋体"/>
                <w:b/>
                <w:bCs/>
                <w:sz w:val="24"/>
              </w:rPr>
              <w:t>行动，推动</w:t>
            </w:r>
            <w:r>
              <w:rPr>
                <w:rFonts w:hint="eastAsia" w:ascii="方正仿宋简体" w:eastAsia="方正仿宋简体"/>
                <w:b/>
                <w:bCs/>
                <w:sz w:val="24"/>
              </w:rPr>
              <w:t>1000</w:t>
            </w:r>
            <w:r>
              <w:rPr>
                <w:rFonts w:hint="eastAsia" w:ascii="方正仿宋简体" w:hAnsi="宋体" w:eastAsia="方正仿宋简体" w:cs="宋体"/>
                <w:b/>
                <w:bCs/>
                <w:sz w:val="24"/>
              </w:rPr>
              <w:t>家企业开展数字化改造，培育</w:t>
            </w:r>
            <w:r>
              <w:rPr>
                <w:rFonts w:hint="eastAsia" w:ascii="方正仿宋简体" w:eastAsia="方正仿宋简体"/>
                <w:b/>
                <w:bCs/>
                <w:sz w:val="24"/>
              </w:rPr>
              <w:t>3</w:t>
            </w:r>
            <w:r>
              <w:rPr>
                <w:rFonts w:hint="eastAsia" w:ascii="方正仿宋简体" w:hAnsi="宋体" w:eastAsia="方正仿宋简体" w:cs="宋体"/>
                <w:b/>
                <w:bCs/>
                <w:sz w:val="24"/>
              </w:rPr>
              <w:t>家省级工业互联网平台，评选</w:t>
            </w:r>
            <w:r>
              <w:rPr>
                <w:rFonts w:hint="eastAsia" w:ascii="方正仿宋简体" w:eastAsia="方正仿宋简体"/>
                <w:b/>
                <w:bCs/>
                <w:sz w:val="24"/>
              </w:rPr>
              <w:t>20</w:t>
            </w:r>
            <w:r>
              <w:rPr>
                <w:rFonts w:hint="eastAsia" w:ascii="方正仿宋简体" w:hAnsi="宋体" w:eastAsia="方正仿宋简体" w:cs="宋体"/>
                <w:b/>
                <w:bCs/>
                <w:sz w:val="24"/>
              </w:rPr>
              <w:t>家工业互联网示范标杆，推动</w:t>
            </w:r>
            <w:r>
              <w:rPr>
                <w:rFonts w:hint="eastAsia" w:ascii="方正仿宋简体" w:eastAsia="方正仿宋简体"/>
                <w:b/>
                <w:bCs/>
                <w:sz w:val="24"/>
              </w:rPr>
              <w:t>30</w:t>
            </w:r>
            <w:r>
              <w:rPr>
                <w:rFonts w:hint="eastAsia" w:ascii="方正仿宋简体" w:hAnsi="宋体" w:eastAsia="方正仿宋简体" w:cs="宋体"/>
                <w:b/>
                <w:bCs/>
                <w:sz w:val="24"/>
              </w:rPr>
              <w:t>家企业、</w:t>
            </w:r>
            <w:r>
              <w:rPr>
                <w:rFonts w:hint="eastAsia" w:ascii="方正仿宋简体" w:eastAsia="方正仿宋简体"/>
                <w:b/>
                <w:bCs/>
                <w:sz w:val="24"/>
              </w:rPr>
              <w:t>1000</w:t>
            </w:r>
            <w:r>
              <w:rPr>
                <w:rFonts w:hint="eastAsia" w:ascii="方正仿宋简体" w:hAnsi="宋体" w:eastAsia="方正仿宋简体" w:cs="宋体"/>
                <w:b/>
                <w:bCs/>
                <w:sz w:val="24"/>
              </w:rPr>
              <w:t>台工业设备上云上平台；壮大电子信息制造业，以集成电路等产业为重点，加快实施珞石机器人二期等</w:t>
            </w:r>
            <w:r>
              <w:rPr>
                <w:rFonts w:hint="eastAsia" w:ascii="方正仿宋简体" w:eastAsia="方正仿宋简体"/>
                <w:b/>
                <w:bCs/>
                <w:sz w:val="24"/>
              </w:rPr>
              <w:t>20</w:t>
            </w:r>
            <w:r>
              <w:rPr>
                <w:rFonts w:hint="eastAsia" w:ascii="方正仿宋简体" w:hAnsi="宋体" w:eastAsia="方正仿宋简体" w:cs="宋体"/>
                <w:b/>
                <w:bCs/>
                <w:sz w:val="24"/>
              </w:rPr>
              <w:t>个支撑性项目，做强机器人、集成电路</w:t>
            </w:r>
            <w:r>
              <w:rPr>
                <w:rFonts w:hint="eastAsia" w:ascii="方正仿宋简体" w:eastAsia="方正仿宋简体"/>
                <w:b/>
                <w:bCs/>
                <w:sz w:val="24"/>
              </w:rPr>
              <w:t>2</w:t>
            </w:r>
            <w:r>
              <w:rPr>
                <w:rFonts w:hint="eastAsia" w:ascii="方正仿宋简体" w:hAnsi="宋体" w:eastAsia="方正仿宋简体" w:cs="宋体"/>
                <w:b/>
                <w:bCs/>
                <w:sz w:val="24"/>
              </w:rPr>
              <w:t>条产业链；提升软件和信息技术服务业，高水平建设新风光电子科技等</w:t>
            </w:r>
            <w:r>
              <w:rPr>
                <w:rFonts w:hint="eastAsia" w:ascii="方正仿宋简体" w:eastAsia="方正仿宋简体"/>
                <w:b/>
                <w:bCs/>
                <w:sz w:val="24"/>
              </w:rPr>
              <w:t>5</w:t>
            </w:r>
            <w:r>
              <w:rPr>
                <w:rFonts w:hint="eastAsia" w:ascii="方正仿宋简体" w:hAnsi="宋体" w:eastAsia="方正仿宋简体" w:cs="宋体"/>
                <w:b/>
                <w:bCs/>
                <w:sz w:val="24"/>
              </w:rPr>
              <w:t>家省级软件工程技术中心；打造数字经济特色园区，加快兖州区省级工业互联网园区建设，培育济宁高新区为省级工业互联网园区，支持济宁高新区建设省级软件名园，</w:t>
            </w:r>
            <w:r>
              <w:rPr>
                <w:rFonts w:hint="default" w:ascii="方正仿宋简体" w:hAnsi="宋体" w:eastAsia="方正仿宋简体" w:cs="宋体"/>
                <w:b/>
                <w:bCs/>
                <w:sz w:val="24"/>
              </w:rPr>
              <w:t>支</w:t>
            </w:r>
            <w:r>
              <w:rPr>
                <w:rFonts w:hint="eastAsia" w:ascii="方正仿宋简体" w:hAnsi="宋体" w:eastAsia="方正仿宋简体" w:cs="宋体"/>
                <w:b/>
                <w:bCs/>
                <w:sz w:val="24"/>
              </w:rPr>
              <w:t>持现有</w:t>
            </w:r>
            <w:r>
              <w:rPr>
                <w:rFonts w:hint="eastAsia" w:ascii="方正仿宋简体" w:eastAsia="方正仿宋简体"/>
                <w:b/>
                <w:bCs/>
                <w:sz w:val="24"/>
              </w:rPr>
              <w:t>7</w:t>
            </w:r>
            <w:r>
              <w:rPr>
                <w:rFonts w:hint="eastAsia" w:ascii="方正仿宋简体" w:hAnsi="宋体" w:eastAsia="方正仿宋简体" w:cs="宋体"/>
                <w:b/>
                <w:bCs/>
                <w:sz w:val="24"/>
              </w:rPr>
              <w:t>家省级数字经济园区</w:t>
            </w:r>
            <w:r>
              <w:rPr>
                <w:rFonts w:hint="default" w:ascii="方正仿宋简体" w:hAnsi="宋体" w:eastAsia="方正仿宋简体" w:cs="宋体"/>
                <w:b/>
                <w:bCs/>
                <w:sz w:val="24"/>
              </w:rPr>
              <w:t>建设</w:t>
            </w:r>
            <w:r>
              <w:rPr>
                <w:rFonts w:hint="eastAsia" w:ascii="方正仿宋简体" w:hAnsi="宋体" w:eastAsia="方正仿宋简体" w:cs="宋体"/>
                <w:b/>
                <w:bCs/>
                <w:sz w:val="24"/>
              </w:rPr>
              <w:t>，新增</w:t>
            </w:r>
            <w:r>
              <w:rPr>
                <w:rFonts w:hint="eastAsia" w:ascii="方正仿宋简体" w:eastAsia="方正仿宋简体"/>
                <w:b/>
                <w:bCs/>
                <w:sz w:val="24"/>
              </w:rPr>
              <w:t>2</w:t>
            </w:r>
            <w:r>
              <w:rPr>
                <w:rFonts w:hint="eastAsia" w:ascii="方正仿宋简体" w:hAnsi="宋体" w:eastAsia="方正仿宋简体" w:cs="宋体"/>
                <w:b/>
                <w:bCs/>
                <w:sz w:val="24"/>
              </w:rPr>
              <w:t>家省级数字经济园区。</w:t>
            </w:r>
          </w:p>
        </w:tc>
      </w:tr>
      <w:tr>
        <w:tblPrEx>
          <w:tblCellMar>
            <w:top w:w="0" w:type="dxa"/>
            <w:left w:w="108" w:type="dxa"/>
            <w:bottom w:w="0" w:type="dxa"/>
            <w:right w:w="108" w:type="dxa"/>
          </w:tblCellMar>
        </w:tblPrEx>
        <w:trPr>
          <w:trHeight w:val="1253"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280" w:lineRule="exact"/>
              <w:rPr>
                <w:rFonts w:ascii="方正仿宋简体" w:hAnsi="宋体" w:eastAsia="方正仿宋简体" w:cs="宋体"/>
                <w:b/>
                <w:bCs/>
                <w:sz w:val="24"/>
              </w:rPr>
            </w:pPr>
            <w:r>
              <w:rPr>
                <w:rFonts w:hint="eastAsia" w:ascii="方正仿宋简体" w:hAnsi="宋体" w:eastAsia="方正仿宋简体" w:cs="宋体"/>
                <w:b/>
                <w:bCs/>
                <w:sz w:val="24"/>
              </w:rPr>
              <w:t>加快数字基础设施建设，实施</w:t>
            </w:r>
            <w:r>
              <w:rPr>
                <w:rFonts w:hint="eastAsia" w:ascii="方正仿宋简体" w:eastAsia="方正仿宋简体"/>
                <w:b/>
                <w:bCs/>
                <w:sz w:val="24"/>
              </w:rPr>
              <w:t>“</w:t>
            </w:r>
            <w:r>
              <w:rPr>
                <w:rFonts w:hint="eastAsia" w:ascii="方正仿宋简体" w:hAnsi="宋体" w:eastAsia="方正仿宋简体" w:cs="宋体"/>
                <w:b/>
                <w:bCs/>
                <w:sz w:val="24"/>
              </w:rPr>
              <w:t>千兆入户、万兆入园</w:t>
            </w:r>
            <w:r>
              <w:rPr>
                <w:rFonts w:hint="eastAsia" w:ascii="方正仿宋简体" w:eastAsia="方正仿宋简体"/>
                <w:b/>
                <w:bCs/>
                <w:sz w:val="24"/>
              </w:rPr>
              <w:t>”</w:t>
            </w:r>
            <w:r>
              <w:rPr>
                <w:rFonts w:hint="eastAsia" w:ascii="方正仿宋简体" w:hAnsi="宋体" w:eastAsia="方正仿宋简体" w:cs="宋体"/>
                <w:b/>
                <w:bCs/>
                <w:sz w:val="24"/>
              </w:rPr>
              <w:t>和</w:t>
            </w:r>
            <w:r>
              <w:rPr>
                <w:rFonts w:hint="eastAsia" w:ascii="方正仿宋简体" w:eastAsia="方正仿宋简体"/>
                <w:b/>
                <w:bCs/>
                <w:sz w:val="24"/>
              </w:rPr>
              <w:t>“</w:t>
            </w:r>
            <w:r>
              <w:rPr>
                <w:rFonts w:hint="eastAsia" w:ascii="方正仿宋简体" w:hAnsi="宋体" w:eastAsia="方正仿宋简体" w:cs="宋体"/>
                <w:b/>
                <w:bCs/>
                <w:sz w:val="24"/>
              </w:rPr>
              <w:t>双千兆</w:t>
            </w:r>
            <w:r>
              <w:rPr>
                <w:rFonts w:hint="eastAsia" w:ascii="方正仿宋简体" w:eastAsia="方正仿宋简体"/>
                <w:b/>
                <w:bCs/>
                <w:sz w:val="24"/>
              </w:rPr>
              <w:t>”</w:t>
            </w:r>
            <w:r>
              <w:rPr>
                <w:rFonts w:hint="eastAsia" w:ascii="方正仿宋简体" w:hAnsi="宋体" w:eastAsia="方正仿宋简体" w:cs="宋体"/>
                <w:b/>
                <w:bCs/>
                <w:sz w:val="24"/>
              </w:rPr>
              <w:t>工程，建设高质量、大规模独立组网</w:t>
            </w:r>
            <w:r>
              <w:rPr>
                <w:rFonts w:hint="eastAsia" w:ascii="方正仿宋简体" w:eastAsia="方正仿宋简体"/>
                <w:b/>
                <w:bCs/>
                <w:sz w:val="24"/>
              </w:rPr>
              <w:t>5G</w:t>
            </w:r>
            <w:r>
              <w:rPr>
                <w:rFonts w:hint="eastAsia" w:ascii="方正仿宋简体" w:hAnsi="宋体" w:eastAsia="方正仿宋简体" w:cs="宋体"/>
                <w:b/>
                <w:bCs/>
                <w:sz w:val="24"/>
              </w:rPr>
              <w:t>网络，年内新建成开通</w:t>
            </w:r>
            <w:r>
              <w:rPr>
                <w:rFonts w:hint="eastAsia" w:ascii="方正仿宋简体" w:eastAsia="方正仿宋简体"/>
                <w:b/>
                <w:bCs/>
                <w:sz w:val="24"/>
              </w:rPr>
              <w:t>5G</w:t>
            </w:r>
            <w:r>
              <w:rPr>
                <w:rFonts w:hint="eastAsia" w:ascii="方正仿宋简体" w:hAnsi="宋体" w:eastAsia="方正仿宋简体" w:cs="宋体"/>
                <w:b/>
                <w:bCs/>
                <w:sz w:val="24"/>
              </w:rPr>
              <w:t>基站</w:t>
            </w:r>
            <w:r>
              <w:rPr>
                <w:rFonts w:hint="eastAsia" w:ascii="方正仿宋简体" w:eastAsia="方正仿宋简体"/>
                <w:b/>
                <w:bCs/>
                <w:sz w:val="24"/>
              </w:rPr>
              <w:t>2600</w:t>
            </w:r>
            <w:r>
              <w:rPr>
                <w:rFonts w:hint="eastAsia" w:ascii="方正仿宋简体" w:hAnsi="宋体" w:eastAsia="方正仿宋简体" w:cs="宋体"/>
                <w:b/>
                <w:bCs/>
                <w:sz w:val="24"/>
              </w:rPr>
              <w:t>个以上，形成城区深度覆盖、典型应用场景精准覆盖、乡镇驻地全覆盖、全市行政村</w:t>
            </w:r>
            <w:r>
              <w:rPr>
                <w:rFonts w:hint="eastAsia" w:ascii="方正仿宋简体" w:eastAsia="方正仿宋简体"/>
                <w:b/>
                <w:bCs/>
                <w:sz w:val="24"/>
              </w:rPr>
              <w:t>5G</w:t>
            </w:r>
            <w:r>
              <w:rPr>
                <w:rFonts w:hint="eastAsia" w:ascii="方正仿宋简体" w:hAnsi="宋体" w:eastAsia="方正仿宋简体" w:cs="宋体"/>
                <w:b/>
                <w:bCs/>
                <w:sz w:val="24"/>
              </w:rPr>
              <w:t>网络通达率达</w:t>
            </w:r>
            <w:r>
              <w:rPr>
                <w:rFonts w:hint="eastAsia" w:ascii="方正仿宋简体" w:eastAsia="方正仿宋简体"/>
                <w:b/>
                <w:bCs/>
                <w:sz w:val="24"/>
              </w:rPr>
              <w:t>70%</w:t>
            </w:r>
            <w:r>
              <w:rPr>
                <w:rFonts w:hint="eastAsia" w:ascii="方正仿宋简体" w:hAnsi="宋体" w:eastAsia="方正仿宋简体" w:cs="宋体"/>
                <w:b/>
                <w:bCs/>
                <w:sz w:val="24"/>
              </w:rPr>
              <w:t>以上的</w:t>
            </w:r>
            <w:r>
              <w:rPr>
                <w:rFonts w:hint="eastAsia" w:ascii="方正仿宋简体" w:eastAsia="方正仿宋简体"/>
                <w:b/>
                <w:bCs/>
                <w:sz w:val="24"/>
              </w:rPr>
              <w:t>5G</w:t>
            </w:r>
            <w:r>
              <w:rPr>
                <w:rFonts w:hint="eastAsia" w:ascii="方正仿宋简体" w:hAnsi="宋体" w:eastAsia="方正仿宋简体" w:cs="宋体"/>
                <w:b/>
                <w:bCs/>
                <w:sz w:val="24"/>
              </w:rPr>
              <w:t>网络格局，大力发展高品质千兆光纤网络，建设万兆无源光网络及以上端口数占比达到</w:t>
            </w:r>
            <w:r>
              <w:rPr>
                <w:rFonts w:hint="eastAsia" w:ascii="方正仿宋简体" w:eastAsia="方正仿宋简体"/>
                <w:b/>
                <w:bCs/>
                <w:sz w:val="24"/>
              </w:rPr>
              <w:t>40%</w:t>
            </w:r>
            <w:r>
              <w:rPr>
                <w:rFonts w:hint="eastAsia" w:ascii="方正仿宋简体" w:hAnsi="宋体" w:eastAsia="方正仿宋简体" w:cs="宋体"/>
                <w:b/>
                <w:bCs/>
                <w:sz w:val="24"/>
              </w:rPr>
              <w:t>。</w:t>
            </w:r>
          </w:p>
        </w:tc>
      </w:tr>
      <w:tr>
        <w:tblPrEx>
          <w:tblCellMar>
            <w:top w:w="0" w:type="dxa"/>
            <w:left w:w="108" w:type="dxa"/>
            <w:bottom w:w="0" w:type="dxa"/>
            <w:right w:w="108" w:type="dxa"/>
          </w:tblCellMar>
        </w:tblPrEx>
        <w:trPr>
          <w:trHeight w:val="925"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280" w:lineRule="exact"/>
              <w:rPr>
                <w:rFonts w:ascii="方正仿宋简体" w:hAnsi="宋体" w:eastAsia="方正仿宋简体" w:cs="宋体"/>
                <w:b/>
                <w:bCs/>
                <w:sz w:val="24"/>
              </w:rPr>
            </w:pPr>
            <w:r>
              <w:rPr>
                <w:rFonts w:hint="eastAsia" w:ascii="方正仿宋简体" w:hAnsi="宋体" w:eastAsia="方正仿宋简体" w:cs="宋体"/>
                <w:b/>
                <w:bCs/>
                <w:sz w:val="24"/>
              </w:rPr>
              <w:t>优化整合</w:t>
            </w:r>
            <w:r>
              <w:rPr>
                <w:rFonts w:hint="eastAsia" w:ascii="方正仿宋简体" w:eastAsia="方正仿宋简体"/>
                <w:b/>
                <w:bCs/>
                <w:sz w:val="24"/>
              </w:rPr>
              <w:t>“</w:t>
            </w:r>
            <w:r>
              <w:rPr>
                <w:rFonts w:hint="eastAsia" w:ascii="方正仿宋简体" w:hAnsi="宋体" w:eastAsia="方正仿宋简体" w:cs="宋体"/>
                <w:b/>
                <w:bCs/>
                <w:sz w:val="24"/>
              </w:rPr>
              <w:t>亩产效益</w:t>
            </w:r>
            <w:r>
              <w:rPr>
                <w:rFonts w:hint="eastAsia" w:ascii="方正仿宋简体" w:eastAsia="方正仿宋简体"/>
                <w:b/>
                <w:bCs/>
                <w:sz w:val="24"/>
              </w:rPr>
              <w:t>”</w:t>
            </w:r>
            <w:r>
              <w:rPr>
                <w:rFonts w:hint="eastAsia" w:ascii="方正仿宋简体" w:hAnsi="宋体" w:eastAsia="方正仿宋简体" w:cs="宋体"/>
                <w:b/>
                <w:bCs/>
                <w:sz w:val="24"/>
              </w:rPr>
              <w:t>综合评价大数据平台、助企攀登系统平台，搭建综合性工业经济高质量发展大数据平台，运用信息化手段实现对工业运行、助企攀登、项目建设、产业发展管理的数字化提升，为全市工业高质量发展提供科学决策和支撑。</w:t>
            </w:r>
          </w:p>
        </w:tc>
      </w:tr>
      <w:tr>
        <w:tblPrEx>
          <w:tblCellMar>
            <w:top w:w="0" w:type="dxa"/>
            <w:left w:w="108" w:type="dxa"/>
            <w:bottom w:w="0" w:type="dxa"/>
            <w:right w:w="108" w:type="dxa"/>
          </w:tblCellMar>
        </w:tblPrEx>
        <w:trPr>
          <w:trHeight w:val="105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w:t>
            </w:r>
          </w:p>
        </w:tc>
        <w:tc>
          <w:tcPr>
            <w:tcW w:w="10224" w:type="dxa"/>
            <w:tcBorders>
              <w:top w:val="nil"/>
              <w:left w:val="nil"/>
              <w:bottom w:val="single" w:color="auto" w:sz="4" w:space="0"/>
              <w:right w:val="single" w:color="auto" w:sz="4" w:space="0"/>
            </w:tcBorders>
            <w:vAlign w:val="center"/>
          </w:tcPr>
          <w:p>
            <w:pPr>
              <w:widowControl/>
              <w:spacing w:line="26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753"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5</w:t>
            </w:r>
          </w:p>
        </w:tc>
        <w:tc>
          <w:tcPr>
            <w:tcW w:w="10224" w:type="dxa"/>
            <w:tcBorders>
              <w:top w:val="nil"/>
              <w:left w:val="nil"/>
              <w:bottom w:val="single" w:color="auto" w:sz="4" w:space="0"/>
              <w:right w:val="single" w:color="auto" w:sz="4" w:space="0"/>
            </w:tcBorders>
            <w:vAlign w:val="center"/>
          </w:tcPr>
          <w:p>
            <w:pPr>
              <w:widowControl/>
              <w:spacing w:line="260" w:lineRule="exact"/>
              <w:rPr>
                <w:rFonts w:ascii="方正仿宋简体" w:hAnsi="宋体" w:eastAsia="方正仿宋简体" w:cs="宋体"/>
                <w:b/>
                <w:bCs/>
                <w:sz w:val="24"/>
              </w:rPr>
            </w:pPr>
            <w:r>
              <w:rPr>
                <w:rFonts w:hint="eastAsia" w:ascii="方正仿宋简体" w:hAnsi="宋体" w:eastAsia="方正仿宋简体" w:cs="宋体"/>
                <w:b/>
                <w:bCs/>
                <w:sz w:val="24"/>
              </w:rPr>
              <w:t>加大</w:t>
            </w:r>
            <w:r>
              <w:rPr>
                <w:rFonts w:hint="eastAsia" w:ascii="方正仿宋简体" w:eastAsia="方正仿宋简体"/>
                <w:b/>
                <w:bCs/>
                <w:sz w:val="24"/>
              </w:rPr>
              <w:t>“</w:t>
            </w:r>
            <w:r>
              <w:rPr>
                <w:rFonts w:hint="eastAsia" w:ascii="方正仿宋简体" w:hAnsi="宋体" w:eastAsia="方正仿宋简体" w:cs="宋体"/>
                <w:b/>
                <w:bCs/>
                <w:sz w:val="24"/>
              </w:rPr>
              <w:t>惠企通</w:t>
            </w:r>
            <w:r>
              <w:rPr>
                <w:rFonts w:hint="eastAsia" w:ascii="方正仿宋简体" w:eastAsia="方正仿宋简体"/>
                <w:b/>
                <w:bCs/>
                <w:sz w:val="24"/>
              </w:rPr>
              <w:t>”</w:t>
            </w:r>
            <w:r>
              <w:rPr>
                <w:rFonts w:hint="eastAsia" w:ascii="方正仿宋简体" w:hAnsi="宋体" w:eastAsia="方正仿宋简体" w:cs="宋体"/>
                <w:b/>
                <w:bCs/>
                <w:sz w:val="24"/>
              </w:rPr>
              <w:t>服务平台推广应用利用，实现政策收集、发布、解读、推送、申报、兑现等全环节、全流程线上办理。</w:t>
            </w:r>
          </w:p>
        </w:tc>
      </w:tr>
      <w:tr>
        <w:tblPrEx>
          <w:tblCellMar>
            <w:top w:w="0" w:type="dxa"/>
            <w:left w:w="108" w:type="dxa"/>
            <w:bottom w:w="0" w:type="dxa"/>
            <w:right w:w="108" w:type="dxa"/>
          </w:tblCellMar>
        </w:tblPrEx>
        <w:trPr>
          <w:trHeight w:val="757"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6</w:t>
            </w:r>
          </w:p>
        </w:tc>
        <w:tc>
          <w:tcPr>
            <w:tcW w:w="10224" w:type="dxa"/>
            <w:tcBorders>
              <w:top w:val="single" w:color="auto" w:sz="4" w:space="0"/>
              <w:left w:val="single" w:color="auto" w:sz="4" w:space="0"/>
              <w:bottom w:val="single" w:color="auto" w:sz="4" w:space="0"/>
              <w:right w:val="single" w:color="auto" w:sz="4" w:space="0"/>
            </w:tcBorders>
            <w:vAlign w:val="center"/>
          </w:tcPr>
          <w:p>
            <w:pPr>
              <w:widowControl/>
              <w:spacing w:line="260" w:lineRule="exact"/>
              <w:rPr>
                <w:rFonts w:ascii="方正仿宋简体" w:hAnsi="宋体" w:eastAsia="方正仿宋简体" w:cs="宋体"/>
                <w:b/>
                <w:bCs/>
                <w:sz w:val="24"/>
              </w:rPr>
            </w:pPr>
            <w:r>
              <w:rPr>
                <w:rFonts w:hint="eastAsia" w:ascii="方正仿宋简体" w:hAnsi="宋体" w:eastAsia="方正仿宋简体" w:cs="宋体"/>
                <w:b/>
                <w:bCs/>
                <w:sz w:val="24"/>
              </w:rPr>
              <w:t>加快新型智慧城市建设，</w:t>
            </w:r>
            <w:r>
              <w:rPr>
                <w:rFonts w:hint="eastAsia" w:ascii="方正仿宋简体" w:eastAsia="方正仿宋简体"/>
                <w:b/>
                <w:bCs/>
                <w:sz w:val="24"/>
              </w:rPr>
              <w:t>11</w:t>
            </w:r>
            <w:r>
              <w:rPr>
                <w:rFonts w:hint="eastAsia" w:ascii="方正仿宋简体" w:hAnsi="宋体" w:eastAsia="方正仿宋简体" w:cs="宋体"/>
                <w:b/>
                <w:bCs/>
                <w:sz w:val="24"/>
              </w:rPr>
              <w:t>月底前数字经济园区情况、数字经济项目情况、</w:t>
            </w:r>
            <w:r>
              <w:rPr>
                <w:rFonts w:hint="eastAsia" w:ascii="方正仿宋简体" w:eastAsia="方正仿宋简体"/>
                <w:b/>
                <w:bCs/>
                <w:sz w:val="24"/>
              </w:rPr>
              <w:t>5G</w:t>
            </w:r>
            <w:r>
              <w:rPr>
                <w:rFonts w:hint="eastAsia" w:ascii="方正仿宋简体" w:hAnsi="宋体" w:eastAsia="方正仿宋简体" w:cs="宋体"/>
                <w:b/>
                <w:bCs/>
                <w:sz w:val="24"/>
              </w:rPr>
              <w:t>网络建设情况、宽带网络建设情况达到四星级要求。</w:t>
            </w:r>
          </w:p>
        </w:tc>
      </w:tr>
      <w:tr>
        <w:tblPrEx>
          <w:tblCellMar>
            <w:top w:w="0" w:type="dxa"/>
            <w:left w:w="108" w:type="dxa"/>
            <w:bottom w:w="0" w:type="dxa"/>
            <w:right w:w="108" w:type="dxa"/>
          </w:tblCellMar>
        </w:tblPrEx>
        <w:trPr>
          <w:trHeight w:val="1358"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14</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市公安局</w:t>
            </w:r>
          </w:p>
        </w:tc>
        <w:tc>
          <w:tcPr>
            <w:tcW w:w="680"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single" w:color="auto" w:sz="4" w:space="0"/>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505"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重点场景应用，</w:t>
            </w:r>
            <w:r>
              <w:rPr>
                <w:rFonts w:hint="eastAsia" w:ascii="方正仿宋简体" w:eastAsia="方正仿宋简体"/>
                <w:b/>
                <w:bCs/>
                <w:sz w:val="24"/>
              </w:rPr>
              <w:t>11</w:t>
            </w:r>
            <w:r>
              <w:rPr>
                <w:rFonts w:hint="eastAsia" w:ascii="方正仿宋简体" w:hAnsi="宋体" w:eastAsia="方正仿宋简体" w:cs="宋体"/>
                <w:b/>
                <w:bCs/>
                <w:sz w:val="24"/>
              </w:rPr>
              <w:t>月底前完成酒店入住领域</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场景应用工作。</w:t>
            </w:r>
          </w:p>
        </w:tc>
      </w:tr>
      <w:tr>
        <w:tblPrEx>
          <w:tblCellMar>
            <w:top w:w="0" w:type="dxa"/>
            <w:left w:w="108" w:type="dxa"/>
            <w:bottom w:w="0" w:type="dxa"/>
            <w:right w:w="108" w:type="dxa"/>
          </w:tblCellMar>
        </w:tblPrEx>
        <w:trPr>
          <w:trHeight w:val="161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推进“无证明城市”建设，加大电子证照证明制发力度，根</w:t>
            </w:r>
            <w:r>
              <w:rPr>
                <w:rFonts w:hint="eastAsia" w:ascii="方正仿宋简体" w:eastAsia="方正仿宋简体"/>
                <w:b/>
                <w:bCs/>
                <w:sz w:val="24"/>
              </w:rPr>
              <w:t>据办理事项，实时更新安全防范设施合格证、保安员证、保安服务许可证等电子证照；加大电子证照应用力度，11月底前打造企业办事社会化应用场景，企业使用电子营业执照办理公章刻制时，办事人员在线获取电子营业</w:t>
            </w:r>
            <w:r>
              <w:rPr>
                <w:rFonts w:hint="eastAsia" w:ascii="方正仿宋简体" w:hAnsi="宋体" w:eastAsia="方正仿宋简体" w:cs="宋体"/>
                <w:b/>
                <w:bCs/>
                <w:sz w:val="24"/>
              </w:rPr>
              <w:t>执照、电子事业单位法人证书等证照证明，无需企业提供纸质材料，实现“手机亮证，在线验证”。</w:t>
            </w:r>
          </w:p>
        </w:tc>
      </w:tr>
      <w:tr>
        <w:tblPrEx>
          <w:tblCellMar>
            <w:top w:w="0" w:type="dxa"/>
            <w:left w:w="108" w:type="dxa"/>
            <w:bottom w:w="0" w:type="dxa"/>
            <w:right w:w="108" w:type="dxa"/>
          </w:tblCellMar>
        </w:tblPrEx>
        <w:trPr>
          <w:trHeight w:val="836"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依托济宁城区智能交通（一期）项目，进一步完善城区智能交通管控系统，从建设、应用、数据融合三个方面出发，强化科技赋能，不断提升个人交通出行服务水平。</w:t>
            </w:r>
          </w:p>
        </w:tc>
      </w:tr>
      <w:tr>
        <w:tblPrEx>
          <w:tblCellMar>
            <w:top w:w="0" w:type="dxa"/>
            <w:left w:w="108" w:type="dxa"/>
            <w:bottom w:w="0" w:type="dxa"/>
            <w:right w:w="108" w:type="dxa"/>
          </w:tblCellMar>
        </w:tblPrEx>
        <w:trPr>
          <w:trHeight w:val="547"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5</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加快新型智慧城市建设，</w:t>
            </w:r>
            <w:r>
              <w:rPr>
                <w:rFonts w:hint="eastAsia" w:ascii="方正仿宋简体" w:eastAsia="方正仿宋简体"/>
                <w:b/>
                <w:bCs/>
                <w:sz w:val="24"/>
              </w:rPr>
              <w:t>11</w:t>
            </w:r>
            <w:r>
              <w:rPr>
                <w:rFonts w:hint="eastAsia" w:ascii="方正仿宋简体" w:hAnsi="宋体" w:eastAsia="方正仿宋简体" w:cs="宋体"/>
                <w:b/>
                <w:bCs/>
                <w:sz w:val="24"/>
              </w:rPr>
              <w:t>月底前个人交通出行服务水平、视频监控建设情况达到四星级要求。</w:t>
            </w:r>
          </w:p>
        </w:tc>
      </w:tr>
      <w:tr>
        <w:tblPrEx>
          <w:tblCellMar>
            <w:top w:w="0" w:type="dxa"/>
            <w:left w:w="108" w:type="dxa"/>
            <w:bottom w:w="0" w:type="dxa"/>
            <w:right w:w="108" w:type="dxa"/>
          </w:tblCellMar>
        </w:tblPrEx>
        <w:trPr>
          <w:trHeight w:val="1246"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15</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市民政局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60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用好省低收入人口监测信息平台，提升对符合条件的困难群众救助服务效能。</w:t>
            </w:r>
          </w:p>
        </w:tc>
      </w:tr>
      <w:tr>
        <w:tblPrEx>
          <w:tblCellMar>
            <w:top w:w="0" w:type="dxa"/>
            <w:left w:w="108" w:type="dxa"/>
            <w:bottom w:w="0" w:type="dxa"/>
            <w:right w:w="108" w:type="dxa"/>
          </w:tblCellMar>
        </w:tblPrEx>
        <w:trPr>
          <w:trHeight w:val="1218"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hint="default" w:ascii="方正仿宋简体" w:hAnsi="宋体" w:eastAsia="方正仿宋简体" w:cs="宋体"/>
                <w:b/>
                <w:bCs/>
                <w:sz w:val="24"/>
              </w:rPr>
            </w:pPr>
            <w:r>
              <w:rPr>
                <w:rFonts w:hint="eastAsia" w:ascii="方正仿宋简体" w:hAnsi="宋体" w:eastAsia="方正仿宋简体" w:cs="宋体"/>
                <w:b/>
                <w:bCs/>
                <w:sz w:val="24"/>
              </w:rPr>
              <w:t>推进惠民补贴政策免申即享，</w:t>
            </w:r>
            <w:r>
              <w:rPr>
                <w:rFonts w:hint="eastAsia" w:ascii="方正仿宋简体" w:eastAsia="方正仿宋简体"/>
                <w:b/>
                <w:bCs/>
                <w:sz w:val="24"/>
              </w:rPr>
              <w:t>10</w:t>
            </w:r>
            <w:r>
              <w:rPr>
                <w:rFonts w:hint="eastAsia" w:ascii="方正仿宋简体" w:hAnsi="宋体" w:eastAsia="方正仿宋简体" w:cs="宋体"/>
                <w:b/>
                <w:bCs/>
                <w:sz w:val="24"/>
              </w:rPr>
              <w:t>月底前实现对困难群众救助保障补贴（残疾人等特殊人群生活补贴和护理补贴）、经济困难老年人补贴（年满</w:t>
            </w:r>
            <w:r>
              <w:rPr>
                <w:rFonts w:hint="eastAsia" w:ascii="方正仿宋简体" w:eastAsia="方正仿宋简体"/>
                <w:b/>
                <w:bCs/>
                <w:sz w:val="24"/>
              </w:rPr>
              <w:t>60</w:t>
            </w:r>
            <w:r>
              <w:rPr>
                <w:rFonts w:hint="default" w:ascii="方正仿宋简体" w:hAnsi="方正仿宋简体" w:eastAsia="方正仿宋简体" w:cs="方正仿宋简体"/>
                <w:b/>
                <w:bCs/>
                <w:sz w:val="24"/>
              </w:rPr>
              <w:t>—</w:t>
            </w:r>
            <w:r>
              <w:rPr>
                <w:rFonts w:hint="eastAsia" w:ascii="方正仿宋简体" w:eastAsia="方正仿宋简体"/>
                <w:b/>
                <w:bCs/>
                <w:sz w:val="24"/>
              </w:rPr>
              <w:t>99</w:t>
            </w:r>
            <w:r>
              <w:rPr>
                <w:rFonts w:hint="eastAsia" w:ascii="方正仿宋简体" w:hAnsi="宋体" w:eastAsia="方正仿宋简体" w:cs="宋体"/>
                <w:b/>
                <w:bCs/>
                <w:sz w:val="24"/>
              </w:rPr>
              <w:t>周岁经济困难老年人生活补贴和护理补贴）领取人员的精准分析，推动政策免申即享</w:t>
            </w:r>
            <w:r>
              <w:rPr>
                <w:rFonts w:hint="default" w:ascii="方正仿宋简体" w:hAnsi="宋体" w:eastAsia="方正仿宋简体" w:cs="宋体"/>
                <w:b/>
                <w:bCs/>
                <w:sz w:val="24"/>
              </w:rPr>
              <w:t>。</w:t>
            </w:r>
          </w:p>
        </w:tc>
      </w:tr>
      <w:tr>
        <w:tblPrEx>
          <w:tblCellMar>
            <w:top w:w="0" w:type="dxa"/>
            <w:left w:w="108" w:type="dxa"/>
            <w:bottom w:w="0" w:type="dxa"/>
            <w:right w:w="108" w:type="dxa"/>
          </w:tblCellMar>
        </w:tblPrEx>
        <w:trPr>
          <w:trHeight w:val="72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加快新型智慧城市建设，</w:t>
            </w:r>
            <w:r>
              <w:rPr>
                <w:rFonts w:hint="eastAsia" w:ascii="方正仿宋简体" w:eastAsia="方正仿宋简体"/>
                <w:b/>
                <w:bCs/>
                <w:sz w:val="24"/>
              </w:rPr>
              <w:t>11</w:t>
            </w:r>
            <w:r>
              <w:rPr>
                <w:rFonts w:hint="eastAsia" w:ascii="方正仿宋简体" w:hAnsi="宋体" w:eastAsia="方正仿宋简体" w:cs="宋体"/>
                <w:b/>
                <w:bCs/>
                <w:sz w:val="24"/>
              </w:rPr>
              <w:t>月底前养老机构智慧化水平达到四星级水平。</w:t>
            </w:r>
          </w:p>
        </w:tc>
      </w:tr>
      <w:tr>
        <w:tblPrEx>
          <w:tblCellMar>
            <w:top w:w="0" w:type="dxa"/>
            <w:left w:w="108" w:type="dxa"/>
            <w:bottom w:w="0" w:type="dxa"/>
            <w:right w:w="108" w:type="dxa"/>
          </w:tblCellMar>
        </w:tblPrEx>
        <w:trPr>
          <w:trHeight w:val="1149"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16</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市司法局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126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eastAsia="方正仿宋简体"/>
                <w:b/>
                <w:bCs/>
                <w:sz w:val="24"/>
              </w:rPr>
              <w:t>推进“无证明城市”建设，加强电子证照在行政执法领域应用，按照省统一工作安排，统筹部署推动行政执法证在监管执法中的应用，实现“亮证执法”。12月底前，在公共安全、交通运输、文化旅游、市场监管等高频场景实现“亮证或亮码核查”。</w:t>
            </w:r>
          </w:p>
        </w:tc>
      </w:tr>
      <w:tr>
        <w:tblPrEx>
          <w:tblCellMar>
            <w:top w:w="0" w:type="dxa"/>
            <w:left w:w="108" w:type="dxa"/>
            <w:bottom w:w="0" w:type="dxa"/>
            <w:right w:w="108" w:type="dxa"/>
          </w:tblCellMar>
        </w:tblPrEx>
        <w:trPr>
          <w:trHeight w:val="120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强化监管执法数字化应用，逐步实现行政执法全流程数字化运行、管理和监督；加快</w:t>
            </w:r>
            <w:r>
              <w:rPr>
                <w:rFonts w:hint="eastAsia" w:ascii="方正仿宋简体" w:eastAsia="方正仿宋简体"/>
                <w:b/>
                <w:bCs/>
                <w:sz w:val="24"/>
              </w:rPr>
              <w:t>“</w:t>
            </w:r>
            <w:r>
              <w:rPr>
                <w:rFonts w:hint="eastAsia" w:ascii="方正仿宋简体" w:hAnsi="宋体" w:eastAsia="方正仿宋简体" w:cs="宋体"/>
                <w:b/>
                <w:bCs/>
                <w:sz w:val="24"/>
              </w:rPr>
              <w:t>双随机、一公开</w:t>
            </w:r>
            <w:r>
              <w:rPr>
                <w:rFonts w:hint="eastAsia" w:ascii="方正仿宋简体" w:eastAsia="方正仿宋简体"/>
                <w:b/>
                <w:bCs/>
                <w:sz w:val="24"/>
              </w:rPr>
              <w:t>”</w:t>
            </w:r>
            <w:r>
              <w:rPr>
                <w:rFonts w:hint="eastAsia" w:ascii="方正仿宋简体" w:hAnsi="宋体" w:eastAsia="方正仿宋简体" w:cs="宋体"/>
                <w:b/>
                <w:bCs/>
                <w:sz w:val="24"/>
              </w:rPr>
              <w:t>以及信用监管在市场治理领域的融合应用，推动涉企信息统一归集，建立精准靶向的监管机制，实现风险动态评估和分类监管。</w:t>
            </w:r>
          </w:p>
        </w:tc>
      </w:tr>
      <w:tr>
        <w:tblPrEx>
          <w:tblCellMar>
            <w:top w:w="0" w:type="dxa"/>
            <w:left w:w="108" w:type="dxa"/>
            <w:bottom w:w="0" w:type="dxa"/>
            <w:right w:w="108" w:type="dxa"/>
          </w:tblCellMar>
        </w:tblPrEx>
        <w:trPr>
          <w:trHeight w:val="1204"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17</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市财政局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127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配合做好工业经济高质量发展大数据平台建设，优化整合</w:t>
            </w:r>
            <w:r>
              <w:rPr>
                <w:rFonts w:hint="eastAsia" w:ascii="方正仿宋简体" w:eastAsia="方正仿宋简体"/>
                <w:b/>
                <w:bCs/>
                <w:sz w:val="24"/>
              </w:rPr>
              <w:t>“</w:t>
            </w:r>
            <w:r>
              <w:rPr>
                <w:rFonts w:hint="eastAsia" w:ascii="方正仿宋简体" w:hAnsi="宋体" w:eastAsia="方正仿宋简体" w:cs="宋体"/>
                <w:b/>
                <w:bCs/>
                <w:sz w:val="24"/>
              </w:rPr>
              <w:t>亩产效益</w:t>
            </w:r>
            <w:r>
              <w:rPr>
                <w:rFonts w:hint="eastAsia" w:ascii="方正仿宋简体" w:eastAsia="方正仿宋简体"/>
                <w:b/>
                <w:bCs/>
                <w:sz w:val="24"/>
              </w:rPr>
              <w:t>”</w:t>
            </w:r>
            <w:r>
              <w:rPr>
                <w:rFonts w:hint="eastAsia" w:ascii="方正仿宋简体" w:hAnsi="宋体" w:eastAsia="方正仿宋简体" w:cs="宋体"/>
                <w:b/>
                <w:bCs/>
                <w:sz w:val="24"/>
              </w:rPr>
              <w:t>综合评价大数据平台、助企攀登系统平台等，搭建综合性工业经济高质量发展大数据平台，运用信息化手段实现对工业运行、助企攀登、项目建设、产业发展管理的数字化提升，为全市工业高质量发展提供科学决策和支撑。</w:t>
            </w:r>
          </w:p>
        </w:tc>
      </w:tr>
      <w:tr>
        <w:tblPrEx>
          <w:tblCellMar>
            <w:top w:w="0" w:type="dxa"/>
            <w:left w:w="108" w:type="dxa"/>
            <w:bottom w:w="0" w:type="dxa"/>
            <w:right w:w="108" w:type="dxa"/>
          </w:tblCellMar>
        </w:tblPrEx>
        <w:trPr>
          <w:trHeight w:val="118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动数据在金融服务领域应用，建立中小微企业标签库、资源库，实现金融资源智能匹配。鼓励各类金融机构入驻金融服务平台，创新金融服务产品，建立全市融资服务一张网，开展线上融资服务，助推银企高效对接。</w:t>
            </w:r>
          </w:p>
        </w:tc>
      </w:tr>
      <w:tr>
        <w:tblPrEx>
          <w:tblCellMar>
            <w:top w:w="0" w:type="dxa"/>
            <w:left w:w="108" w:type="dxa"/>
            <w:bottom w:w="0" w:type="dxa"/>
            <w:right w:w="108" w:type="dxa"/>
          </w:tblCellMar>
        </w:tblPrEx>
        <w:trPr>
          <w:trHeight w:val="798"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强化资金投入保障，将数字强市建设作为财政支出重点保障领域，统筹各级相关专项资金做好经费保障，建立多元化可持续投融资机制，鼓励引导各类社会资本积极参与数字强市建设。</w:t>
            </w:r>
          </w:p>
        </w:tc>
      </w:tr>
      <w:tr>
        <w:tblPrEx>
          <w:tblCellMar>
            <w:top w:w="0" w:type="dxa"/>
            <w:left w:w="108" w:type="dxa"/>
            <w:bottom w:w="0" w:type="dxa"/>
            <w:right w:w="108" w:type="dxa"/>
          </w:tblCellMar>
        </w:tblPrEx>
        <w:trPr>
          <w:trHeight w:val="603"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5</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加快新型智慧城市建设，</w:t>
            </w:r>
            <w:r>
              <w:rPr>
                <w:rFonts w:hint="eastAsia" w:ascii="方正仿宋简体" w:eastAsia="方正仿宋简体"/>
                <w:b/>
                <w:bCs/>
                <w:sz w:val="24"/>
              </w:rPr>
              <w:t>11</w:t>
            </w:r>
            <w:r>
              <w:rPr>
                <w:rFonts w:hint="eastAsia" w:ascii="方正仿宋简体" w:hAnsi="宋体" w:eastAsia="方正仿宋简体" w:cs="宋体"/>
                <w:b/>
                <w:bCs/>
                <w:sz w:val="24"/>
              </w:rPr>
              <w:t>月底前资金投入达到四星级要求。</w:t>
            </w:r>
          </w:p>
        </w:tc>
      </w:tr>
      <w:tr>
        <w:tblPrEx>
          <w:tblCellMar>
            <w:top w:w="0" w:type="dxa"/>
            <w:left w:w="108" w:type="dxa"/>
            <w:bottom w:w="0" w:type="dxa"/>
            <w:right w:w="108" w:type="dxa"/>
          </w:tblCellMar>
        </w:tblPrEx>
        <w:trPr>
          <w:trHeight w:val="1426" w:hRule="atLeast"/>
        </w:trPr>
        <w:tc>
          <w:tcPr>
            <w:tcW w:w="740"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18</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hint="eastAsia" w:ascii="方正仿宋简体" w:hAnsi="宋体" w:eastAsia="方正仿宋简体" w:cs="宋体"/>
                <w:b/>
                <w:bCs/>
                <w:sz w:val="24"/>
              </w:rPr>
            </w:pPr>
            <w:r>
              <w:rPr>
                <w:rFonts w:hint="eastAsia" w:ascii="方正仿宋简体" w:hAnsi="宋体" w:eastAsia="方正仿宋简体" w:cs="宋体"/>
                <w:b/>
                <w:bCs/>
                <w:sz w:val="24"/>
              </w:rPr>
              <w:t>市人力资源</w:t>
            </w:r>
          </w:p>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社会保障局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1368" w:hRule="atLeast"/>
        </w:trPr>
        <w:tc>
          <w:tcPr>
            <w:tcW w:w="740"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bCs/>
                <w:sz w:val="24"/>
              </w:rPr>
            </w:pPr>
            <w:r>
              <w:rPr>
                <w:rFonts w:hint="eastAsia" w:ascii="方正仿宋简体" w:eastAsia="方正仿宋简体"/>
                <w:b/>
                <w:bCs/>
                <w:sz w:val="24"/>
              </w:rPr>
              <w:t>深入推进“无证明城市”建设，加强电子证照社会化应用，11月底前打造人员招聘、教育培训、就业服务等社会化应用场景；加强电子证照政务服务应用，11月底前完成单位就业转失业人员失业登记、个人申领职业培训补贴、个人申请创业担保贷款资格审核等20个政务服务事项办理中电子证照应用。</w:t>
            </w:r>
          </w:p>
        </w:tc>
      </w:tr>
      <w:tr>
        <w:tblPrEx>
          <w:tblCellMar>
            <w:top w:w="0" w:type="dxa"/>
            <w:left w:w="108" w:type="dxa"/>
            <w:bottom w:w="0" w:type="dxa"/>
            <w:right w:w="108" w:type="dxa"/>
          </w:tblCellMar>
        </w:tblPrEx>
        <w:trPr>
          <w:trHeight w:val="1758" w:hRule="atLeast"/>
        </w:trPr>
        <w:tc>
          <w:tcPr>
            <w:tcW w:w="740"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推进惠民补贴政策免申即享，</w:t>
            </w:r>
            <w:r>
              <w:rPr>
                <w:rFonts w:hint="eastAsia" w:ascii="方正仿宋简体" w:eastAsia="方正仿宋简体"/>
                <w:b/>
                <w:bCs/>
                <w:sz w:val="24"/>
              </w:rPr>
              <w:t>10</w:t>
            </w:r>
            <w:r>
              <w:rPr>
                <w:rFonts w:hint="eastAsia" w:ascii="方正仿宋简体" w:hAnsi="宋体" w:eastAsia="方正仿宋简体" w:cs="宋体"/>
                <w:b/>
                <w:bCs/>
                <w:sz w:val="24"/>
              </w:rPr>
              <w:t>月底前实现对居民基本养老保险缴费补贴、困难群体最低标准养老保险费代缴（</w:t>
            </w:r>
            <w:r>
              <w:rPr>
                <w:rFonts w:hint="eastAsia" w:ascii="方正仿宋简体" w:eastAsia="方正仿宋简体"/>
                <w:b/>
                <w:bCs/>
                <w:sz w:val="24"/>
              </w:rPr>
              <w:t>16</w:t>
            </w:r>
            <w:r>
              <w:rPr>
                <w:rFonts w:hint="eastAsia" w:ascii="方正仿宋简体" w:hAnsi="宋体" w:eastAsia="方正仿宋简体" w:cs="宋体"/>
                <w:b/>
                <w:bCs/>
                <w:sz w:val="24"/>
              </w:rPr>
              <w:t>至</w:t>
            </w:r>
            <w:r>
              <w:rPr>
                <w:rFonts w:hint="eastAsia" w:ascii="方正仿宋简体" w:eastAsia="方正仿宋简体"/>
                <w:b/>
                <w:bCs/>
                <w:sz w:val="24"/>
              </w:rPr>
              <w:t>59</w:t>
            </w:r>
            <w:r>
              <w:rPr>
                <w:rFonts w:hint="eastAsia" w:ascii="方正仿宋简体" w:hAnsi="宋体" w:eastAsia="方正仿宋简体" w:cs="宋体"/>
                <w:b/>
                <w:bCs/>
                <w:sz w:val="24"/>
              </w:rPr>
              <w:t>周岁，低保对象、特困人员、脱贫享受政策人口、即时帮扶人口、重度残疾人全额代缴最低标准的居民养老保险费）、青年人才引进补贴（新全职来济自主创业的博士研究生、硕士研究生、全日制本科生）领取人员的精准分析，推动政策免申即享。</w:t>
            </w:r>
          </w:p>
        </w:tc>
      </w:tr>
      <w:tr>
        <w:tblPrEx>
          <w:tblCellMar>
            <w:top w:w="0" w:type="dxa"/>
            <w:left w:w="108" w:type="dxa"/>
            <w:bottom w:w="0" w:type="dxa"/>
            <w:right w:w="108" w:type="dxa"/>
          </w:tblCellMar>
        </w:tblPrEx>
        <w:trPr>
          <w:trHeight w:val="920" w:hRule="atLeast"/>
        </w:trPr>
        <w:tc>
          <w:tcPr>
            <w:tcW w:w="740"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重点场景应用，</w:t>
            </w:r>
            <w:r>
              <w:rPr>
                <w:rFonts w:hint="eastAsia" w:ascii="方正仿宋简体" w:eastAsia="方正仿宋简体"/>
                <w:b/>
                <w:bCs/>
                <w:sz w:val="24"/>
              </w:rPr>
              <w:t>11</w:t>
            </w:r>
            <w:r>
              <w:rPr>
                <w:rFonts w:hint="eastAsia" w:ascii="方正仿宋简体" w:hAnsi="宋体" w:eastAsia="方正仿宋简体" w:cs="宋体"/>
                <w:b/>
                <w:bCs/>
                <w:sz w:val="24"/>
              </w:rPr>
              <w:t>月底前完成人社政务大厅</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场景应用工作。</w:t>
            </w:r>
          </w:p>
        </w:tc>
      </w:tr>
      <w:tr>
        <w:tblPrEx>
          <w:tblCellMar>
            <w:top w:w="0" w:type="dxa"/>
            <w:left w:w="108" w:type="dxa"/>
            <w:bottom w:w="0" w:type="dxa"/>
            <w:right w:w="108" w:type="dxa"/>
          </w:tblCellMar>
        </w:tblPrEx>
        <w:trPr>
          <w:trHeight w:val="1064" w:hRule="atLeast"/>
        </w:trPr>
        <w:tc>
          <w:tcPr>
            <w:tcW w:w="740"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5</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加大</w:t>
            </w:r>
            <w:r>
              <w:rPr>
                <w:rFonts w:hint="eastAsia" w:ascii="方正仿宋简体" w:eastAsia="方正仿宋简体"/>
                <w:b/>
                <w:bCs/>
                <w:sz w:val="24"/>
              </w:rPr>
              <w:t>“</w:t>
            </w:r>
            <w:r>
              <w:rPr>
                <w:rFonts w:hint="eastAsia" w:ascii="方正仿宋简体" w:hAnsi="宋体" w:eastAsia="方正仿宋简体" w:cs="宋体"/>
                <w:b/>
                <w:bCs/>
                <w:sz w:val="24"/>
              </w:rPr>
              <w:t>惠企通</w:t>
            </w:r>
            <w:r>
              <w:rPr>
                <w:rFonts w:hint="eastAsia" w:ascii="方正仿宋简体" w:eastAsia="方正仿宋简体"/>
                <w:b/>
                <w:bCs/>
                <w:sz w:val="24"/>
              </w:rPr>
              <w:t>”</w:t>
            </w:r>
            <w:r>
              <w:rPr>
                <w:rFonts w:hint="eastAsia" w:ascii="方正仿宋简体" w:hAnsi="宋体" w:eastAsia="方正仿宋简体" w:cs="宋体"/>
                <w:b/>
                <w:bCs/>
                <w:sz w:val="24"/>
              </w:rPr>
              <w:t>服务平台推广应用力度，实现政策收集、发布、解读、推送、申报、兑现等全环节、全流程线上办理。</w:t>
            </w:r>
          </w:p>
        </w:tc>
      </w:tr>
      <w:tr>
        <w:tblPrEx>
          <w:tblCellMar>
            <w:top w:w="0" w:type="dxa"/>
            <w:left w:w="108" w:type="dxa"/>
            <w:bottom w:w="0" w:type="dxa"/>
            <w:right w:w="108" w:type="dxa"/>
          </w:tblCellMar>
        </w:tblPrEx>
        <w:trPr>
          <w:trHeight w:val="1050" w:hRule="atLeast"/>
        </w:trPr>
        <w:tc>
          <w:tcPr>
            <w:tcW w:w="740"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6</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加快新型智慧城市建设，</w:t>
            </w:r>
            <w:r>
              <w:rPr>
                <w:rFonts w:hint="eastAsia" w:ascii="方正仿宋简体" w:eastAsia="方正仿宋简体"/>
                <w:b/>
                <w:bCs/>
                <w:sz w:val="24"/>
              </w:rPr>
              <w:t>11</w:t>
            </w:r>
            <w:r>
              <w:rPr>
                <w:rFonts w:hint="eastAsia" w:ascii="方正仿宋简体" w:hAnsi="宋体" w:eastAsia="方正仿宋简体" w:cs="宋体"/>
                <w:b/>
                <w:bCs/>
                <w:sz w:val="24"/>
              </w:rPr>
              <w:t>月底前公共招聘线上岗位发布情况、社保事项</w:t>
            </w:r>
            <w:r>
              <w:rPr>
                <w:rFonts w:hint="eastAsia" w:ascii="方正仿宋简体" w:eastAsia="方正仿宋简体"/>
                <w:b/>
                <w:bCs/>
                <w:sz w:val="24"/>
              </w:rPr>
              <w:t>“</w:t>
            </w:r>
            <w:r>
              <w:rPr>
                <w:rFonts w:hint="eastAsia" w:ascii="方正仿宋简体" w:hAnsi="宋体" w:eastAsia="方正仿宋简体" w:cs="宋体"/>
                <w:b/>
                <w:bCs/>
                <w:sz w:val="24"/>
              </w:rPr>
              <w:t>跨域通办</w:t>
            </w:r>
            <w:r>
              <w:rPr>
                <w:rFonts w:hint="eastAsia" w:ascii="方正仿宋简体" w:eastAsia="方正仿宋简体"/>
                <w:b/>
                <w:bCs/>
                <w:sz w:val="24"/>
              </w:rPr>
              <w:t>”</w:t>
            </w:r>
            <w:r>
              <w:rPr>
                <w:rFonts w:hint="eastAsia" w:ascii="方正仿宋简体" w:hAnsi="宋体" w:eastAsia="方正仿宋简体" w:cs="宋体"/>
                <w:b/>
                <w:bCs/>
                <w:sz w:val="24"/>
              </w:rPr>
              <w:t>情况、人才保障等达到四星级水平。</w:t>
            </w:r>
          </w:p>
        </w:tc>
      </w:tr>
      <w:tr>
        <w:tblPrEx>
          <w:tblCellMar>
            <w:top w:w="0" w:type="dxa"/>
            <w:left w:w="108" w:type="dxa"/>
            <w:bottom w:w="0" w:type="dxa"/>
            <w:right w:w="108" w:type="dxa"/>
          </w:tblCellMar>
        </w:tblPrEx>
        <w:trPr>
          <w:trHeight w:val="1064" w:hRule="atLeast"/>
        </w:trPr>
        <w:tc>
          <w:tcPr>
            <w:tcW w:w="740"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7</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强化人才队伍保障，加强校地企合作，积极引进培养新一代信息技术领域急需紧缺高层次人才和创新创业团队，为数字强市建设提供智力支撑。</w:t>
            </w:r>
          </w:p>
        </w:tc>
      </w:tr>
      <w:tr>
        <w:tblPrEx>
          <w:tblCellMar>
            <w:top w:w="0" w:type="dxa"/>
            <w:left w:w="108" w:type="dxa"/>
            <w:bottom w:w="0" w:type="dxa"/>
            <w:right w:w="108" w:type="dxa"/>
          </w:tblCellMar>
        </w:tblPrEx>
        <w:trPr>
          <w:trHeight w:val="78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19</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市自然资源和规划局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7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eastAsia="方正仿宋简体"/>
                <w:b/>
                <w:bCs/>
                <w:sz w:val="24"/>
              </w:rPr>
              <w:t>深入推进“无证明城市”建设，加强电子证照政务服务应用，11月底前完成采矿权新设登记、采矿权延续登记、采矿权注销登记等26个政务服务事项办理中电子证照的应用。</w:t>
            </w:r>
          </w:p>
        </w:tc>
      </w:tr>
      <w:tr>
        <w:tblPrEx>
          <w:tblCellMar>
            <w:top w:w="0" w:type="dxa"/>
            <w:left w:w="108" w:type="dxa"/>
            <w:bottom w:w="0" w:type="dxa"/>
            <w:right w:w="108" w:type="dxa"/>
          </w:tblCellMar>
        </w:tblPrEx>
        <w:trPr>
          <w:trHeight w:val="56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重点场景应用，</w:t>
            </w:r>
            <w:r>
              <w:rPr>
                <w:rFonts w:hint="eastAsia" w:ascii="方正仿宋简体" w:eastAsia="方正仿宋简体"/>
                <w:b/>
                <w:bCs/>
                <w:sz w:val="24"/>
              </w:rPr>
              <w:t>11</w:t>
            </w:r>
            <w:r>
              <w:rPr>
                <w:rFonts w:hint="eastAsia" w:ascii="方正仿宋简体" w:hAnsi="宋体" w:eastAsia="方正仿宋简体" w:cs="宋体"/>
                <w:b/>
                <w:bCs/>
                <w:sz w:val="24"/>
              </w:rPr>
              <w:t>月底前完成不动产政务大厅</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场景应用工作。</w:t>
            </w:r>
          </w:p>
        </w:tc>
      </w:tr>
      <w:tr>
        <w:tblPrEx>
          <w:tblCellMar>
            <w:top w:w="0" w:type="dxa"/>
            <w:left w:w="108" w:type="dxa"/>
            <w:bottom w:w="0" w:type="dxa"/>
            <w:right w:w="108" w:type="dxa"/>
          </w:tblCellMar>
        </w:tblPrEx>
        <w:trPr>
          <w:trHeight w:val="78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围绕自然资源和国土空间开发利用，迭代升级国土空间规划</w:t>
            </w:r>
            <w:r>
              <w:rPr>
                <w:rFonts w:hint="eastAsia" w:ascii="方正仿宋简体" w:eastAsia="方正仿宋简体"/>
                <w:b/>
                <w:bCs/>
                <w:sz w:val="24"/>
              </w:rPr>
              <w:t>“</w:t>
            </w:r>
            <w:r>
              <w:rPr>
                <w:rFonts w:hint="eastAsia" w:ascii="方正仿宋简体" w:hAnsi="宋体" w:eastAsia="方正仿宋简体" w:cs="宋体"/>
                <w:b/>
                <w:bCs/>
                <w:sz w:val="24"/>
              </w:rPr>
              <w:t>一张图</w:t>
            </w:r>
            <w:r>
              <w:rPr>
                <w:rFonts w:hint="eastAsia" w:ascii="方正仿宋简体" w:eastAsia="方正仿宋简体"/>
                <w:b/>
                <w:bCs/>
                <w:sz w:val="24"/>
              </w:rPr>
              <w:t>”</w:t>
            </w:r>
            <w:r>
              <w:rPr>
                <w:rFonts w:hint="eastAsia" w:ascii="方正仿宋简体" w:hAnsi="宋体" w:eastAsia="方正仿宋简体" w:cs="宋体"/>
                <w:b/>
                <w:bCs/>
                <w:sz w:val="24"/>
              </w:rPr>
              <w:t>监督信息系统、济宁市国土空间基础信息平台，建设济宁市国土空间用途管制审批监管系统，深化空天地一体化自然资源监测监管系统应用。</w:t>
            </w:r>
          </w:p>
        </w:tc>
      </w:tr>
      <w:tr>
        <w:tblPrEx>
          <w:tblCellMar>
            <w:top w:w="0" w:type="dxa"/>
            <w:left w:w="108" w:type="dxa"/>
            <w:bottom w:w="0" w:type="dxa"/>
            <w:right w:w="108" w:type="dxa"/>
          </w:tblCellMar>
        </w:tblPrEx>
        <w:trPr>
          <w:trHeight w:val="619"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5</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加快新型智慧城市建设，</w:t>
            </w:r>
            <w:r>
              <w:rPr>
                <w:rFonts w:hint="eastAsia" w:ascii="方正仿宋简体" w:eastAsia="方正仿宋简体"/>
                <w:b/>
                <w:bCs/>
                <w:sz w:val="24"/>
              </w:rPr>
              <w:t>11</w:t>
            </w:r>
            <w:r>
              <w:rPr>
                <w:rFonts w:hint="eastAsia" w:ascii="方正仿宋简体" w:hAnsi="宋体" w:eastAsia="方正仿宋简体" w:cs="宋体"/>
                <w:b/>
                <w:bCs/>
                <w:sz w:val="24"/>
              </w:rPr>
              <w:t>月底前空间信息设施建设情况、基础地理信息建设和更新情况达到四星级水平。</w:t>
            </w:r>
          </w:p>
        </w:tc>
      </w:tr>
      <w:tr>
        <w:tblPrEx>
          <w:tblCellMar>
            <w:top w:w="0" w:type="dxa"/>
            <w:left w:w="108" w:type="dxa"/>
            <w:bottom w:w="0" w:type="dxa"/>
            <w:right w:w="108" w:type="dxa"/>
          </w:tblCellMar>
        </w:tblPrEx>
        <w:trPr>
          <w:trHeight w:val="78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20</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市生态环境局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1073"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eastAsia="方正仿宋简体"/>
                <w:b/>
                <w:bCs/>
                <w:sz w:val="24"/>
              </w:rPr>
              <w:t>深入推进“无证明城市”建设，强化电子证照证明制发，11月底前配合完成危险废物经营许可证、排污许可证电子证照、废弃电器电子产品处理资格证书制发工作，配合上级部门完成辐射安全许可证电子证照制发工作；强化电子证照在政务服务领域应用，11月底前完成放射性同位素的转让备案、生产、销售、使用放射性同位素和射线装置的许可颁发等5个政务服务事项办理中电子证照的应用。</w:t>
            </w:r>
          </w:p>
        </w:tc>
      </w:tr>
      <w:tr>
        <w:tblPrEx>
          <w:tblCellMar>
            <w:top w:w="0" w:type="dxa"/>
            <w:left w:w="108" w:type="dxa"/>
            <w:bottom w:w="0" w:type="dxa"/>
            <w:right w:w="108" w:type="dxa"/>
          </w:tblCellMar>
        </w:tblPrEx>
        <w:trPr>
          <w:trHeight w:val="1357"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聚焦生态环境监测治理，搭建挥发性有机物预警监测网监控平台，优化完善生态环境自动监测网络，提升水气环境质量、重点污染源的全面感知和实时监控能力。加大企业碳排放数据质量管理，健全排放源统计调查、核算核查、监管制度，形成集约节约、循环高效、普惠共享的绿色低碳发展新格局。</w:t>
            </w:r>
          </w:p>
        </w:tc>
      </w:tr>
      <w:tr>
        <w:tblPrEx>
          <w:tblCellMar>
            <w:top w:w="0" w:type="dxa"/>
            <w:left w:w="108" w:type="dxa"/>
            <w:bottom w:w="0" w:type="dxa"/>
            <w:right w:w="108" w:type="dxa"/>
          </w:tblCellMar>
        </w:tblPrEx>
        <w:trPr>
          <w:trHeight w:val="19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聚力打造国内领先的近零碳排放产业园示范区。以宁德时代储能产业项目为引领，积极助推济宁（颜店）科技产业园打造近零碳示范区。</w:t>
            </w:r>
          </w:p>
        </w:tc>
      </w:tr>
      <w:tr>
        <w:tblPrEx>
          <w:tblCellMar>
            <w:top w:w="0" w:type="dxa"/>
            <w:left w:w="108" w:type="dxa"/>
            <w:bottom w:w="0" w:type="dxa"/>
            <w:right w:w="108" w:type="dxa"/>
          </w:tblCellMar>
        </w:tblPrEx>
        <w:trPr>
          <w:trHeight w:val="555"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5</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加快新型智慧城市建设，</w:t>
            </w:r>
            <w:r>
              <w:rPr>
                <w:rFonts w:hint="eastAsia" w:ascii="方正仿宋简体" w:eastAsia="方正仿宋简体"/>
                <w:b/>
                <w:bCs/>
                <w:sz w:val="24"/>
              </w:rPr>
              <w:t>11</w:t>
            </w:r>
            <w:r>
              <w:rPr>
                <w:rFonts w:hint="eastAsia" w:ascii="方正仿宋简体" w:hAnsi="宋体" w:eastAsia="方正仿宋简体" w:cs="宋体"/>
                <w:b/>
                <w:bCs/>
                <w:sz w:val="24"/>
              </w:rPr>
              <w:t>月底前环境空气质量自动化监测情况达到四星级要求。</w:t>
            </w:r>
          </w:p>
        </w:tc>
      </w:tr>
      <w:tr>
        <w:tblPrEx>
          <w:tblCellMar>
            <w:top w:w="0" w:type="dxa"/>
            <w:left w:w="108" w:type="dxa"/>
            <w:bottom w:w="0" w:type="dxa"/>
            <w:right w:w="108" w:type="dxa"/>
          </w:tblCellMar>
        </w:tblPrEx>
        <w:trPr>
          <w:trHeight w:val="1023"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21</w:t>
            </w:r>
          </w:p>
        </w:tc>
        <w:tc>
          <w:tcPr>
            <w:tcW w:w="2411"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市住房城乡建设局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1763"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bCs/>
                <w:sz w:val="24"/>
              </w:rPr>
            </w:pPr>
            <w:r>
              <w:rPr>
                <w:rFonts w:hint="eastAsia" w:ascii="方正仿宋简体" w:eastAsia="方正仿宋简体"/>
                <w:b/>
                <w:bCs/>
                <w:sz w:val="24"/>
              </w:rPr>
              <w:t>深入推进“无证明城市”建设，加快电子证照证明制发，11月底前完成建筑业企业资质证书电子证照制发工作，配合上级部门完成二级建造师注册证书、建筑施工企业安全生产管理人员安全生产考核合格证书等6类电子证照制发工作；强化电子证照社会化应用，11月底前打造房屋租赁社会化应用场景；强化电子证照在政务服务领域应用，11月底前完成安全生产管理人员法人增发证书、存量房交易资金监管等34个电子证照应用。</w:t>
            </w:r>
          </w:p>
        </w:tc>
      </w:tr>
      <w:tr>
        <w:tblPrEx>
          <w:tblCellMar>
            <w:top w:w="0" w:type="dxa"/>
            <w:left w:w="108" w:type="dxa"/>
            <w:bottom w:w="0" w:type="dxa"/>
            <w:right w:w="108" w:type="dxa"/>
          </w:tblCellMar>
        </w:tblPrEx>
        <w:trPr>
          <w:trHeight w:val="715"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加大</w:t>
            </w:r>
            <w:r>
              <w:rPr>
                <w:rFonts w:hint="eastAsia" w:ascii="方正仿宋简体" w:eastAsia="方正仿宋简体"/>
                <w:b/>
                <w:bCs/>
                <w:sz w:val="24"/>
              </w:rPr>
              <w:t>“</w:t>
            </w:r>
            <w:r>
              <w:rPr>
                <w:rFonts w:hint="eastAsia" w:ascii="方正仿宋简体" w:hAnsi="宋体" w:eastAsia="方正仿宋简体" w:cs="宋体"/>
                <w:b/>
                <w:bCs/>
                <w:sz w:val="24"/>
              </w:rPr>
              <w:t>惠企通</w:t>
            </w:r>
            <w:r>
              <w:rPr>
                <w:rFonts w:hint="eastAsia" w:ascii="方正仿宋简体" w:eastAsia="方正仿宋简体"/>
                <w:b/>
                <w:bCs/>
                <w:sz w:val="24"/>
              </w:rPr>
              <w:t>”</w:t>
            </w:r>
            <w:r>
              <w:rPr>
                <w:rFonts w:hint="eastAsia" w:ascii="方正仿宋简体" w:hAnsi="宋体" w:eastAsia="方正仿宋简体" w:cs="宋体"/>
                <w:b/>
                <w:bCs/>
                <w:sz w:val="24"/>
              </w:rPr>
              <w:t>服务平台推广应用力度，实现政策收集、发布、解读、推送、申报、兑现等全环节、全流程线上办理。</w:t>
            </w:r>
          </w:p>
        </w:tc>
      </w:tr>
      <w:tr>
        <w:tblPrEx>
          <w:tblCellMar>
            <w:top w:w="0" w:type="dxa"/>
            <w:left w:w="108" w:type="dxa"/>
            <w:bottom w:w="0" w:type="dxa"/>
            <w:right w:w="108" w:type="dxa"/>
          </w:tblCellMar>
        </w:tblPrEx>
        <w:trPr>
          <w:trHeight w:val="78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优化智慧停车服务，接入不少于</w:t>
            </w:r>
            <w:r>
              <w:rPr>
                <w:rFonts w:hint="eastAsia" w:ascii="方正仿宋简体" w:eastAsia="方正仿宋简体"/>
                <w:b/>
                <w:bCs/>
                <w:sz w:val="24"/>
              </w:rPr>
              <w:t>2</w:t>
            </w:r>
            <w:r>
              <w:rPr>
                <w:rFonts w:hint="eastAsia" w:ascii="方正仿宋简体" w:hAnsi="宋体" w:eastAsia="方正仿宋简体" w:cs="宋体"/>
                <w:b/>
                <w:bCs/>
                <w:sz w:val="24"/>
              </w:rPr>
              <w:t>万个停车泊位，通过</w:t>
            </w:r>
            <w:r>
              <w:rPr>
                <w:rFonts w:hint="eastAsia" w:ascii="方正仿宋简体" w:eastAsia="方正仿宋简体"/>
                <w:b/>
                <w:bCs/>
                <w:sz w:val="24"/>
              </w:rPr>
              <w:t>“AI</w:t>
            </w:r>
            <w:r>
              <w:rPr>
                <w:rFonts w:hint="eastAsia" w:ascii="方正仿宋简体" w:hAnsi="宋体" w:eastAsia="方正仿宋简体" w:cs="宋体"/>
                <w:b/>
                <w:bCs/>
                <w:sz w:val="24"/>
              </w:rPr>
              <w:t>泊济宁</w:t>
            </w:r>
            <w:r>
              <w:rPr>
                <w:rFonts w:hint="eastAsia" w:ascii="方正仿宋简体" w:eastAsia="方正仿宋简体"/>
                <w:b/>
                <w:bCs/>
                <w:sz w:val="24"/>
              </w:rPr>
              <w:t>”APP</w:t>
            </w:r>
            <w:r>
              <w:rPr>
                <w:rFonts w:hint="eastAsia" w:ascii="方正仿宋简体" w:hAnsi="宋体" w:eastAsia="方正仿宋简体" w:cs="宋体"/>
                <w:b/>
                <w:bCs/>
                <w:sz w:val="24"/>
              </w:rPr>
              <w:t>、微信公众号实现车位查询、一键导航、快捷泊车等服务，缓解停车难问题。</w:t>
            </w:r>
          </w:p>
        </w:tc>
      </w:tr>
      <w:tr>
        <w:tblPrEx>
          <w:tblCellMar>
            <w:top w:w="0" w:type="dxa"/>
            <w:left w:w="108" w:type="dxa"/>
            <w:bottom w:w="0" w:type="dxa"/>
            <w:right w:w="108" w:type="dxa"/>
          </w:tblCellMar>
        </w:tblPrEx>
        <w:trPr>
          <w:trHeight w:val="103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5</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建设城市基础设施生命线，建设桥梁在线监测系统，整合燃气、供水、排水、供电、热力、桥梁等管理信息，全面掌握城市基础设施运行状况，构建城市运行管理</w:t>
            </w:r>
            <w:r>
              <w:rPr>
                <w:rFonts w:hint="eastAsia" w:ascii="方正仿宋简体" w:eastAsia="方正仿宋简体"/>
                <w:b/>
                <w:bCs/>
                <w:sz w:val="24"/>
              </w:rPr>
              <w:t>“</w:t>
            </w:r>
            <w:r>
              <w:rPr>
                <w:rFonts w:hint="eastAsia" w:ascii="方正仿宋简体" w:hAnsi="宋体" w:eastAsia="方正仿宋简体" w:cs="宋体"/>
                <w:b/>
                <w:bCs/>
                <w:sz w:val="24"/>
              </w:rPr>
              <w:t>一网统管</w:t>
            </w:r>
            <w:r>
              <w:rPr>
                <w:rFonts w:hint="eastAsia" w:ascii="方正仿宋简体" w:eastAsia="方正仿宋简体"/>
                <w:b/>
                <w:bCs/>
                <w:sz w:val="24"/>
              </w:rPr>
              <w:t>”</w:t>
            </w:r>
            <w:r>
              <w:rPr>
                <w:rFonts w:hint="eastAsia" w:ascii="方正仿宋简体" w:hAnsi="宋体" w:eastAsia="方正仿宋简体" w:cs="宋体"/>
                <w:b/>
                <w:bCs/>
                <w:sz w:val="24"/>
              </w:rPr>
              <w:t>体系，提升城市安全运行管理科学化、精细化、智能化水平。</w:t>
            </w:r>
          </w:p>
        </w:tc>
      </w:tr>
      <w:tr>
        <w:tblPrEx>
          <w:tblCellMar>
            <w:top w:w="0" w:type="dxa"/>
            <w:left w:w="108" w:type="dxa"/>
            <w:bottom w:w="0" w:type="dxa"/>
            <w:right w:w="108" w:type="dxa"/>
          </w:tblCellMar>
        </w:tblPrEx>
        <w:trPr>
          <w:trHeight w:val="436"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6</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加快新型智慧城市建设，</w:t>
            </w:r>
            <w:r>
              <w:rPr>
                <w:rFonts w:hint="eastAsia" w:ascii="方正仿宋简体" w:eastAsia="方正仿宋简体"/>
                <w:b/>
                <w:bCs/>
                <w:sz w:val="24"/>
              </w:rPr>
              <w:t>11</w:t>
            </w:r>
            <w:r>
              <w:rPr>
                <w:rFonts w:hint="eastAsia" w:ascii="方正仿宋简体" w:hAnsi="宋体" w:eastAsia="方正仿宋简体" w:cs="宋体"/>
                <w:b/>
                <w:bCs/>
                <w:sz w:val="24"/>
              </w:rPr>
              <w:t>月底前停车服务水平、城市地下管线信息化建设情况达到四星级要求。</w:t>
            </w:r>
          </w:p>
        </w:tc>
      </w:tr>
      <w:tr>
        <w:tblPrEx>
          <w:tblCellMar>
            <w:top w:w="0" w:type="dxa"/>
            <w:left w:w="108" w:type="dxa"/>
            <w:bottom w:w="0" w:type="dxa"/>
            <w:right w:w="108" w:type="dxa"/>
          </w:tblCellMar>
        </w:tblPrEx>
        <w:trPr>
          <w:trHeight w:val="808"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7</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推进惠民补贴政策免申即享，</w:t>
            </w:r>
            <w:r>
              <w:rPr>
                <w:rFonts w:hint="eastAsia" w:ascii="方正仿宋简体" w:eastAsia="方正仿宋简体"/>
                <w:b/>
                <w:bCs/>
                <w:sz w:val="24"/>
              </w:rPr>
              <w:t>10</w:t>
            </w:r>
            <w:r>
              <w:rPr>
                <w:rFonts w:hint="eastAsia" w:ascii="方正仿宋简体" w:hAnsi="宋体" w:eastAsia="方正仿宋简体" w:cs="宋体"/>
                <w:b/>
                <w:bCs/>
                <w:sz w:val="24"/>
              </w:rPr>
              <w:t>月底前实现城区低保对象、特困人员、持特困证及农村贫困户等特殊群体城区居民生活管道天然气价格优惠政策享受人员的精准分析，推动政策免申即享。</w:t>
            </w:r>
          </w:p>
        </w:tc>
      </w:tr>
      <w:tr>
        <w:tblPrEx>
          <w:tblCellMar>
            <w:top w:w="0" w:type="dxa"/>
            <w:left w:w="108" w:type="dxa"/>
            <w:bottom w:w="0" w:type="dxa"/>
            <w:right w:w="108" w:type="dxa"/>
          </w:tblCellMar>
        </w:tblPrEx>
        <w:trPr>
          <w:trHeight w:val="1054"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22</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市城市管理局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1176"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建设城市基础设施生命线，建设桥梁在线监测系统，整合燃气、供水、排水、供电、热力、桥梁等管理信息，全面掌握城市基础设施运行状况，构建城市运行管理</w:t>
            </w:r>
            <w:r>
              <w:rPr>
                <w:rFonts w:hint="eastAsia" w:ascii="方正仿宋简体" w:eastAsia="方正仿宋简体"/>
                <w:b/>
                <w:bCs/>
                <w:sz w:val="24"/>
              </w:rPr>
              <w:t>“</w:t>
            </w:r>
            <w:r>
              <w:rPr>
                <w:rFonts w:hint="eastAsia" w:ascii="方正仿宋简体" w:hAnsi="宋体" w:eastAsia="方正仿宋简体" w:cs="宋体"/>
                <w:b/>
                <w:bCs/>
                <w:sz w:val="24"/>
              </w:rPr>
              <w:t>一网统管</w:t>
            </w:r>
            <w:r>
              <w:rPr>
                <w:rFonts w:hint="eastAsia" w:ascii="方正仿宋简体" w:eastAsia="方正仿宋简体"/>
                <w:b/>
                <w:bCs/>
                <w:sz w:val="24"/>
              </w:rPr>
              <w:t>”</w:t>
            </w:r>
            <w:r>
              <w:rPr>
                <w:rFonts w:hint="eastAsia" w:ascii="方正仿宋简体" w:hAnsi="宋体" w:eastAsia="方正仿宋简体" w:cs="宋体"/>
                <w:b/>
                <w:bCs/>
                <w:sz w:val="24"/>
              </w:rPr>
              <w:t>体系，提升城市安全运行管理科学化、精细化、智能化水平。</w:t>
            </w:r>
          </w:p>
        </w:tc>
      </w:tr>
      <w:tr>
        <w:tblPrEx>
          <w:tblCellMar>
            <w:top w:w="0" w:type="dxa"/>
            <w:left w:w="108" w:type="dxa"/>
            <w:bottom w:w="0" w:type="dxa"/>
            <w:right w:w="108" w:type="dxa"/>
          </w:tblCellMar>
        </w:tblPrEx>
        <w:trPr>
          <w:trHeight w:val="1149"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23</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市交通运输局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1455"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eastAsia="方正仿宋简体"/>
                <w:b/>
                <w:bCs/>
                <w:sz w:val="24"/>
              </w:rPr>
              <w:t>深化“无证明城市”建设，强化电子证照在政务服务领域应用，11月底前完成出租汽车驾驶员从业资格注册、道路客运企业设立分公司的备案、旅客运输车辆年度审验等7个电子证照应用；强化电子证照社会化应用，11月底前打造交通出行社会化应用场景，60周岁及以上老年人通过“爱山东”亮证（社会保障卡、老年证）或亮码免费乘坐公共交通工具。</w:t>
            </w:r>
          </w:p>
        </w:tc>
      </w:tr>
      <w:tr>
        <w:tblPrEx>
          <w:tblCellMar>
            <w:top w:w="0" w:type="dxa"/>
            <w:left w:w="108" w:type="dxa"/>
            <w:bottom w:w="0" w:type="dxa"/>
            <w:right w:w="108" w:type="dxa"/>
          </w:tblCellMar>
        </w:tblPrEx>
        <w:trPr>
          <w:trHeight w:val="499"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重点场景应用，</w:t>
            </w:r>
            <w:r>
              <w:rPr>
                <w:rFonts w:hint="eastAsia" w:ascii="方正仿宋简体" w:eastAsia="方正仿宋简体"/>
                <w:b/>
                <w:bCs/>
                <w:sz w:val="24"/>
              </w:rPr>
              <w:t>11</w:t>
            </w:r>
            <w:r>
              <w:rPr>
                <w:rFonts w:hint="eastAsia" w:ascii="方正仿宋简体" w:hAnsi="宋体" w:eastAsia="方正仿宋简体" w:cs="宋体"/>
                <w:b/>
                <w:bCs/>
                <w:sz w:val="24"/>
              </w:rPr>
              <w:t>月底完成交通出行领域的</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场景应用工作。</w:t>
            </w:r>
          </w:p>
        </w:tc>
      </w:tr>
      <w:tr>
        <w:tblPrEx>
          <w:tblCellMar>
            <w:top w:w="0" w:type="dxa"/>
            <w:left w:w="108" w:type="dxa"/>
            <w:bottom w:w="0" w:type="dxa"/>
            <w:right w:w="108" w:type="dxa"/>
          </w:tblCellMar>
        </w:tblPrEx>
        <w:trPr>
          <w:trHeight w:val="94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搭建交通运输大数据资源中心和交通运输数据支撑平台，为公众出行、决策支持、监测预警和应急指挥等应用提供服务。</w:t>
            </w:r>
          </w:p>
        </w:tc>
      </w:tr>
      <w:tr>
        <w:tblPrEx>
          <w:tblCellMar>
            <w:top w:w="0" w:type="dxa"/>
            <w:left w:w="108" w:type="dxa"/>
            <w:bottom w:w="0" w:type="dxa"/>
            <w:right w:w="108" w:type="dxa"/>
          </w:tblCellMar>
        </w:tblPrEx>
        <w:trPr>
          <w:trHeight w:val="54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5</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推进智慧公交建设，实现公交线路来车实时信息预报全覆盖。</w:t>
            </w:r>
          </w:p>
        </w:tc>
      </w:tr>
      <w:tr>
        <w:tblPrEx>
          <w:tblCellMar>
            <w:top w:w="0" w:type="dxa"/>
            <w:left w:w="108" w:type="dxa"/>
            <w:bottom w:w="0" w:type="dxa"/>
            <w:right w:w="108" w:type="dxa"/>
          </w:tblCellMar>
        </w:tblPrEx>
        <w:trPr>
          <w:trHeight w:val="116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6</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优化提升智慧港航，加快电子航道图服务功能建设，落实京杭运河济宁段智慧航道应用试点任务，充分发挥</w:t>
            </w:r>
            <w:r>
              <w:rPr>
                <w:rFonts w:hint="eastAsia" w:ascii="方正仿宋简体" w:eastAsia="方正仿宋简体"/>
                <w:b/>
                <w:bCs/>
                <w:sz w:val="24"/>
              </w:rPr>
              <w:t>“</w:t>
            </w:r>
            <w:r>
              <w:rPr>
                <w:rFonts w:hint="eastAsia" w:ascii="方正仿宋简体" w:hAnsi="宋体" w:eastAsia="方正仿宋简体" w:cs="宋体"/>
                <w:b/>
                <w:bCs/>
                <w:sz w:val="24"/>
              </w:rPr>
              <w:t>济港通</w:t>
            </w:r>
            <w:r>
              <w:rPr>
                <w:rFonts w:hint="eastAsia" w:ascii="方正仿宋简体" w:eastAsia="方正仿宋简体"/>
                <w:b/>
                <w:bCs/>
                <w:sz w:val="24"/>
              </w:rPr>
              <w:t>”</w:t>
            </w:r>
            <w:r>
              <w:rPr>
                <w:rFonts w:hint="eastAsia" w:ascii="方正仿宋简体" w:hAnsi="宋体" w:eastAsia="方正仿宋简体" w:cs="宋体"/>
                <w:b/>
                <w:bCs/>
                <w:sz w:val="24"/>
              </w:rPr>
              <w:t>平台集聚作用，整合产业链上下游资源，搭建港航贸易平台，助推港航经济绿色低碳高质量发展。</w:t>
            </w:r>
          </w:p>
        </w:tc>
      </w:tr>
      <w:tr>
        <w:tblPrEx>
          <w:tblCellMar>
            <w:top w:w="0" w:type="dxa"/>
            <w:left w:w="108" w:type="dxa"/>
            <w:bottom w:w="0" w:type="dxa"/>
            <w:right w:w="108" w:type="dxa"/>
          </w:tblCellMar>
        </w:tblPrEx>
        <w:trPr>
          <w:trHeight w:val="60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7</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加快新型智慧城市建设，</w:t>
            </w:r>
            <w:r>
              <w:rPr>
                <w:rFonts w:hint="eastAsia" w:ascii="方正仿宋简体" w:eastAsia="方正仿宋简体"/>
                <w:b/>
                <w:bCs/>
                <w:sz w:val="24"/>
              </w:rPr>
              <w:t>11</w:t>
            </w:r>
            <w:r>
              <w:rPr>
                <w:rFonts w:hint="eastAsia" w:ascii="方正仿宋简体" w:hAnsi="宋体" w:eastAsia="方正仿宋简体" w:cs="宋体"/>
                <w:b/>
                <w:bCs/>
                <w:sz w:val="24"/>
              </w:rPr>
              <w:t>月底前公共交通出行服务水平达到四星级要求。</w:t>
            </w:r>
          </w:p>
        </w:tc>
      </w:tr>
      <w:tr>
        <w:tblPrEx>
          <w:tblCellMar>
            <w:top w:w="0" w:type="dxa"/>
            <w:left w:w="108" w:type="dxa"/>
            <w:bottom w:w="0" w:type="dxa"/>
            <w:right w:w="108" w:type="dxa"/>
          </w:tblCellMar>
        </w:tblPrEx>
        <w:trPr>
          <w:trHeight w:val="1115"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24</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市城乡水务局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771"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推进惠民补贴政策免申即享，</w:t>
            </w:r>
            <w:r>
              <w:rPr>
                <w:rFonts w:hint="default" w:ascii="方正仿宋简体" w:hAnsi="宋体" w:eastAsia="方正仿宋简体" w:cs="宋体"/>
                <w:b/>
                <w:bCs/>
                <w:sz w:val="24"/>
              </w:rPr>
              <w:t>市</w:t>
            </w:r>
            <w:r>
              <w:rPr>
                <w:rFonts w:hint="eastAsia" w:ascii="方正仿宋简体" w:hAnsi="宋体" w:eastAsia="方正仿宋简体" w:cs="宋体"/>
                <w:b/>
                <w:bCs/>
                <w:sz w:val="24"/>
              </w:rPr>
              <w:t>大数据中心提供技术支持和数据分析，</w:t>
            </w:r>
            <w:r>
              <w:rPr>
                <w:rFonts w:hint="eastAsia" w:ascii="方正仿宋简体" w:eastAsia="方正仿宋简体"/>
                <w:b/>
                <w:bCs/>
                <w:sz w:val="24"/>
              </w:rPr>
              <w:t>10</w:t>
            </w:r>
            <w:r>
              <w:rPr>
                <w:rFonts w:hint="eastAsia" w:ascii="方正仿宋简体" w:hAnsi="宋体" w:eastAsia="方正仿宋简体" w:cs="宋体"/>
                <w:b/>
                <w:bCs/>
                <w:sz w:val="24"/>
              </w:rPr>
              <w:t>月底前实现对低保人员、特困人员享受用水优惠政策领取人员的精准分析，推动政策免申即享。</w:t>
            </w:r>
          </w:p>
        </w:tc>
      </w:tr>
      <w:tr>
        <w:tblPrEx>
          <w:tblCellMar>
            <w:top w:w="0" w:type="dxa"/>
            <w:left w:w="108" w:type="dxa"/>
            <w:bottom w:w="0" w:type="dxa"/>
            <w:right w:w="108" w:type="dxa"/>
          </w:tblCellMar>
        </w:tblPrEx>
        <w:trPr>
          <w:trHeight w:val="60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加快新型智慧城市建设，</w:t>
            </w:r>
            <w:r>
              <w:rPr>
                <w:rFonts w:hint="eastAsia" w:ascii="方正仿宋简体" w:eastAsia="方正仿宋简体"/>
                <w:b/>
                <w:bCs/>
                <w:sz w:val="24"/>
              </w:rPr>
              <w:t>11</w:t>
            </w:r>
            <w:r>
              <w:rPr>
                <w:rFonts w:hint="eastAsia" w:ascii="方正仿宋简体" w:hAnsi="宋体" w:eastAsia="方正仿宋简体" w:cs="宋体"/>
                <w:b/>
                <w:bCs/>
                <w:sz w:val="24"/>
              </w:rPr>
              <w:t>月底前自动雨量监测站建设情况达到四星级要求。</w:t>
            </w:r>
          </w:p>
        </w:tc>
      </w:tr>
      <w:tr>
        <w:tblPrEx>
          <w:tblCellMar>
            <w:top w:w="0" w:type="dxa"/>
            <w:left w:w="108" w:type="dxa"/>
            <w:bottom w:w="0" w:type="dxa"/>
            <w:right w:w="108" w:type="dxa"/>
          </w:tblCellMar>
        </w:tblPrEx>
        <w:trPr>
          <w:trHeight w:val="942"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25</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市农业农村局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推进数字赋能农业升级，认证一批智慧农业应用基地，打造一批数字农业典型应用场景，大力推广绿色高效农机具及农用北斗终端及辅助驾驶系统的应用，引导传统农业机械智能化改造提升。</w:t>
            </w:r>
          </w:p>
        </w:tc>
      </w:tr>
      <w:tr>
        <w:tblPrEx>
          <w:tblCellMar>
            <w:top w:w="0" w:type="dxa"/>
            <w:left w:w="108" w:type="dxa"/>
            <w:bottom w:w="0" w:type="dxa"/>
            <w:right w:w="108" w:type="dxa"/>
          </w:tblCellMar>
        </w:tblPrEx>
        <w:trPr>
          <w:trHeight w:val="1177"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105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加大</w:t>
            </w:r>
            <w:r>
              <w:rPr>
                <w:rFonts w:hint="eastAsia" w:ascii="方正仿宋简体" w:eastAsia="方正仿宋简体"/>
                <w:b/>
                <w:bCs/>
                <w:sz w:val="24"/>
              </w:rPr>
              <w:t>“</w:t>
            </w:r>
            <w:r>
              <w:rPr>
                <w:rFonts w:hint="eastAsia" w:ascii="方正仿宋简体" w:hAnsi="宋体" w:eastAsia="方正仿宋简体" w:cs="宋体"/>
                <w:b/>
                <w:bCs/>
                <w:sz w:val="24"/>
              </w:rPr>
              <w:t>惠企通</w:t>
            </w:r>
            <w:r>
              <w:rPr>
                <w:rFonts w:hint="eastAsia" w:ascii="方正仿宋简体" w:eastAsia="方正仿宋简体"/>
                <w:b/>
                <w:bCs/>
                <w:sz w:val="24"/>
              </w:rPr>
              <w:t>”</w:t>
            </w:r>
            <w:r>
              <w:rPr>
                <w:rFonts w:hint="eastAsia" w:ascii="方正仿宋简体" w:hAnsi="宋体" w:eastAsia="方正仿宋简体" w:cs="宋体"/>
                <w:b/>
                <w:bCs/>
                <w:sz w:val="24"/>
              </w:rPr>
              <w:t>服务平台推广应用力度，实现政策收集、发布、解读、推送、申报、兑现等全环节、全流程线上办理。</w:t>
            </w:r>
          </w:p>
        </w:tc>
      </w:tr>
      <w:tr>
        <w:tblPrEx>
          <w:tblCellMar>
            <w:top w:w="0" w:type="dxa"/>
            <w:left w:w="108" w:type="dxa"/>
            <w:bottom w:w="0" w:type="dxa"/>
            <w:right w:w="108" w:type="dxa"/>
          </w:tblCellMar>
        </w:tblPrEx>
        <w:trPr>
          <w:trHeight w:val="861" w:hRule="atLeast"/>
        </w:trPr>
        <w:tc>
          <w:tcPr>
            <w:tcW w:w="74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26</w:t>
            </w:r>
          </w:p>
        </w:tc>
        <w:tc>
          <w:tcPr>
            <w:tcW w:w="2411" w:type="dxa"/>
            <w:tcBorders>
              <w:top w:val="nil"/>
              <w:left w:val="nil"/>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市乡村振兴局</w:t>
            </w:r>
          </w:p>
        </w:tc>
        <w:tc>
          <w:tcPr>
            <w:tcW w:w="680"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single" w:color="auto" w:sz="4" w:space="0"/>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推进惠民补贴政策免申即享，</w:t>
            </w:r>
            <w:r>
              <w:rPr>
                <w:rFonts w:hint="eastAsia" w:ascii="方正仿宋简体" w:eastAsia="方正仿宋简体"/>
                <w:b/>
                <w:bCs/>
                <w:sz w:val="24"/>
              </w:rPr>
              <w:t>10</w:t>
            </w:r>
            <w:r>
              <w:rPr>
                <w:rFonts w:hint="eastAsia" w:ascii="方正仿宋简体" w:hAnsi="宋体" w:eastAsia="方正仿宋简体" w:cs="宋体"/>
                <w:b/>
                <w:bCs/>
                <w:sz w:val="24"/>
              </w:rPr>
              <w:t>月底前实现对中、高等职业教育和技工教育学生补助领取人员的精准分析，推动政策免申即享。</w:t>
            </w:r>
          </w:p>
        </w:tc>
      </w:tr>
      <w:tr>
        <w:tblPrEx>
          <w:tblCellMar>
            <w:top w:w="0" w:type="dxa"/>
            <w:left w:w="108" w:type="dxa"/>
            <w:bottom w:w="0" w:type="dxa"/>
            <w:right w:w="108" w:type="dxa"/>
          </w:tblCellMar>
        </w:tblPrEx>
        <w:trPr>
          <w:trHeight w:val="1036"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27</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市商务局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推进数字赋能商贸业升级，建设智慧商圈基础大数据平台，完成太白楼路商圈数据归集治理，培育</w:t>
            </w:r>
            <w:r>
              <w:rPr>
                <w:rFonts w:hint="eastAsia" w:ascii="方正仿宋简体" w:eastAsia="方正仿宋简体"/>
                <w:b/>
                <w:bCs/>
                <w:sz w:val="24"/>
              </w:rPr>
              <w:t>4</w:t>
            </w:r>
            <w:r>
              <w:rPr>
                <w:rFonts w:hint="eastAsia" w:ascii="方正仿宋简体" w:hAnsi="宋体" w:eastAsia="方正仿宋简体" w:cs="宋体"/>
                <w:b/>
                <w:bCs/>
                <w:sz w:val="24"/>
              </w:rPr>
              <w:t>家亿元以上电商企业，打造</w:t>
            </w:r>
            <w:r>
              <w:rPr>
                <w:rFonts w:hint="eastAsia" w:ascii="方正仿宋简体" w:eastAsia="方正仿宋简体"/>
                <w:b/>
                <w:bCs/>
                <w:sz w:val="24"/>
              </w:rPr>
              <w:t>2</w:t>
            </w:r>
            <w:r>
              <w:rPr>
                <w:rFonts w:hint="eastAsia" w:ascii="方正仿宋简体" w:hAnsi="宋体" w:eastAsia="方正仿宋简体" w:cs="宋体"/>
                <w:b/>
                <w:bCs/>
                <w:sz w:val="24"/>
              </w:rPr>
              <w:t>家以上省级电商直播基地和供应链基地。</w:t>
            </w:r>
          </w:p>
        </w:tc>
      </w:tr>
      <w:tr>
        <w:tblPrEx>
          <w:tblCellMar>
            <w:top w:w="0" w:type="dxa"/>
            <w:left w:w="108" w:type="dxa"/>
            <w:bottom w:w="0" w:type="dxa"/>
            <w:right w:w="108" w:type="dxa"/>
          </w:tblCellMar>
        </w:tblPrEx>
        <w:trPr>
          <w:trHeight w:val="113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791"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加大</w:t>
            </w:r>
            <w:r>
              <w:rPr>
                <w:rFonts w:hint="eastAsia" w:ascii="方正仿宋简体" w:eastAsia="方正仿宋简体"/>
                <w:b/>
                <w:bCs/>
                <w:sz w:val="24"/>
              </w:rPr>
              <w:t>“</w:t>
            </w:r>
            <w:r>
              <w:rPr>
                <w:rFonts w:hint="eastAsia" w:ascii="方正仿宋简体" w:hAnsi="宋体" w:eastAsia="方正仿宋简体" w:cs="宋体"/>
                <w:b/>
                <w:bCs/>
                <w:sz w:val="24"/>
              </w:rPr>
              <w:t>惠企通</w:t>
            </w:r>
            <w:r>
              <w:rPr>
                <w:rFonts w:hint="eastAsia" w:ascii="方正仿宋简体" w:eastAsia="方正仿宋简体"/>
                <w:b/>
                <w:bCs/>
                <w:sz w:val="24"/>
              </w:rPr>
              <w:t>”</w:t>
            </w:r>
            <w:r>
              <w:rPr>
                <w:rFonts w:hint="eastAsia" w:ascii="方正仿宋简体" w:hAnsi="宋体" w:eastAsia="方正仿宋简体" w:cs="宋体"/>
                <w:b/>
                <w:bCs/>
                <w:sz w:val="24"/>
              </w:rPr>
              <w:t>服务平台推广应用力度，实现政策收集、发布、解读、推送、申报、兑现等全环节、全流程线上办理。</w:t>
            </w:r>
          </w:p>
        </w:tc>
      </w:tr>
      <w:tr>
        <w:tblPrEx>
          <w:tblCellMar>
            <w:top w:w="0" w:type="dxa"/>
            <w:left w:w="108" w:type="dxa"/>
            <w:bottom w:w="0" w:type="dxa"/>
            <w:right w:w="108" w:type="dxa"/>
          </w:tblCellMar>
        </w:tblPrEx>
        <w:trPr>
          <w:trHeight w:val="123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eastAsia="方正仿宋简体"/>
                <w:b/>
                <w:bCs/>
                <w:sz w:val="24"/>
              </w:rPr>
              <w:t>深化“无证明城市”建设，强化电子证照政务服务应用，11月底前完成单用途商业预付卡规模发卡企业备案、二手车交易市场经营者和二手车经营主体备案、机电产品进口自动许可等8个电子证照应用。</w:t>
            </w:r>
          </w:p>
        </w:tc>
      </w:tr>
      <w:tr>
        <w:tblPrEx>
          <w:tblCellMar>
            <w:top w:w="0" w:type="dxa"/>
            <w:left w:w="108" w:type="dxa"/>
            <w:bottom w:w="0" w:type="dxa"/>
            <w:right w:w="108" w:type="dxa"/>
          </w:tblCellMar>
        </w:tblPrEx>
        <w:trPr>
          <w:trHeight w:val="626"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5</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加快新型智慧城市建设，</w:t>
            </w:r>
            <w:r>
              <w:rPr>
                <w:rFonts w:hint="eastAsia" w:ascii="方正仿宋简体" w:eastAsia="方正仿宋简体"/>
                <w:b/>
                <w:bCs/>
                <w:sz w:val="24"/>
              </w:rPr>
              <w:t>11</w:t>
            </w:r>
            <w:r>
              <w:rPr>
                <w:rFonts w:hint="eastAsia" w:ascii="方正仿宋简体" w:hAnsi="宋体" w:eastAsia="方正仿宋简体" w:cs="宋体"/>
                <w:b/>
                <w:bCs/>
                <w:sz w:val="24"/>
              </w:rPr>
              <w:t>月底前电子商务指标达到四星级要求。</w:t>
            </w:r>
          </w:p>
        </w:tc>
      </w:tr>
      <w:tr>
        <w:tblPrEx>
          <w:tblCellMar>
            <w:top w:w="0" w:type="dxa"/>
            <w:left w:w="108" w:type="dxa"/>
            <w:bottom w:w="0" w:type="dxa"/>
            <w:right w:w="108" w:type="dxa"/>
          </w:tblCellMar>
        </w:tblPrEx>
        <w:trPr>
          <w:trHeight w:val="942"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28</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市文化和旅游局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599"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重点场景应用，</w:t>
            </w:r>
            <w:r>
              <w:rPr>
                <w:rFonts w:hint="eastAsia" w:ascii="方正仿宋简体" w:eastAsia="方正仿宋简体"/>
                <w:b/>
                <w:bCs/>
                <w:sz w:val="24"/>
              </w:rPr>
              <w:t>11</w:t>
            </w:r>
            <w:r>
              <w:rPr>
                <w:rFonts w:hint="eastAsia" w:ascii="方正仿宋简体" w:hAnsi="宋体" w:eastAsia="方正仿宋简体" w:cs="宋体"/>
                <w:b/>
                <w:bCs/>
                <w:sz w:val="24"/>
              </w:rPr>
              <w:t>月底前完成图书馆、博物馆、景区等文化旅游领域的</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场景应用工作。</w:t>
            </w:r>
          </w:p>
        </w:tc>
      </w:tr>
      <w:tr>
        <w:tblPrEx>
          <w:tblCellMar>
            <w:top w:w="0" w:type="dxa"/>
            <w:left w:w="108" w:type="dxa"/>
            <w:bottom w:w="0" w:type="dxa"/>
            <w:right w:w="108" w:type="dxa"/>
          </w:tblCellMar>
        </w:tblPrEx>
        <w:trPr>
          <w:trHeight w:val="743"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eastAsia="方正仿宋简体"/>
                <w:b/>
                <w:bCs/>
                <w:sz w:val="24"/>
              </w:rPr>
              <w:t>深化“无证明城市”建设，强化电子证照在政务服务领域应用，11月底前推动利用不可移动文物举办展览、展销、演出等活动的许可等11个政务服务事项实现电子证照应用。</w:t>
            </w:r>
          </w:p>
        </w:tc>
      </w:tr>
      <w:tr>
        <w:tblPrEx>
          <w:tblCellMar>
            <w:top w:w="0" w:type="dxa"/>
            <w:left w:w="108" w:type="dxa"/>
            <w:bottom w:w="0" w:type="dxa"/>
            <w:right w:w="108" w:type="dxa"/>
          </w:tblCellMar>
        </w:tblPrEx>
        <w:trPr>
          <w:trHeight w:val="687"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加强智慧文旅大数据平台建设，完善客源监测、客源分析等功能，通过描绘游客画像数据，为旅游线路个性化推荐、精准营销、文旅专项治理等提供决策支撑。</w:t>
            </w:r>
          </w:p>
        </w:tc>
      </w:tr>
      <w:tr>
        <w:tblPrEx>
          <w:tblCellMar>
            <w:top w:w="0" w:type="dxa"/>
            <w:left w:w="108" w:type="dxa"/>
            <w:bottom w:w="0" w:type="dxa"/>
            <w:right w:w="108" w:type="dxa"/>
          </w:tblCellMar>
        </w:tblPrEx>
        <w:trPr>
          <w:trHeight w:val="743"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5</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加快新型智慧城市建设，推动重点景区票务系统整合应用，优化在线购票服务体验，</w:t>
            </w:r>
            <w:r>
              <w:rPr>
                <w:rFonts w:hint="eastAsia" w:ascii="方正仿宋简体" w:eastAsia="方正仿宋简体"/>
                <w:b/>
                <w:bCs/>
                <w:sz w:val="24"/>
              </w:rPr>
              <w:t>11</w:t>
            </w:r>
            <w:r>
              <w:rPr>
                <w:rFonts w:hint="eastAsia" w:ascii="方正仿宋简体" w:hAnsi="宋体" w:eastAsia="方正仿宋简体" w:cs="宋体"/>
                <w:b/>
                <w:bCs/>
                <w:sz w:val="24"/>
              </w:rPr>
              <w:t>月底前智慧文化设施建设情况、智慧景区建设情况达到四星级要求。</w:t>
            </w:r>
          </w:p>
        </w:tc>
      </w:tr>
      <w:tr>
        <w:tblPrEx>
          <w:tblCellMar>
            <w:top w:w="0" w:type="dxa"/>
            <w:left w:w="108" w:type="dxa"/>
            <w:bottom w:w="0" w:type="dxa"/>
            <w:right w:w="108" w:type="dxa"/>
          </w:tblCellMar>
        </w:tblPrEx>
        <w:trPr>
          <w:trHeight w:val="105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29</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市卫生健康委</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52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重点场景应用，</w:t>
            </w:r>
            <w:r>
              <w:rPr>
                <w:rFonts w:hint="eastAsia" w:ascii="方正仿宋简体" w:eastAsia="方正仿宋简体"/>
                <w:b/>
                <w:bCs/>
                <w:sz w:val="24"/>
              </w:rPr>
              <w:t>11</w:t>
            </w:r>
            <w:r>
              <w:rPr>
                <w:rFonts w:hint="eastAsia" w:ascii="方正仿宋简体" w:hAnsi="宋体" w:eastAsia="方正仿宋简体" w:cs="宋体"/>
                <w:b/>
                <w:bCs/>
                <w:sz w:val="24"/>
              </w:rPr>
              <w:t>月底前完成医院方面的</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场景应用工作。</w:t>
            </w:r>
          </w:p>
        </w:tc>
      </w:tr>
      <w:tr>
        <w:tblPrEx>
          <w:tblCellMar>
            <w:top w:w="0" w:type="dxa"/>
            <w:left w:w="108" w:type="dxa"/>
            <w:bottom w:w="0" w:type="dxa"/>
            <w:right w:w="108" w:type="dxa"/>
          </w:tblCellMar>
        </w:tblPrEx>
        <w:trPr>
          <w:trHeight w:val="106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eastAsia="方正仿宋简体"/>
                <w:b/>
                <w:bCs/>
                <w:sz w:val="24"/>
              </w:rPr>
              <w:t>深化“无证明城市”建设，加快电子证照证明制发，11月底前指导各级医疗机构完成健康证明电子证明制发工作，完成放射诊疗许可证电子证照制发工作；强化电子证照社会化应用，11月底前打造医疗保障社会化应用场景。</w:t>
            </w:r>
          </w:p>
        </w:tc>
      </w:tr>
      <w:tr>
        <w:tblPrEx>
          <w:tblCellMar>
            <w:top w:w="0" w:type="dxa"/>
            <w:left w:w="108" w:type="dxa"/>
            <w:bottom w:w="0" w:type="dxa"/>
            <w:right w:w="108" w:type="dxa"/>
          </w:tblCellMar>
        </w:tblPrEx>
        <w:trPr>
          <w:trHeight w:val="786"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推进智慧医疗建设，实现全市范围内二级及以上综合医疗机构间医疗健康信息互通共享；打造电子病历</w:t>
            </w:r>
            <w:r>
              <w:rPr>
                <w:rFonts w:hint="eastAsia" w:ascii="方正仿宋简体" w:eastAsia="方正仿宋简体"/>
                <w:b/>
                <w:bCs/>
                <w:sz w:val="24"/>
              </w:rPr>
              <w:t>“</w:t>
            </w:r>
            <w:r>
              <w:rPr>
                <w:rFonts w:hint="eastAsia" w:ascii="方正仿宋简体" w:hAnsi="宋体" w:eastAsia="方正仿宋简体" w:cs="宋体"/>
                <w:b/>
                <w:bCs/>
                <w:sz w:val="24"/>
              </w:rPr>
              <w:t>掌上查</w:t>
            </w:r>
            <w:r>
              <w:rPr>
                <w:rFonts w:hint="eastAsia" w:ascii="方正仿宋简体" w:eastAsia="方正仿宋简体"/>
                <w:b/>
                <w:bCs/>
                <w:sz w:val="24"/>
              </w:rPr>
              <w:t>”</w:t>
            </w:r>
            <w:r>
              <w:rPr>
                <w:rFonts w:hint="eastAsia" w:ascii="方正仿宋简体" w:hAnsi="宋体" w:eastAsia="方正仿宋简体" w:cs="宋体"/>
                <w:b/>
                <w:bCs/>
                <w:sz w:val="24"/>
              </w:rPr>
              <w:t>，实现电子病历、门诊处方、检验检查等主要医疗健康数据一键检索。</w:t>
            </w:r>
          </w:p>
        </w:tc>
      </w:tr>
      <w:tr>
        <w:tblPrEx>
          <w:tblCellMar>
            <w:top w:w="0" w:type="dxa"/>
            <w:left w:w="108" w:type="dxa"/>
            <w:bottom w:w="0" w:type="dxa"/>
            <w:right w:w="108" w:type="dxa"/>
          </w:tblCellMar>
        </w:tblPrEx>
        <w:trPr>
          <w:trHeight w:val="70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5</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加快新型智慧城市建设，</w:t>
            </w:r>
            <w:r>
              <w:rPr>
                <w:rFonts w:hint="eastAsia" w:ascii="方正仿宋简体" w:eastAsia="方正仿宋简体"/>
                <w:b/>
                <w:bCs/>
                <w:sz w:val="24"/>
              </w:rPr>
              <w:t>11</w:t>
            </w:r>
            <w:r>
              <w:rPr>
                <w:rFonts w:hint="eastAsia" w:ascii="方正仿宋简体" w:hAnsi="宋体" w:eastAsia="方正仿宋简体" w:cs="宋体"/>
                <w:b/>
                <w:bCs/>
                <w:sz w:val="24"/>
              </w:rPr>
              <w:t>月底前电子病历系统应用水平、便捷结算服务水平、诊疗信息共享水平达到四星级要求。</w:t>
            </w:r>
          </w:p>
        </w:tc>
      </w:tr>
      <w:tr>
        <w:tblPrEx>
          <w:tblCellMar>
            <w:top w:w="0" w:type="dxa"/>
            <w:left w:w="108" w:type="dxa"/>
            <w:bottom w:w="0" w:type="dxa"/>
            <w:right w:w="108" w:type="dxa"/>
          </w:tblCellMar>
        </w:tblPrEx>
        <w:trPr>
          <w:trHeight w:val="785"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6</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推进惠民补贴政策免申即享，</w:t>
            </w:r>
            <w:r>
              <w:rPr>
                <w:rFonts w:hint="eastAsia" w:ascii="方正仿宋简体" w:eastAsia="方正仿宋简体"/>
                <w:b/>
                <w:bCs/>
                <w:sz w:val="24"/>
              </w:rPr>
              <w:t>10</w:t>
            </w:r>
            <w:r>
              <w:rPr>
                <w:rFonts w:hint="eastAsia" w:ascii="方正仿宋简体" w:hAnsi="宋体" w:eastAsia="方正仿宋简体" w:cs="宋体"/>
                <w:b/>
                <w:bCs/>
                <w:sz w:val="24"/>
              </w:rPr>
              <w:t>月底前实现对高龄补贴及年满</w:t>
            </w:r>
            <w:r>
              <w:rPr>
                <w:rFonts w:hint="eastAsia" w:ascii="方正仿宋简体" w:eastAsia="方正仿宋简体"/>
                <w:b/>
                <w:bCs/>
                <w:sz w:val="24"/>
              </w:rPr>
              <w:t>80</w:t>
            </w:r>
            <w:r>
              <w:rPr>
                <w:rFonts w:hint="eastAsia" w:ascii="方正仿宋简体" w:hAnsi="宋体" w:eastAsia="方正仿宋简体" w:cs="宋体"/>
                <w:b/>
                <w:bCs/>
                <w:sz w:val="24"/>
              </w:rPr>
              <w:t>、</w:t>
            </w:r>
            <w:r>
              <w:rPr>
                <w:rFonts w:hint="eastAsia" w:ascii="方正仿宋简体" w:eastAsia="方正仿宋简体"/>
                <w:b/>
                <w:bCs/>
                <w:sz w:val="24"/>
              </w:rPr>
              <w:t>90</w:t>
            </w:r>
            <w:r>
              <w:rPr>
                <w:rFonts w:hint="eastAsia" w:ascii="方正仿宋简体" w:hAnsi="宋体" w:eastAsia="方正仿宋简体" w:cs="宋体"/>
                <w:b/>
                <w:bCs/>
                <w:sz w:val="24"/>
              </w:rPr>
              <w:t>非低保老人补贴领取人员的精准分析，推动政策免申即享。</w:t>
            </w:r>
          </w:p>
        </w:tc>
      </w:tr>
      <w:tr>
        <w:tblPrEx>
          <w:tblCellMar>
            <w:top w:w="0" w:type="dxa"/>
            <w:left w:w="108" w:type="dxa"/>
            <w:bottom w:w="0" w:type="dxa"/>
            <w:right w:w="108" w:type="dxa"/>
          </w:tblCellMar>
        </w:tblPrEx>
        <w:trPr>
          <w:trHeight w:val="1500" w:hRule="atLeast"/>
        </w:trPr>
        <w:tc>
          <w:tcPr>
            <w:tcW w:w="74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30</w:t>
            </w:r>
          </w:p>
        </w:tc>
        <w:tc>
          <w:tcPr>
            <w:tcW w:w="2411" w:type="dxa"/>
            <w:tcBorders>
              <w:top w:val="nil"/>
              <w:left w:val="nil"/>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市退役军人局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1603"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31</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市应急局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1736"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建设应急融合通信平台，打通应急系统手机、卫星电话、图传单兵、视频监控等多种通信方式的传输渠道，建立立体化覆盖的音视频协调工作体系。规划建设通信前突车、大型通信指挥车、物资装备运输车</w:t>
            </w:r>
            <w:r>
              <w:rPr>
                <w:rFonts w:hint="eastAsia" w:ascii="方正仿宋简体" w:eastAsia="方正仿宋简体"/>
                <w:b/>
                <w:bCs/>
                <w:sz w:val="24"/>
              </w:rPr>
              <w:t>3</w:t>
            </w:r>
            <w:r>
              <w:rPr>
                <w:rFonts w:hint="eastAsia" w:ascii="方正仿宋简体" w:hAnsi="宋体" w:eastAsia="方正仿宋简体" w:cs="宋体"/>
                <w:b/>
                <w:bCs/>
                <w:sz w:val="24"/>
              </w:rPr>
              <w:t>车编组的移动应急通信指挥中心，满足应急、消防、公安现场应急指挥通信需求，实现突发事件快速上报、统一部署、迅速处置和联合指挥，提高全市应急指挥效率。</w:t>
            </w:r>
          </w:p>
        </w:tc>
      </w:tr>
      <w:tr>
        <w:tblPrEx>
          <w:tblCellMar>
            <w:top w:w="0" w:type="dxa"/>
            <w:left w:w="108" w:type="dxa"/>
            <w:bottom w:w="0" w:type="dxa"/>
            <w:right w:w="108" w:type="dxa"/>
          </w:tblCellMar>
        </w:tblPrEx>
        <w:trPr>
          <w:trHeight w:val="1278"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实施智慧应急工程，打造</w:t>
            </w:r>
            <w:r>
              <w:rPr>
                <w:rFonts w:hint="eastAsia" w:ascii="方正仿宋简体" w:eastAsia="方正仿宋简体"/>
                <w:b/>
                <w:bCs/>
                <w:sz w:val="24"/>
              </w:rPr>
              <w:t>“</w:t>
            </w:r>
            <w:r>
              <w:rPr>
                <w:rFonts w:hint="eastAsia" w:ascii="方正仿宋简体" w:hAnsi="宋体" w:eastAsia="方正仿宋简体" w:cs="宋体"/>
                <w:b/>
                <w:bCs/>
                <w:sz w:val="24"/>
              </w:rPr>
              <w:t>应急大脑</w:t>
            </w:r>
            <w:r>
              <w:rPr>
                <w:rFonts w:hint="eastAsia" w:ascii="方正仿宋简体" w:eastAsia="方正仿宋简体"/>
                <w:b/>
                <w:bCs/>
                <w:sz w:val="24"/>
              </w:rPr>
              <w:t>”</w:t>
            </w:r>
            <w:r>
              <w:rPr>
                <w:rFonts w:hint="eastAsia" w:ascii="方正仿宋简体" w:hAnsi="宋体" w:eastAsia="方正仿宋简体" w:cs="宋体"/>
                <w:b/>
                <w:bCs/>
                <w:sz w:val="24"/>
              </w:rPr>
              <w:t>功能，提高灾害事故信息获取、应急通信保障、辅助指挥决策和社会动员能力。</w:t>
            </w:r>
          </w:p>
        </w:tc>
      </w:tr>
      <w:tr>
        <w:tblPrEx>
          <w:tblCellMar>
            <w:top w:w="0" w:type="dxa"/>
            <w:left w:w="108" w:type="dxa"/>
            <w:bottom w:w="0" w:type="dxa"/>
            <w:right w:w="108" w:type="dxa"/>
          </w:tblCellMar>
        </w:tblPrEx>
        <w:trPr>
          <w:trHeight w:val="132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32</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市国资委</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bCs/>
                <w:sz w:val="24"/>
              </w:rPr>
            </w:pPr>
            <w:r>
              <w:rPr>
                <w:rFonts w:hint="eastAsia" w:ascii="方正仿宋简体" w:eastAsia="方正仿宋简体"/>
                <w:b/>
                <w:bCs/>
                <w:sz w:val="24"/>
              </w:rPr>
              <w:t>督促所监管国有企业做好“一码游济宁”微信小程序、济宁旅游惠民卡、“济宁公交”APP等相关应用接入“爱山东”APP济宁分厅工作。</w:t>
            </w:r>
          </w:p>
        </w:tc>
      </w:tr>
      <w:tr>
        <w:tblPrEx>
          <w:tblCellMar>
            <w:top w:w="0" w:type="dxa"/>
            <w:left w:w="108" w:type="dxa"/>
            <w:bottom w:w="0" w:type="dxa"/>
            <w:right w:w="108" w:type="dxa"/>
          </w:tblCellMar>
        </w:tblPrEx>
        <w:trPr>
          <w:trHeight w:val="130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bCs/>
                <w:sz w:val="24"/>
              </w:rPr>
            </w:pPr>
            <w:r>
              <w:rPr>
                <w:rFonts w:hint="eastAsia" w:ascii="方正仿宋简体" w:eastAsia="方正仿宋简体"/>
                <w:b/>
                <w:bCs/>
                <w:sz w:val="24"/>
              </w:rPr>
              <w:t>督促所监管国有企业做好涉及的交通出行领域和涉及的文化旅游领域“鲁通码”场景应用工作。</w:t>
            </w:r>
          </w:p>
        </w:tc>
      </w:tr>
      <w:tr>
        <w:tblPrEx>
          <w:tblCellMar>
            <w:top w:w="0" w:type="dxa"/>
            <w:left w:w="108" w:type="dxa"/>
            <w:bottom w:w="0" w:type="dxa"/>
            <w:right w:w="108" w:type="dxa"/>
          </w:tblCellMar>
        </w:tblPrEx>
        <w:trPr>
          <w:trHeight w:val="2211"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33</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市行政审批服务局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深化</w:t>
            </w:r>
            <w:r>
              <w:rPr>
                <w:rFonts w:hint="eastAsia" w:ascii="方正仿宋简体" w:eastAsia="方正仿宋简体"/>
                <w:b/>
                <w:bCs/>
                <w:sz w:val="24"/>
              </w:rPr>
              <w:t>“</w:t>
            </w:r>
            <w:r>
              <w:rPr>
                <w:rFonts w:hint="eastAsia" w:ascii="方正仿宋简体" w:hAnsi="宋体" w:eastAsia="方正仿宋简体" w:cs="宋体"/>
                <w:b/>
                <w:bCs/>
                <w:sz w:val="24"/>
              </w:rPr>
              <w:t>双全双百</w:t>
            </w:r>
            <w:r>
              <w:rPr>
                <w:rFonts w:hint="eastAsia" w:ascii="方正仿宋简体" w:eastAsia="方正仿宋简体"/>
                <w:b/>
                <w:bCs/>
                <w:sz w:val="24"/>
              </w:rPr>
              <w:t>”</w:t>
            </w:r>
            <w:r>
              <w:rPr>
                <w:rFonts w:hint="eastAsia" w:ascii="方正仿宋简体" w:hAnsi="宋体" w:eastAsia="方正仿宋简体" w:cs="宋体"/>
                <w:b/>
                <w:bCs/>
                <w:sz w:val="24"/>
              </w:rPr>
              <w:t>提升工程，持续推进政务服务标准化、规范化、便利化、数字化建设，全面优化线上线下服务供给和办事流程，提升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改革成效。塑强</w:t>
            </w:r>
            <w:r>
              <w:rPr>
                <w:rFonts w:hint="eastAsia" w:ascii="方正仿宋简体" w:eastAsia="方正仿宋简体"/>
                <w:b/>
                <w:bCs/>
                <w:sz w:val="24"/>
              </w:rPr>
              <w:t>“</w:t>
            </w:r>
            <w:r>
              <w:rPr>
                <w:rFonts w:hint="eastAsia" w:ascii="方正仿宋简体" w:hAnsi="宋体" w:eastAsia="方正仿宋简体" w:cs="宋体"/>
                <w:b/>
                <w:bCs/>
                <w:sz w:val="24"/>
              </w:rPr>
              <w:t>爱山东</w:t>
            </w:r>
            <w:r>
              <w:rPr>
                <w:rFonts w:hint="eastAsia" w:ascii="方正仿宋简体" w:eastAsia="方正仿宋简体"/>
                <w:b/>
                <w:bCs/>
                <w:sz w:val="24"/>
              </w:rPr>
              <w:t>·</w:t>
            </w:r>
            <w:r>
              <w:rPr>
                <w:rFonts w:hint="eastAsia" w:ascii="方正仿宋简体" w:hAnsi="宋体" w:eastAsia="方正仿宋简体" w:cs="宋体"/>
                <w:b/>
                <w:bCs/>
                <w:sz w:val="24"/>
              </w:rPr>
              <w:t>济</w:t>
            </w:r>
            <w:r>
              <w:rPr>
                <w:rFonts w:hint="eastAsia" w:ascii="方正仿宋简体" w:eastAsia="方正仿宋简体"/>
                <w:b/>
                <w:bCs/>
                <w:sz w:val="24"/>
              </w:rPr>
              <w:t>e</w:t>
            </w:r>
            <w:r>
              <w:rPr>
                <w:rFonts w:hint="eastAsia" w:ascii="方正仿宋简体" w:hAnsi="宋体" w:eastAsia="方正仿宋简体" w:cs="宋体"/>
                <w:b/>
                <w:bCs/>
                <w:sz w:val="24"/>
              </w:rPr>
              <w:t>办</w:t>
            </w:r>
            <w:r>
              <w:rPr>
                <w:rFonts w:hint="eastAsia" w:ascii="方正仿宋简体" w:eastAsia="方正仿宋简体"/>
                <w:b/>
                <w:bCs/>
                <w:sz w:val="24"/>
              </w:rPr>
              <w:t>”</w:t>
            </w:r>
            <w:r>
              <w:rPr>
                <w:rFonts w:hint="eastAsia" w:ascii="方正仿宋简体" w:hAnsi="宋体" w:eastAsia="方正仿宋简体" w:cs="宋体"/>
                <w:b/>
                <w:bCs/>
                <w:sz w:val="24"/>
              </w:rPr>
              <w:t>政务服务品牌，深化窗口端、桌面端、移动端等多渠道</w:t>
            </w:r>
            <w:r>
              <w:rPr>
                <w:rFonts w:hint="eastAsia" w:ascii="方正仿宋简体" w:eastAsia="方正仿宋简体"/>
                <w:b/>
                <w:bCs/>
                <w:sz w:val="24"/>
              </w:rPr>
              <w:t>“</w:t>
            </w:r>
            <w:r>
              <w:rPr>
                <w:rFonts w:hint="eastAsia" w:ascii="方正仿宋简体" w:hAnsi="宋体" w:eastAsia="方正仿宋简体" w:cs="宋体"/>
                <w:b/>
                <w:bCs/>
                <w:sz w:val="24"/>
              </w:rPr>
              <w:t>同标同源</w:t>
            </w:r>
            <w:r>
              <w:rPr>
                <w:rFonts w:hint="eastAsia" w:ascii="方正仿宋简体" w:eastAsia="方正仿宋简体"/>
                <w:b/>
                <w:bCs/>
                <w:sz w:val="24"/>
              </w:rPr>
              <w:t>”</w:t>
            </w:r>
            <w:r>
              <w:rPr>
                <w:rFonts w:hint="eastAsia" w:ascii="方正仿宋简体" w:hAnsi="宋体" w:eastAsia="方正仿宋简体" w:cs="宋体"/>
                <w:b/>
                <w:bCs/>
                <w:sz w:val="24"/>
              </w:rPr>
              <w:t>建设，提升线上线下融合服务能力，年底前基本实现企业群众在线办事</w:t>
            </w:r>
            <w:r>
              <w:rPr>
                <w:rFonts w:hint="eastAsia" w:ascii="方正仿宋简体" w:eastAsia="方正仿宋简体"/>
                <w:b/>
                <w:bCs/>
                <w:sz w:val="24"/>
              </w:rPr>
              <w:t>“</w:t>
            </w:r>
            <w:r>
              <w:rPr>
                <w:rFonts w:hint="eastAsia" w:ascii="方正仿宋简体" w:hAnsi="宋体" w:eastAsia="方正仿宋简体" w:cs="宋体"/>
                <w:b/>
                <w:bCs/>
                <w:sz w:val="24"/>
              </w:rPr>
              <w:t>进一个网、办所有事</w:t>
            </w:r>
            <w:r>
              <w:rPr>
                <w:rFonts w:hint="eastAsia" w:ascii="方正仿宋简体" w:eastAsia="方正仿宋简体"/>
                <w:b/>
                <w:bCs/>
                <w:sz w:val="24"/>
              </w:rPr>
              <w:t>”</w:t>
            </w:r>
            <w:r>
              <w:rPr>
                <w:rFonts w:hint="eastAsia" w:ascii="方正仿宋简体" w:hAnsi="宋体" w:eastAsia="方正仿宋简体" w:cs="宋体"/>
                <w:b/>
                <w:bCs/>
                <w:sz w:val="24"/>
              </w:rPr>
              <w:t>，依申请政务服务事项网办覆盖率和全程网办率分别达到</w:t>
            </w:r>
            <w:r>
              <w:rPr>
                <w:rFonts w:hint="eastAsia" w:ascii="方正仿宋简体" w:eastAsia="方正仿宋简体"/>
                <w:b/>
                <w:bCs/>
                <w:sz w:val="24"/>
              </w:rPr>
              <w:t>95%</w:t>
            </w:r>
            <w:r>
              <w:rPr>
                <w:rFonts w:hint="eastAsia" w:ascii="方正仿宋简体" w:hAnsi="宋体" w:eastAsia="方正仿宋简体" w:cs="宋体"/>
                <w:b/>
                <w:bCs/>
                <w:sz w:val="24"/>
              </w:rPr>
              <w:t>、</w:t>
            </w:r>
            <w:r>
              <w:rPr>
                <w:rFonts w:hint="eastAsia" w:ascii="方正仿宋简体" w:eastAsia="方正仿宋简体"/>
                <w:b/>
                <w:bCs/>
                <w:sz w:val="24"/>
              </w:rPr>
              <w:t>85%</w:t>
            </w:r>
            <w:r>
              <w:rPr>
                <w:rFonts w:hint="eastAsia" w:ascii="方正仿宋简体" w:hAnsi="宋体" w:eastAsia="方正仿宋简体" w:cs="宋体"/>
                <w:b/>
                <w:bCs/>
                <w:sz w:val="24"/>
              </w:rPr>
              <w:t>，政务服务证明材料共享率达</w:t>
            </w:r>
            <w:r>
              <w:rPr>
                <w:rFonts w:hint="eastAsia" w:ascii="方正仿宋简体" w:eastAsia="方正仿宋简体"/>
                <w:b/>
                <w:bCs/>
                <w:sz w:val="24"/>
              </w:rPr>
              <w:t>60%</w:t>
            </w:r>
            <w:r>
              <w:rPr>
                <w:rFonts w:hint="eastAsia" w:ascii="方正仿宋简体" w:hAnsi="宋体" w:eastAsia="方正仿宋简体" w:cs="宋体"/>
                <w:b/>
                <w:bCs/>
                <w:sz w:val="24"/>
              </w:rPr>
              <w:t>，建设</w:t>
            </w:r>
            <w:r>
              <w:rPr>
                <w:rFonts w:hint="eastAsia" w:ascii="方正仿宋简体" w:eastAsia="方正仿宋简体"/>
                <w:b/>
                <w:bCs/>
                <w:sz w:val="24"/>
              </w:rPr>
              <w:t>“24</w:t>
            </w:r>
            <w:r>
              <w:rPr>
                <w:rFonts w:hint="eastAsia" w:ascii="方正仿宋简体" w:hAnsi="宋体" w:eastAsia="方正仿宋简体" w:cs="宋体"/>
                <w:b/>
                <w:bCs/>
                <w:sz w:val="24"/>
              </w:rPr>
              <w:t>小时不打烊</w:t>
            </w:r>
            <w:r>
              <w:rPr>
                <w:rFonts w:hint="eastAsia" w:ascii="方正仿宋简体" w:eastAsia="方正仿宋简体"/>
                <w:b/>
                <w:bCs/>
                <w:sz w:val="24"/>
              </w:rPr>
              <w:t>”</w:t>
            </w:r>
            <w:r>
              <w:rPr>
                <w:rFonts w:hint="eastAsia" w:ascii="方正仿宋简体" w:hAnsi="宋体" w:eastAsia="方正仿宋简体" w:cs="宋体"/>
                <w:b/>
                <w:bCs/>
                <w:sz w:val="24"/>
              </w:rPr>
              <w:t>的网上政府、掌上政府，推动政务服务智能终端向乡村覆盖，推进涉农服务事项在线办理。</w:t>
            </w:r>
          </w:p>
        </w:tc>
      </w:tr>
      <w:tr>
        <w:tblPrEx>
          <w:tblCellMar>
            <w:top w:w="0" w:type="dxa"/>
            <w:left w:w="108" w:type="dxa"/>
            <w:bottom w:w="0" w:type="dxa"/>
            <w:right w:w="108" w:type="dxa"/>
          </w:tblCellMar>
        </w:tblPrEx>
        <w:trPr>
          <w:trHeight w:val="317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eastAsia="方正仿宋简体"/>
                <w:b/>
                <w:bCs/>
                <w:sz w:val="24"/>
              </w:rPr>
              <w:t>深化“无证明城市”建设，加快电子证照证明制发，11月底前完成劳务派遣经营许可证、人力资源服务许可证、建设用地规划许可证、建设工程规划条件核实合格证、乡村建设规划许可证、建设工程规划许可证、建筑工程施工许可证、建设工程竣工验收备案证书、工程设计资质证书、建筑施工企业安全生产许可证书、建筑业企业资质证书、房地产开发企业资质证书、建设工程质量检测机构资质证书、工程勘察资质证书、卫生许可证等34类电子证照制发工作；强化电子证照在政务服务领域应用，11月底前完成办理工程质量监督手续、补发许可批件、超限运输车辆行驶公路许可新办等288个电子证照应用；强化电子证照社会化应用，11月底前打造行政审批社会化应用场景，在教师资格证认定过程中，通过与定点医疗机构对接，以共享方式获取体检报告数据，实现教师资格认定体检报告材料免提交。</w:t>
            </w:r>
          </w:p>
        </w:tc>
      </w:tr>
      <w:tr>
        <w:tblPrEx>
          <w:tblCellMar>
            <w:top w:w="0" w:type="dxa"/>
            <w:left w:w="108" w:type="dxa"/>
            <w:bottom w:w="0" w:type="dxa"/>
            <w:right w:w="108" w:type="dxa"/>
          </w:tblCellMar>
        </w:tblPrEx>
        <w:trPr>
          <w:trHeight w:val="112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重点场景应用，</w:t>
            </w:r>
            <w:r>
              <w:rPr>
                <w:rFonts w:hint="eastAsia" w:ascii="方正仿宋简体" w:eastAsia="方正仿宋简体"/>
                <w:b/>
                <w:bCs/>
                <w:sz w:val="24"/>
              </w:rPr>
              <w:t>11</w:t>
            </w:r>
            <w:r>
              <w:rPr>
                <w:rFonts w:hint="eastAsia" w:ascii="方正仿宋简体" w:hAnsi="宋体" w:eastAsia="方正仿宋简体" w:cs="宋体"/>
                <w:b/>
                <w:bCs/>
                <w:sz w:val="24"/>
              </w:rPr>
              <w:t>月底前完成行政审批政务大厅、为民服务中心的</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场景应用工作。</w:t>
            </w:r>
          </w:p>
        </w:tc>
      </w:tr>
      <w:tr>
        <w:tblPrEx>
          <w:tblCellMar>
            <w:top w:w="0" w:type="dxa"/>
            <w:left w:w="108" w:type="dxa"/>
            <w:bottom w:w="0" w:type="dxa"/>
            <w:right w:w="108" w:type="dxa"/>
          </w:tblCellMar>
        </w:tblPrEx>
        <w:trPr>
          <w:trHeight w:val="114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加大</w:t>
            </w:r>
            <w:r>
              <w:rPr>
                <w:rFonts w:hint="eastAsia" w:ascii="方正仿宋简体" w:eastAsia="方正仿宋简体"/>
                <w:b/>
                <w:bCs/>
                <w:sz w:val="24"/>
              </w:rPr>
              <w:t>“</w:t>
            </w:r>
            <w:r>
              <w:rPr>
                <w:rFonts w:hint="eastAsia" w:ascii="方正仿宋简体" w:hAnsi="宋体" w:eastAsia="方正仿宋简体" w:cs="宋体"/>
                <w:b/>
                <w:bCs/>
                <w:sz w:val="24"/>
              </w:rPr>
              <w:t>惠企通</w:t>
            </w:r>
            <w:r>
              <w:rPr>
                <w:rFonts w:hint="eastAsia" w:ascii="方正仿宋简体" w:eastAsia="方正仿宋简体"/>
                <w:b/>
                <w:bCs/>
                <w:sz w:val="24"/>
              </w:rPr>
              <w:t>”</w:t>
            </w:r>
            <w:r>
              <w:rPr>
                <w:rFonts w:hint="eastAsia" w:ascii="方正仿宋简体" w:hAnsi="宋体" w:eastAsia="方正仿宋简体" w:cs="宋体"/>
                <w:b/>
                <w:bCs/>
                <w:sz w:val="24"/>
              </w:rPr>
              <w:t>服务平台推广应用力度，实现政策收集、发布、解读、推送、申报、兑现等全环节、全流程线上办理。</w:t>
            </w:r>
          </w:p>
        </w:tc>
      </w:tr>
      <w:tr>
        <w:tblPrEx>
          <w:tblCellMar>
            <w:top w:w="0" w:type="dxa"/>
            <w:left w:w="108" w:type="dxa"/>
            <w:bottom w:w="0" w:type="dxa"/>
            <w:right w:w="108" w:type="dxa"/>
          </w:tblCellMar>
        </w:tblPrEx>
        <w:trPr>
          <w:trHeight w:val="118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5</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加快新型智慧城市建设，</w:t>
            </w:r>
            <w:r>
              <w:rPr>
                <w:rFonts w:hint="eastAsia" w:ascii="方正仿宋简体" w:eastAsia="方正仿宋简体"/>
                <w:b/>
                <w:bCs/>
                <w:sz w:val="24"/>
              </w:rPr>
              <w:t>11</w:t>
            </w:r>
            <w:r>
              <w:rPr>
                <w:rFonts w:hint="eastAsia" w:ascii="方正仿宋简体" w:hAnsi="宋体" w:eastAsia="方正仿宋简体" w:cs="宋体"/>
                <w:b/>
                <w:bCs/>
                <w:sz w:val="24"/>
              </w:rPr>
              <w:t>月底前政务服务事项在线运行情况、政务服务事项贯通运行情况、</w:t>
            </w:r>
            <w:r>
              <w:rPr>
                <w:rFonts w:hint="eastAsia" w:ascii="方正仿宋简体" w:eastAsia="方正仿宋简体"/>
                <w:b/>
                <w:bCs/>
                <w:sz w:val="24"/>
              </w:rPr>
              <w:t>“</w:t>
            </w:r>
            <w:r>
              <w:rPr>
                <w:rFonts w:hint="eastAsia" w:ascii="方正仿宋简体" w:hAnsi="宋体" w:eastAsia="方正仿宋简体" w:cs="宋体"/>
                <w:b/>
                <w:bCs/>
                <w:sz w:val="24"/>
              </w:rPr>
              <w:t>无证明城市</w:t>
            </w:r>
            <w:r>
              <w:rPr>
                <w:rFonts w:hint="eastAsia" w:ascii="方正仿宋简体" w:eastAsia="方正仿宋简体"/>
                <w:b/>
                <w:bCs/>
                <w:sz w:val="24"/>
              </w:rPr>
              <w:t>”</w:t>
            </w:r>
            <w:r>
              <w:rPr>
                <w:rFonts w:hint="eastAsia" w:ascii="方正仿宋简体" w:hAnsi="宋体" w:eastAsia="方正仿宋简体" w:cs="宋体"/>
                <w:b/>
                <w:bCs/>
                <w:sz w:val="24"/>
              </w:rPr>
              <w:t>建设情况达到四星级要求。</w:t>
            </w:r>
          </w:p>
        </w:tc>
      </w:tr>
      <w:tr>
        <w:tblPrEx>
          <w:tblCellMar>
            <w:top w:w="0" w:type="dxa"/>
            <w:left w:w="108" w:type="dxa"/>
            <w:bottom w:w="0" w:type="dxa"/>
            <w:right w:w="108" w:type="dxa"/>
          </w:tblCellMar>
        </w:tblPrEx>
        <w:trPr>
          <w:trHeight w:val="1285"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34</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市市场监管局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55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重点场景应用，</w:t>
            </w:r>
            <w:r>
              <w:rPr>
                <w:rFonts w:hint="eastAsia" w:ascii="方正仿宋简体" w:eastAsia="方正仿宋简体"/>
                <w:b/>
                <w:bCs/>
                <w:sz w:val="24"/>
              </w:rPr>
              <w:t>11</w:t>
            </w:r>
            <w:r>
              <w:rPr>
                <w:rFonts w:hint="eastAsia" w:ascii="方正仿宋简体" w:hAnsi="宋体" w:eastAsia="方正仿宋简体" w:cs="宋体"/>
                <w:b/>
                <w:bCs/>
                <w:sz w:val="24"/>
              </w:rPr>
              <w:t>月底前完成药店方面的</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场景应用工作。</w:t>
            </w:r>
          </w:p>
        </w:tc>
      </w:tr>
      <w:tr>
        <w:tblPrEx>
          <w:tblCellMar>
            <w:top w:w="0" w:type="dxa"/>
            <w:left w:w="108" w:type="dxa"/>
            <w:bottom w:w="0" w:type="dxa"/>
            <w:right w:w="108" w:type="dxa"/>
          </w:tblCellMar>
        </w:tblPrEx>
        <w:trPr>
          <w:trHeight w:val="82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eastAsia="方正仿宋简体"/>
                <w:b/>
                <w:bCs/>
                <w:sz w:val="24"/>
              </w:rPr>
              <w:t>深化“无证明城市”建设，加快电子证照证明制发；强化电子证照社会化应用，11月底前打造行政执法社会化应用场景。</w:t>
            </w:r>
          </w:p>
        </w:tc>
      </w:tr>
      <w:tr>
        <w:tblPrEx>
          <w:tblCellMar>
            <w:top w:w="0" w:type="dxa"/>
            <w:left w:w="108" w:type="dxa"/>
            <w:bottom w:w="0" w:type="dxa"/>
            <w:right w:w="108" w:type="dxa"/>
          </w:tblCellMar>
        </w:tblPrEx>
        <w:trPr>
          <w:trHeight w:val="868"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加大</w:t>
            </w:r>
            <w:r>
              <w:rPr>
                <w:rFonts w:hint="eastAsia" w:ascii="方正仿宋简体" w:eastAsia="方正仿宋简体"/>
                <w:b/>
                <w:bCs/>
                <w:sz w:val="24"/>
              </w:rPr>
              <w:t>“</w:t>
            </w:r>
            <w:r>
              <w:rPr>
                <w:rFonts w:hint="eastAsia" w:ascii="方正仿宋简体" w:hAnsi="宋体" w:eastAsia="方正仿宋简体" w:cs="宋体"/>
                <w:b/>
                <w:bCs/>
                <w:sz w:val="24"/>
              </w:rPr>
              <w:t>惠企通</w:t>
            </w:r>
            <w:r>
              <w:rPr>
                <w:rFonts w:hint="eastAsia" w:ascii="方正仿宋简体" w:eastAsia="方正仿宋简体"/>
                <w:b/>
                <w:bCs/>
                <w:sz w:val="24"/>
              </w:rPr>
              <w:t>”</w:t>
            </w:r>
            <w:r>
              <w:rPr>
                <w:rFonts w:hint="eastAsia" w:ascii="方正仿宋简体" w:hAnsi="宋体" w:eastAsia="方正仿宋简体" w:cs="宋体"/>
                <w:b/>
                <w:bCs/>
                <w:sz w:val="24"/>
              </w:rPr>
              <w:t>服务平台推广应用力度，实现政策收集、发布、解读、推送、申报、兑现等全环节、全流程线上办理。</w:t>
            </w:r>
          </w:p>
        </w:tc>
      </w:tr>
      <w:tr>
        <w:tblPrEx>
          <w:tblCellMar>
            <w:top w:w="0" w:type="dxa"/>
            <w:left w:w="108" w:type="dxa"/>
            <w:bottom w:w="0" w:type="dxa"/>
            <w:right w:w="108" w:type="dxa"/>
          </w:tblCellMar>
        </w:tblPrEx>
        <w:trPr>
          <w:trHeight w:val="1413"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5</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强化监管执法数字化应用，逐步实现行政执法全流程数字化运行、管理和监督。加快</w:t>
            </w:r>
            <w:r>
              <w:rPr>
                <w:rFonts w:hint="eastAsia" w:ascii="方正仿宋简体" w:eastAsia="方正仿宋简体"/>
                <w:b/>
                <w:bCs/>
                <w:sz w:val="24"/>
              </w:rPr>
              <w:t>“</w:t>
            </w:r>
            <w:r>
              <w:rPr>
                <w:rFonts w:hint="eastAsia" w:ascii="方正仿宋简体" w:hAnsi="宋体" w:eastAsia="方正仿宋简体" w:cs="宋体"/>
                <w:b/>
                <w:bCs/>
                <w:sz w:val="24"/>
              </w:rPr>
              <w:t>双随机、一公开</w:t>
            </w:r>
            <w:r>
              <w:rPr>
                <w:rFonts w:hint="eastAsia" w:ascii="方正仿宋简体" w:eastAsia="方正仿宋简体"/>
                <w:b/>
                <w:bCs/>
                <w:sz w:val="24"/>
              </w:rPr>
              <w:t>”</w:t>
            </w:r>
            <w:r>
              <w:rPr>
                <w:rFonts w:hint="eastAsia" w:ascii="方正仿宋简体" w:hAnsi="宋体" w:eastAsia="方正仿宋简体" w:cs="宋体"/>
                <w:b/>
                <w:bCs/>
                <w:sz w:val="24"/>
              </w:rPr>
              <w:t>以及信用监管在市场治理领域的融合应用，推动涉企信息统一归集，建立精准靶向的监管机制，实现风险动态评估和分类监管。</w:t>
            </w:r>
          </w:p>
        </w:tc>
      </w:tr>
      <w:tr>
        <w:tblPrEx>
          <w:tblCellMar>
            <w:top w:w="0" w:type="dxa"/>
            <w:left w:w="108" w:type="dxa"/>
            <w:bottom w:w="0" w:type="dxa"/>
            <w:right w:w="108" w:type="dxa"/>
          </w:tblCellMar>
        </w:tblPrEx>
        <w:trPr>
          <w:trHeight w:val="1357"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35</w:t>
            </w:r>
          </w:p>
        </w:tc>
        <w:tc>
          <w:tcPr>
            <w:tcW w:w="2411"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市体育局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70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重点场景应用，</w:t>
            </w:r>
            <w:r>
              <w:rPr>
                <w:rFonts w:hint="eastAsia" w:ascii="方正仿宋简体" w:eastAsia="方正仿宋简体"/>
                <w:b/>
                <w:bCs/>
                <w:sz w:val="24"/>
              </w:rPr>
              <w:t>11</w:t>
            </w:r>
            <w:r>
              <w:rPr>
                <w:rFonts w:hint="eastAsia" w:ascii="方正仿宋简体" w:hAnsi="宋体" w:eastAsia="方正仿宋简体" w:cs="宋体"/>
                <w:b/>
                <w:bCs/>
                <w:sz w:val="24"/>
              </w:rPr>
              <w:t>月底前完成体育场馆方面的</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场景应用工作。</w:t>
            </w:r>
          </w:p>
        </w:tc>
      </w:tr>
      <w:tr>
        <w:tblPrEx>
          <w:tblCellMar>
            <w:top w:w="0" w:type="dxa"/>
            <w:left w:w="108" w:type="dxa"/>
            <w:bottom w:w="0" w:type="dxa"/>
            <w:right w:w="108" w:type="dxa"/>
          </w:tblCellMar>
        </w:tblPrEx>
        <w:trPr>
          <w:trHeight w:val="938"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深化</w:t>
            </w:r>
            <w:r>
              <w:rPr>
                <w:rFonts w:hint="eastAsia" w:ascii="方正仿宋简体" w:eastAsia="方正仿宋简体"/>
                <w:b/>
                <w:bCs/>
                <w:sz w:val="24"/>
              </w:rPr>
              <w:t>“</w:t>
            </w:r>
            <w:r>
              <w:rPr>
                <w:rFonts w:hint="eastAsia" w:ascii="方正仿宋简体" w:hAnsi="宋体" w:eastAsia="方正仿宋简体" w:cs="宋体"/>
                <w:b/>
                <w:bCs/>
                <w:sz w:val="24"/>
              </w:rPr>
              <w:t>无证明城市</w:t>
            </w:r>
            <w:r>
              <w:rPr>
                <w:rFonts w:hint="eastAsia" w:ascii="方正仿宋简体" w:eastAsia="方正仿宋简体"/>
                <w:b/>
                <w:bCs/>
                <w:sz w:val="24"/>
              </w:rPr>
              <w:t>”</w:t>
            </w:r>
            <w:r>
              <w:rPr>
                <w:rFonts w:hint="eastAsia" w:ascii="方正仿宋简体" w:hAnsi="宋体" w:eastAsia="方正仿宋简体" w:cs="宋体"/>
                <w:b/>
                <w:bCs/>
                <w:sz w:val="24"/>
              </w:rPr>
              <w:t>建设，</w:t>
            </w:r>
            <w:r>
              <w:rPr>
                <w:rFonts w:hint="eastAsia" w:ascii="方正仿宋简体" w:eastAsia="方正仿宋简体"/>
                <w:b/>
                <w:bCs/>
                <w:sz w:val="24"/>
              </w:rPr>
              <w:t>11</w:t>
            </w:r>
            <w:r>
              <w:rPr>
                <w:rFonts w:hint="eastAsia" w:ascii="方正仿宋简体" w:hAnsi="宋体" w:eastAsia="方正仿宋简体" w:cs="宋体"/>
                <w:b/>
                <w:bCs/>
                <w:sz w:val="24"/>
              </w:rPr>
              <w:t>月底前打造文化体育社会化应用场景，通过</w:t>
            </w:r>
            <w:r>
              <w:rPr>
                <w:rFonts w:hint="eastAsia" w:ascii="方正仿宋简体" w:eastAsia="方正仿宋简体"/>
                <w:b/>
                <w:bCs/>
                <w:sz w:val="24"/>
              </w:rPr>
              <w:t>“</w:t>
            </w:r>
            <w:r>
              <w:rPr>
                <w:rFonts w:hint="eastAsia" w:ascii="方正仿宋简体" w:hAnsi="宋体" w:eastAsia="方正仿宋简体" w:cs="宋体"/>
                <w:b/>
                <w:bCs/>
                <w:sz w:val="24"/>
              </w:rPr>
              <w:t>爱山东</w:t>
            </w:r>
            <w:r>
              <w:rPr>
                <w:rFonts w:hint="eastAsia" w:ascii="方正仿宋简体" w:eastAsia="方正仿宋简体"/>
                <w:b/>
                <w:bCs/>
                <w:sz w:val="24"/>
              </w:rPr>
              <w:t>”</w:t>
            </w:r>
            <w:r>
              <w:rPr>
                <w:rFonts w:hint="eastAsia" w:ascii="方正仿宋简体" w:hAnsi="宋体" w:eastAsia="方正仿宋简体" w:cs="宋体"/>
                <w:b/>
                <w:bCs/>
                <w:sz w:val="24"/>
              </w:rPr>
              <w:t>亮证（居民身份证等）或亮码进入篮球馆、体育馆、图书馆、博物馆等。</w:t>
            </w:r>
          </w:p>
        </w:tc>
      </w:tr>
      <w:tr>
        <w:tblPrEx>
          <w:tblCellMar>
            <w:top w:w="0" w:type="dxa"/>
            <w:left w:w="108" w:type="dxa"/>
            <w:bottom w:w="0" w:type="dxa"/>
            <w:right w:w="108" w:type="dxa"/>
          </w:tblCellMar>
        </w:tblPrEx>
        <w:trPr>
          <w:trHeight w:val="757"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加快新型智慧城市建设，</w:t>
            </w:r>
            <w:r>
              <w:rPr>
                <w:rFonts w:hint="eastAsia" w:ascii="方正仿宋简体" w:eastAsia="方正仿宋简体"/>
                <w:b/>
                <w:bCs/>
                <w:sz w:val="24"/>
              </w:rPr>
              <w:t>11</w:t>
            </w:r>
            <w:r>
              <w:rPr>
                <w:rFonts w:hint="eastAsia" w:ascii="方正仿宋简体" w:hAnsi="宋体" w:eastAsia="方正仿宋简体" w:cs="宋体"/>
                <w:b/>
                <w:bCs/>
                <w:sz w:val="24"/>
              </w:rPr>
              <w:t>月底前智慧体育场馆建设情况达到四星级要求。</w:t>
            </w:r>
          </w:p>
        </w:tc>
      </w:tr>
      <w:tr>
        <w:tblPrEx>
          <w:tblCellMar>
            <w:top w:w="0" w:type="dxa"/>
            <w:left w:w="108" w:type="dxa"/>
            <w:bottom w:w="0" w:type="dxa"/>
            <w:right w:w="108" w:type="dxa"/>
          </w:tblCellMar>
        </w:tblPrEx>
        <w:trPr>
          <w:trHeight w:val="1330" w:hRule="atLeast"/>
        </w:trPr>
        <w:tc>
          <w:tcPr>
            <w:tcW w:w="74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36</w:t>
            </w:r>
          </w:p>
        </w:tc>
        <w:tc>
          <w:tcPr>
            <w:tcW w:w="2411" w:type="dxa"/>
            <w:tcBorders>
              <w:top w:val="nil"/>
              <w:left w:val="nil"/>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市统计局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822"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37</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市医保局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120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推进惠民补贴政策免申即享，</w:t>
            </w:r>
            <w:r>
              <w:rPr>
                <w:rFonts w:hint="eastAsia" w:ascii="方正仿宋简体" w:eastAsia="方正仿宋简体"/>
                <w:b/>
                <w:bCs/>
                <w:sz w:val="24"/>
              </w:rPr>
              <w:t>10</w:t>
            </w:r>
            <w:r>
              <w:rPr>
                <w:rFonts w:hint="eastAsia" w:ascii="方正仿宋简体" w:hAnsi="宋体" w:eastAsia="方正仿宋简体" w:cs="宋体"/>
                <w:b/>
                <w:bCs/>
                <w:sz w:val="24"/>
              </w:rPr>
              <w:t>月底前实现对特困人员、返贫致贫人员、低保边缘家庭成员参保补贴，重残人员（</w:t>
            </w:r>
            <w:r>
              <w:rPr>
                <w:rFonts w:hint="eastAsia" w:ascii="方正仿宋简体" w:eastAsia="方正仿宋简体"/>
                <w:b/>
                <w:bCs/>
                <w:sz w:val="24"/>
              </w:rPr>
              <w:t>1</w:t>
            </w:r>
            <w:r>
              <w:rPr>
                <w:rFonts w:hint="eastAsia" w:ascii="方正仿宋简体" w:hAnsi="宋体" w:eastAsia="方正仿宋简体" w:cs="宋体"/>
                <w:b/>
                <w:bCs/>
                <w:sz w:val="24"/>
              </w:rPr>
              <w:t>、</w:t>
            </w:r>
            <w:r>
              <w:rPr>
                <w:rFonts w:hint="eastAsia" w:ascii="方正仿宋简体" w:eastAsia="方正仿宋简体"/>
                <w:b/>
                <w:bCs/>
                <w:sz w:val="24"/>
              </w:rPr>
              <w:t>2</w:t>
            </w:r>
            <w:r>
              <w:rPr>
                <w:rFonts w:hint="eastAsia" w:ascii="方正仿宋简体" w:hAnsi="宋体" w:eastAsia="方正仿宋简体" w:cs="宋体"/>
                <w:b/>
                <w:bCs/>
                <w:sz w:val="24"/>
              </w:rPr>
              <w:t>级）、城乡最低生活保障人员、年满</w:t>
            </w:r>
            <w:r>
              <w:rPr>
                <w:rFonts w:hint="eastAsia" w:ascii="方正仿宋简体" w:eastAsia="方正仿宋简体"/>
                <w:b/>
                <w:bCs/>
                <w:sz w:val="24"/>
              </w:rPr>
              <w:t>70</w:t>
            </w:r>
            <w:r>
              <w:rPr>
                <w:rFonts w:hint="eastAsia" w:ascii="方正仿宋简体" w:hAnsi="宋体" w:eastAsia="方正仿宋简体" w:cs="宋体"/>
                <w:b/>
                <w:bCs/>
                <w:sz w:val="24"/>
              </w:rPr>
              <w:t>周岁的老年人等特殊群体居民保险免除缴纳政策享受人员的精准分析，推动政策免申即享。</w:t>
            </w:r>
          </w:p>
        </w:tc>
      </w:tr>
      <w:tr>
        <w:tblPrEx>
          <w:tblCellMar>
            <w:top w:w="0" w:type="dxa"/>
            <w:left w:w="108" w:type="dxa"/>
            <w:bottom w:w="0" w:type="dxa"/>
            <w:right w:w="108" w:type="dxa"/>
          </w:tblCellMar>
        </w:tblPrEx>
        <w:trPr>
          <w:trHeight w:val="70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重点场景应用，</w:t>
            </w:r>
            <w:r>
              <w:rPr>
                <w:rFonts w:hint="eastAsia" w:ascii="方正仿宋简体" w:eastAsia="方正仿宋简体"/>
                <w:b/>
                <w:bCs/>
                <w:sz w:val="24"/>
              </w:rPr>
              <w:t>11</w:t>
            </w:r>
            <w:r>
              <w:rPr>
                <w:rFonts w:hint="eastAsia" w:ascii="方正仿宋简体" w:hAnsi="宋体" w:eastAsia="方正仿宋简体" w:cs="宋体"/>
                <w:b/>
                <w:bCs/>
                <w:sz w:val="24"/>
              </w:rPr>
              <w:t>月底前完成医保政务大厅、药店、医院方面的</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场景应用工作。</w:t>
            </w:r>
          </w:p>
        </w:tc>
      </w:tr>
      <w:tr>
        <w:tblPrEx>
          <w:tblCellMar>
            <w:top w:w="0" w:type="dxa"/>
            <w:left w:w="108" w:type="dxa"/>
            <w:bottom w:w="0" w:type="dxa"/>
            <w:right w:w="108" w:type="dxa"/>
          </w:tblCellMar>
        </w:tblPrEx>
        <w:trPr>
          <w:trHeight w:val="911"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推进医疗收费电子结算凭证创新应用，年底前二级及以上定点医疗机构实现医保电子凭证全流程应用，省内异地就医手工报销线上申请办理。</w:t>
            </w:r>
          </w:p>
        </w:tc>
      </w:tr>
      <w:tr>
        <w:tblPrEx>
          <w:tblCellMar>
            <w:top w:w="0" w:type="dxa"/>
            <w:left w:w="108" w:type="dxa"/>
            <w:bottom w:w="0" w:type="dxa"/>
            <w:right w:w="108" w:type="dxa"/>
          </w:tblCellMar>
        </w:tblPrEx>
        <w:trPr>
          <w:trHeight w:val="521"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5</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加快新型智慧城市建设，</w:t>
            </w:r>
            <w:r>
              <w:rPr>
                <w:rFonts w:hint="eastAsia" w:ascii="方正仿宋简体" w:eastAsia="方正仿宋简体"/>
                <w:b/>
                <w:bCs/>
                <w:sz w:val="24"/>
              </w:rPr>
              <w:t>11</w:t>
            </w:r>
            <w:r>
              <w:rPr>
                <w:rFonts w:hint="eastAsia" w:ascii="方正仿宋简体" w:hAnsi="宋体" w:eastAsia="方正仿宋简体" w:cs="宋体"/>
                <w:b/>
                <w:bCs/>
                <w:sz w:val="24"/>
              </w:rPr>
              <w:t>月底前医疗保障服务水平达到四星级要求。</w:t>
            </w:r>
          </w:p>
        </w:tc>
      </w:tr>
      <w:tr>
        <w:tblPrEx>
          <w:tblCellMar>
            <w:top w:w="0" w:type="dxa"/>
            <w:left w:w="108" w:type="dxa"/>
            <w:bottom w:w="0" w:type="dxa"/>
            <w:right w:w="108" w:type="dxa"/>
          </w:tblCellMar>
        </w:tblPrEx>
        <w:trPr>
          <w:trHeight w:val="1124"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38</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市地方金融监管局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1158"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动数据在金融服务领域应用，建立中小微企业标签库、资源库，实现金融资源智能匹配。鼓励各类金融机构入驻金融服务平台，创新金融服务产品，建立全市融资服务一张网，开展线上融资服务，助推银企高效对接。</w:t>
            </w:r>
          </w:p>
        </w:tc>
      </w:tr>
      <w:tr>
        <w:tblPrEx>
          <w:tblCellMar>
            <w:top w:w="0" w:type="dxa"/>
            <w:left w:w="108" w:type="dxa"/>
            <w:bottom w:w="0" w:type="dxa"/>
            <w:right w:w="108" w:type="dxa"/>
          </w:tblCellMar>
        </w:tblPrEx>
        <w:trPr>
          <w:trHeight w:val="85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加大</w:t>
            </w:r>
            <w:r>
              <w:rPr>
                <w:rFonts w:hint="eastAsia" w:ascii="方正仿宋简体" w:eastAsia="方正仿宋简体"/>
                <w:b/>
                <w:bCs/>
                <w:sz w:val="24"/>
              </w:rPr>
              <w:t>“</w:t>
            </w:r>
            <w:r>
              <w:rPr>
                <w:rFonts w:hint="eastAsia" w:ascii="方正仿宋简体" w:hAnsi="宋体" w:eastAsia="方正仿宋简体" w:cs="宋体"/>
                <w:b/>
                <w:bCs/>
                <w:sz w:val="24"/>
              </w:rPr>
              <w:t>惠企通</w:t>
            </w:r>
            <w:r>
              <w:rPr>
                <w:rFonts w:hint="eastAsia" w:ascii="方正仿宋简体" w:eastAsia="方正仿宋简体"/>
                <w:b/>
                <w:bCs/>
                <w:sz w:val="24"/>
              </w:rPr>
              <w:t>”</w:t>
            </w:r>
            <w:r>
              <w:rPr>
                <w:rFonts w:hint="eastAsia" w:ascii="方正仿宋简体" w:hAnsi="宋体" w:eastAsia="方正仿宋简体" w:cs="宋体"/>
                <w:b/>
                <w:bCs/>
                <w:sz w:val="24"/>
              </w:rPr>
              <w:t>服务平台推广应用力度，实现政策收集、发布、解读、推送、申报、兑现等全环节、全流程线上办理。</w:t>
            </w:r>
          </w:p>
        </w:tc>
      </w:tr>
      <w:tr>
        <w:tblPrEx>
          <w:tblCellMar>
            <w:top w:w="0" w:type="dxa"/>
            <w:left w:w="108" w:type="dxa"/>
            <w:bottom w:w="0" w:type="dxa"/>
            <w:right w:w="108" w:type="dxa"/>
          </w:tblCellMar>
        </w:tblPrEx>
        <w:trPr>
          <w:trHeight w:val="1426"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39</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国家金融监督管理总局济宁监督管理分局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动数据在金融服务领域应用，建立中小微企业标签库、资源库，实现金融资源智能匹配。鼓励各类金融机构入驻金融服务平台，创新金融服务产品，建立全市融资服务一张网，开展线上融资服务，助推银企高效对接。</w:t>
            </w:r>
          </w:p>
        </w:tc>
      </w:tr>
      <w:tr>
        <w:tblPrEx>
          <w:tblCellMar>
            <w:top w:w="0" w:type="dxa"/>
            <w:left w:w="108" w:type="dxa"/>
            <w:bottom w:w="0" w:type="dxa"/>
            <w:right w:w="108" w:type="dxa"/>
          </w:tblCellMar>
        </w:tblPrEx>
        <w:trPr>
          <w:trHeight w:val="1697"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bCs/>
                <w:sz w:val="24"/>
              </w:rPr>
            </w:pPr>
            <w:r>
              <w:rPr>
                <w:rFonts w:hint="eastAsia" w:ascii="方正仿宋简体" w:eastAsia="方正仿宋简体"/>
                <w:b/>
                <w:bCs/>
                <w:sz w:val="24"/>
              </w:rPr>
              <w:t>深化“无证明城市”建设，强化电子证照社会化应用，11月底打造金融领域社会化应用场景，指导具备条件的银行机构为持电子营业执照的客户，在银行开户时支持其亮证或亮码办理；通过“爱山东”亮证（居民身份证、营业执照等）或亮码办理银行开户、信贷等业务。打造保险领域社会化应用场景，指导具备条件的保险机构通过“爱山东”亮证（居民身份证、营业执照等）或亮码办理车辆投保、车险保单批改等办理类业务和车险保单、批单信息等查询类业务。</w:t>
            </w:r>
          </w:p>
        </w:tc>
      </w:tr>
      <w:tr>
        <w:tblPrEx>
          <w:tblCellMar>
            <w:top w:w="0" w:type="dxa"/>
            <w:left w:w="108" w:type="dxa"/>
            <w:bottom w:w="0" w:type="dxa"/>
            <w:right w:w="108" w:type="dxa"/>
          </w:tblCellMar>
        </w:tblPrEx>
        <w:trPr>
          <w:trHeight w:val="1288"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40</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市能源局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95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加大</w:t>
            </w:r>
            <w:r>
              <w:rPr>
                <w:rFonts w:hint="eastAsia" w:ascii="方正仿宋简体" w:eastAsia="方正仿宋简体"/>
                <w:b/>
                <w:bCs/>
                <w:sz w:val="24"/>
              </w:rPr>
              <w:t>“</w:t>
            </w:r>
            <w:r>
              <w:rPr>
                <w:rFonts w:hint="eastAsia" w:ascii="方正仿宋简体" w:hAnsi="宋体" w:eastAsia="方正仿宋简体" w:cs="宋体"/>
                <w:b/>
                <w:bCs/>
                <w:sz w:val="24"/>
              </w:rPr>
              <w:t>惠企通</w:t>
            </w:r>
            <w:r>
              <w:rPr>
                <w:rFonts w:hint="eastAsia" w:ascii="方正仿宋简体" w:eastAsia="方正仿宋简体"/>
                <w:b/>
                <w:bCs/>
                <w:sz w:val="24"/>
              </w:rPr>
              <w:t>”</w:t>
            </w:r>
            <w:r>
              <w:rPr>
                <w:rFonts w:hint="eastAsia" w:ascii="方正仿宋简体" w:hAnsi="宋体" w:eastAsia="方正仿宋简体" w:cs="宋体"/>
                <w:b/>
                <w:bCs/>
                <w:sz w:val="24"/>
              </w:rPr>
              <w:t>服务平台推广应用力度，实现政策收集、发布、解读、推送、申报、兑现等全环节、全流程线上办理。</w:t>
            </w:r>
          </w:p>
        </w:tc>
      </w:tr>
      <w:tr>
        <w:tblPrEx>
          <w:tblCellMar>
            <w:top w:w="0" w:type="dxa"/>
            <w:left w:w="108" w:type="dxa"/>
            <w:bottom w:w="0" w:type="dxa"/>
            <w:right w:w="108" w:type="dxa"/>
          </w:tblCellMar>
        </w:tblPrEx>
        <w:trPr>
          <w:trHeight w:val="102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hint="default" w:ascii="方正仿宋简体" w:hAnsi="宋体" w:eastAsia="方正仿宋简体" w:cs="宋体"/>
                <w:b/>
                <w:bCs/>
                <w:sz w:val="24"/>
              </w:rPr>
            </w:pPr>
            <w:r>
              <w:rPr>
                <w:rFonts w:hint="eastAsia" w:ascii="方正仿宋简体" w:hAnsi="宋体" w:eastAsia="方正仿宋简体" w:cs="宋体"/>
                <w:b/>
                <w:bCs/>
                <w:sz w:val="24"/>
              </w:rPr>
              <w:t>加快矿山系统智能化改造，推动煤矿工业互联网应用平台建设，提升煤矿安全生产数字化治理能力，建成东滩等</w:t>
            </w:r>
            <w:r>
              <w:rPr>
                <w:rFonts w:hint="eastAsia" w:ascii="方正仿宋简体" w:eastAsia="方正仿宋简体"/>
                <w:b/>
                <w:bCs/>
                <w:sz w:val="24"/>
              </w:rPr>
              <w:t>4</w:t>
            </w:r>
            <w:r>
              <w:rPr>
                <w:rFonts w:hint="eastAsia" w:ascii="方正仿宋简体" w:hAnsi="宋体" w:eastAsia="方正仿宋简体" w:cs="宋体"/>
                <w:b/>
                <w:bCs/>
                <w:sz w:val="24"/>
              </w:rPr>
              <w:t>处国家智能化示范煤矿，智能化开采产量达到</w:t>
            </w:r>
            <w:r>
              <w:rPr>
                <w:rFonts w:hint="eastAsia" w:ascii="方正仿宋简体" w:eastAsia="方正仿宋简体"/>
                <w:b/>
                <w:bCs/>
                <w:sz w:val="24"/>
              </w:rPr>
              <w:t>80%</w:t>
            </w:r>
            <w:r>
              <w:rPr>
                <w:rFonts w:hint="eastAsia" w:ascii="方正仿宋简体" w:hAnsi="宋体" w:eastAsia="方正仿宋简体" w:cs="宋体"/>
                <w:b/>
                <w:bCs/>
                <w:sz w:val="24"/>
              </w:rPr>
              <w:t>以上</w:t>
            </w:r>
            <w:r>
              <w:rPr>
                <w:rFonts w:hint="default" w:ascii="方正仿宋简体" w:hAnsi="宋体" w:eastAsia="方正仿宋简体" w:cs="宋体"/>
                <w:b/>
                <w:bCs/>
                <w:sz w:val="24"/>
              </w:rPr>
              <w:t>。</w:t>
            </w:r>
          </w:p>
        </w:tc>
      </w:tr>
      <w:tr>
        <w:tblPrEx>
          <w:tblCellMar>
            <w:top w:w="0" w:type="dxa"/>
            <w:left w:w="108" w:type="dxa"/>
            <w:bottom w:w="0" w:type="dxa"/>
            <w:right w:w="108" w:type="dxa"/>
          </w:tblCellMar>
        </w:tblPrEx>
        <w:trPr>
          <w:trHeight w:val="84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推动</w:t>
            </w:r>
            <w:r>
              <w:rPr>
                <w:rFonts w:hint="eastAsia" w:ascii="方正仿宋简体" w:eastAsia="方正仿宋简体"/>
                <w:b/>
                <w:bCs/>
                <w:sz w:val="24"/>
              </w:rPr>
              <w:t>35</w:t>
            </w:r>
            <w:r>
              <w:rPr>
                <w:rFonts w:hint="eastAsia" w:ascii="方正仿宋简体" w:hAnsi="宋体" w:eastAsia="方正仿宋简体" w:cs="宋体"/>
                <w:b/>
                <w:bCs/>
                <w:sz w:val="24"/>
              </w:rPr>
              <w:t>千伏及以上公用变电站实现光纤</w:t>
            </w:r>
            <w:r>
              <w:rPr>
                <w:rFonts w:hint="eastAsia" w:ascii="方正仿宋简体" w:eastAsia="方正仿宋简体"/>
                <w:b/>
                <w:bCs/>
                <w:sz w:val="24"/>
              </w:rPr>
              <w:t>100%</w:t>
            </w:r>
            <w:r>
              <w:rPr>
                <w:rFonts w:hint="eastAsia" w:ascii="方正仿宋简体" w:hAnsi="宋体" w:eastAsia="方正仿宋简体" w:cs="宋体"/>
                <w:b/>
                <w:bCs/>
                <w:sz w:val="24"/>
              </w:rPr>
              <w:t>覆盖，配电线路自动化配置率达</w:t>
            </w:r>
            <w:r>
              <w:rPr>
                <w:rFonts w:hint="eastAsia" w:ascii="方正仿宋简体" w:eastAsia="方正仿宋简体"/>
                <w:b/>
                <w:bCs/>
                <w:sz w:val="24"/>
              </w:rPr>
              <w:t>95%</w:t>
            </w:r>
            <w:r>
              <w:rPr>
                <w:rFonts w:hint="eastAsia" w:ascii="方正仿宋简体" w:hAnsi="宋体" w:eastAsia="方正仿宋简体" w:cs="宋体"/>
                <w:b/>
                <w:bCs/>
                <w:sz w:val="24"/>
              </w:rPr>
              <w:t>。</w:t>
            </w:r>
          </w:p>
        </w:tc>
      </w:tr>
      <w:tr>
        <w:tblPrEx>
          <w:tblCellMar>
            <w:top w:w="0" w:type="dxa"/>
            <w:left w:w="108" w:type="dxa"/>
            <w:bottom w:w="0" w:type="dxa"/>
            <w:right w:w="108" w:type="dxa"/>
          </w:tblCellMar>
        </w:tblPrEx>
        <w:trPr>
          <w:trHeight w:val="840" w:hRule="atLeast"/>
        </w:trPr>
        <w:tc>
          <w:tcPr>
            <w:tcW w:w="740"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5</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加快新型智慧城市建设，</w:t>
            </w:r>
            <w:r>
              <w:rPr>
                <w:rFonts w:hint="eastAsia" w:ascii="方正仿宋简体" w:eastAsia="方正仿宋简体"/>
                <w:b/>
                <w:bCs/>
                <w:sz w:val="24"/>
              </w:rPr>
              <w:t>11</w:t>
            </w:r>
            <w:r>
              <w:rPr>
                <w:rFonts w:hint="eastAsia" w:ascii="方正仿宋简体" w:hAnsi="宋体" w:eastAsia="方正仿宋简体" w:cs="宋体"/>
                <w:b/>
                <w:bCs/>
                <w:sz w:val="24"/>
              </w:rPr>
              <w:t>月底前电动汽车充电基础设施建设情况达到四星级要求。</w:t>
            </w:r>
          </w:p>
        </w:tc>
      </w:tr>
      <w:tr>
        <w:tblPrEx>
          <w:tblCellMar>
            <w:top w:w="0" w:type="dxa"/>
            <w:left w:w="108" w:type="dxa"/>
            <w:bottom w:w="0" w:type="dxa"/>
            <w:right w:w="108" w:type="dxa"/>
          </w:tblCellMar>
        </w:tblPrEx>
        <w:trPr>
          <w:trHeight w:val="859" w:hRule="atLeast"/>
        </w:trPr>
        <w:tc>
          <w:tcPr>
            <w:tcW w:w="740"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41</w:t>
            </w:r>
          </w:p>
        </w:tc>
        <w:tc>
          <w:tcPr>
            <w:tcW w:w="2411"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市机关事务中心</w:t>
            </w:r>
          </w:p>
        </w:tc>
        <w:tc>
          <w:tcPr>
            <w:tcW w:w="680"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single" w:color="auto" w:sz="4" w:space="0"/>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重点场景应用，</w:t>
            </w:r>
            <w:r>
              <w:rPr>
                <w:rFonts w:hint="eastAsia" w:ascii="方正仿宋简体" w:eastAsia="方正仿宋简体"/>
                <w:b/>
                <w:bCs/>
                <w:sz w:val="24"/>
              </w:rPr>
              <w:t>11</w:t>
            </w:r>
            <w:r>
              <w:rPr>
                <w:rFonts w:hint="eastAsia" w:ascii="方正仿宋简体" w:hAnsi="宋体" w:eastAsia="方正仿宋简体" w:cs="宋体"/>
                <w:b/>
                <w:bCs/>
                <w:sz w:val="24"/>
              </w:rPr>
              <w:t>月底前完成政府办公区</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场景应用工作。</w:t>
            </w:r>
          </w:p>
        </w:tc>
      </w:tr>
      <w:tr>
        <w:tblPrEx>
          <w:tblCellMar>
            <w:top w:w="0" w:type="dxa"/>
            <w:left w:w="108" w:type="dxa"/>
            <w:bottom w:w="0" w:type="dxa"/>
            <w:right w:w="108" w:type="dxa"/>
          </w:tblCellMar>
        </w:tblPrEx>
        <w:trPr>
          <w:trHeight w:val="1261" w:hRule="atLeast"/>
        </w:trPr>
        <w:tc>
          <w:tcPr>
            <w:tcW w:w="740" w:type="dxa"/>
            <w:vMerge w:val="restart"/>
            <w:tcBorders>
              <w:top w:val="single" w:color="auto" w:sz="4" w:space="0"/>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42</w:t>
            </w:r>
          </w:p>
        </w:tc>
        <w:tc>
          <w:tcPr>
            <w:tcW w:w="241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市畜牧兽医事业发展中心</w:t>
            </w:r>
          </w:p>
        </w:tc>
        <w:tc>
          <w:tcPr>
            <w:tcW w:w="680"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single" w:color="auto" w:sz="4" w:space="0"/>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437" w:hRule="atLeast"/>
        </w:trPr>
        <w:tc>
          <w:tcPr>
            <w:tcW w:w="740"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推进数字赋能农业升级，认证一批智慧畜牧业应用基地，打造一批数字农业典型应用场景。</w:t>
            </w:r>
          </w:p>
        </w:tc>
      </w:tr>
      <w:tr>
        <w:tblPrEx>
          <w:tblCellMar>
            <w:top w:w="0" w:type="dxa"/>
            <w:left w:w="108" w:type="dxa"/>
            <w:bottom w:w="0" w:type="dxa"/>
            <w:right w:w="108" w:type="dxa"/>
          </w:tblCellMar>
        </w:tblPrEx>
        <w:trPr>
          <w:trHeight w:val="1218"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43</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市公共资源交易</w:t>
            </w:r>
            <w:r>
              <w:rPr>
                <w:rFonts w:hint="default" w:ascii="方正仿宋简体" w:hAnsi="宋体" w:eastAsia="方正仿宋简体" w:cs="宋体"/>
                <w:b/>
                <w:bCs/>
                <w:sz w:val="24"/>
              </w:rPr>
              <w:t>服务</w:t>
            </w:r>
            <w:r>
              <w:rPr>
                <w:rFonts w:hint="eastAsia" w:ascii="方正仿宋简体" w:hAnsi="宋体" w:eastAsia="方正仿宋简体" w:cs="宋体"/>
                <w:b/>
                <w:bCs/>
                <w:sz w:val="24"/>
              </w:rPr>
              <w:t>中心</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1159"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eastAsia="方正仿宋简体"/>
                <w:b/>
                <w:bCs/>
                <w:sz w:val="24"/>
              </w:rPr>
              <w:t>深化“无证明城市”建设，强化电子证照社会化应用，11月底前打造公共资源社会化应用场景，在公共资源交易招标、投标过程中通过数据共享方式使用电子身份证、营业执照、专业技术资格证等电子证照数据。</w:t>
            </w:r>
          </w:p>
        </w:tc>
      </w:tr>
      <w:tr>
        <w:tblPrEx>
          <w:tblCellMar>
            <w:top w:w="0" w:type="dxa"/>
            <w:left w:w="108" w:type="dxa"/>
            <w:bottom w:w="0" w:type="dxa"/>
            <w:right w:w="108" w:type="dxa"/>
          </w:tblCellMar>
        </w:tblPrEx>
        <w:trPr>
          <w:trHeight w:val="66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44</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市住房公积金管理中心</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重点场景应用，</w:t>
            </w:r>
            <w:r>
              <w:rPr>
                <w:rFonts w:hint="eastAsia" w:ascii="方正仿宋简体" w:eastAsia="方正仿宋简体"/>
                <w:b/>
                <w:bCs/>
                <w:sz w:val="24"/>
              </w:rPr>
              <w:t>11</w:t>
            </w:r>
            <w:r>
              <w:rPr>
                <w:rFonts w:hint="eastAsia" w:ascii="方正仿宋简体" w:hAnsi="宋体" w:eastAsia="方正仿宋简体" w:cs="宋体"/>
                <w:b/>
                <w:bCs/>
                <w:sz w:val="24"/>
              </w:rPr>
              <w:t>月底前完成公积金政务大厅的</w:t>
            </w:r>
            <w:r>
              <w:rPr>
                <w:rFonts w:hint="eastAsia" w:ascii="方正仿宋简体" w:eastAsia="方正仿宋简体"/>
                <w:b/>
                <w:bCs/>
                <w:sz w:val="24"/>
              </w:rPr>
              <w:t>“</w:t>
            </w:r>
            <w:r>
              <w:rPr>
                <w:rFonts w:hint="eastAsia" w:ascii="方正仿宋简体" w:hAnsi="宋体" w:eastAsia="方正仿宋简体" w:cs="宋体"/>
                <w:b/>
                <w:bCs/>
                <w:sz w:val="24"/>
              </w:rPr>
              <w:t>鲁通码</w:t>
            </w:r>
            <w:r>
              <w:rPr>
                <w:rFonts w:hint="eastAsia" w:ascii="方正仿宋简体" w:eastAsia="方正仿宋简体"/>
                <w:b/>
                <w:bCs/>
                <w:sz w:val="24"/>
              </w:rPr>
              <w:t>”</w:t>
            </w:r>
            <w:r>
              <w:rPr>
                <w:rFonts w:hint="eastAsia" w:ascii="方正仿宋简体" w:hAnsi="宋体" w:eastAsia="方正仿宋简体" w:cs="宋体"/>
                <w:b/>
                <w:bCs/>
                <w:sz w:val="24"/>
              </w:rPr>
              <w:t>场景应用工作。</w:t>
            </w:r>
          </w:p>
        </w:tc>
      </w:tr>
      <w:tr>
        <w:tblPrEx>
          <w:tblCellMar>
            <w:top w:w="0" w:type="dxa"/>
            <w:left w:w="108" w:type="dxa"/>
            <w:bottom w:w="0" w:type="dxa"/>
            <w:right w:w="108" w:type="dxa"/>
          </w:tblCellMar>
        </w:tblPrEx>
        <w:trPr>
          <w:trHeight w:val="1148"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深入推进</w:t>
            </w:r>
            <w:r>
              <w:rPr>
                <w:rFonts w:hint="eastAsia" w:ascii="方正仿宋简体" w:eastAsia="方正仿宋简体"/>
                <w:b/>
                <w:bCs/>
                <w:sz w:val="24"/>
              </w:rPr>
              <w:t>“</w:t>
            </w:r>
            <w:r>
              <w:rPr>
                <w:rFonts w:hint="eastAsia" w:ascii="方正仿宋简体" w:hAnsi="宋体" w:eastAsia="方正仿宋简体" w:cs="宋体"/>
                <w:b/>
                <w:bCs/>
                <w:sz w:val="24"/>
              </w:rPr>
              <w:t>互联网</w:t>
            </w:r>
            <w:r>
              <w:rPr>
                <w:rFonts w:hint="eastAsia" w:ascii="方正仿宋简体" w:eastAsia="方正仿宋简体"/>
                <w:b/>
                <w:bCs/>
                <w:sz w:val="24"/>
              </w:rPr>
              <w:t>+</w:t>
            </w:r>
            <w:r>
              <w:rPr>
                <w:rFonts w:hint="eastAsia" w:ascii="方正仿宋简体" w:hAnsi="宋体" w:eastAsia="方正仿宋简体" w:cs="宋体"/>
                <w:b/>
                <w:bCs/>
                <w:sz w:val="24"/>
              </w:rPr>
              <w:t>政务服务</w:t>
            </w:r>
            <w:r>
              <w:rPr>
                <w:rFonts w:hint="eastAsia" w:ascii="方正仿宋简体" w:eastAsia="方正仿宋简体"/>
                <w:b/>
                <w:bCs/>
                <w:sz w:val="24"/>
              </w:rPr>
              <w:t>”</w:t>
            </w:r>
            <w:r>
              <w:rPr>
                <w:rFonts w:hint="eastAsia" w:ascii="方正仿宋简体" w:hAnsi="宋体" w:eastAsia="方正仿宋简体" w:cs="宋体"/>
                <w:b/>
                <w:bCs/>
                <w:sz w:val="24"/>
              </w:rPr>
              <w:t>，加强标准化、规范化、便利化、数字化建设，所承担的依申请政务服务事项全部实现网上办，推进办件数据、评价数据实时归集，强化线上线下服务融合，提升</w:t>
            </w:r>
            <w:r>
              <w:rPr>
                <w:rFonts w:hint="eastAsia" w:ascii="方正仿宋简体" w:eastAsia="方正仿宋简体"/>
                <w:b/>
                <w:bCs/>
                <w:sz w:val="24"/>
              </w:rPr>
              <w:t>“</w:t>
            </w:r>
            <w:r>
              <w:rPr>
                <w:rFonts w:hint="eastAsia" w:ascii="方正仿宋简体" w:hAnsi="宋体" w:eastAsia="方正仿宋简体" w:cs="宋体"/>
                <w:b/>
                <w:bCs/>
                <w:sz w:val="24"/>
              </w:rPr>
              <w:t>一次办好</w:t>
            </w:r>
            <w:r>
              <w:rPr>
                <w:rFonts w:hint="eastAsia" w:ascii="方正仿宋简体" w:eastAsia="方正仿宋简体"/>
                <w:b/>
                <w:bCs/>
                <w:sz w:val="24"/>
              </w:rPr>
              <w:t>”</w:t>
            </w:r>
            <w:r>
              <w:rPr>
                <w:rFonts w:hint="eastAsia" w:ascii="方正仿宋简体" w:hAnsi="宋体" w:eastAsia="方正仿宋简体" w:cs="宋体"/>
                <w:b/>
                <w:bCs/>
                <w:sz w:val="24"/>
              </w:rPr>
              <w:t>改革成效。</w:t>
            </w:r>
          </w:p>
        </w:tc>
      </w:tr>
      <w:tr>
        <w:tblPrEx>
          <w:tblCellMar>
            <w:top w:w="0" w:type="dxa"/>
            <w:left w:w="108" w:type="dxa"/>
            <w:bottom w:w="0" w:type="dxa"/>
            <w:right w:w="108" w:type="dxa"/>
          </w:tblCellMar>
        </w:tblPrEx>
        <w:trPr>
          <w:trHeight w:val="180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3</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eastAsia="方正仿宋简体"/>
                <w:b/>
                <w:bCs/>
                <w:sz w:val="24"/>
              </w:rPr>
              <w:t>深化“无证明城市”建设，强化电子证照社会化应用，11月底前打造公积金业务社会化应用场景，在企业群众办理公积金缴存、提取和贷款业务的过程中通过数据共享使用不动产登记查询证明、电子结婚证、电子离婚证、电子户口簿等证照证明，实现证照材料应减尽减；强化电子证照在政务服务领域应用，11月底前完成偿还购房贷款本息提取住房公积金、大修自住住房提取住房公积金、购买自住住房提取住房公积金等9个电子证照应用。</w:t>
            </w:r>
          </w:p>
        </w:tc>
      </w:tr>
      <w:tr>
        <w:tblPrEx>
          <w:tblCellMar>
            <w:top w:w="0" w:type="dxa"/>
            <w:left w:w="108" w:type="dxa"/>
            <w:bottom w:w="0" w:type="dxa"/>
            <w:right w:w="108" w:type="dxa"/>
          </w:tblCellMar>
        </w:tblPrEx>
        <w:trPr>
          <w:trHeight w:val="1148" w:hRule="atLeast"/>
        </w:trPr>
        <w:tc>
          <w:tcPr>
            <w:tcW w:w="74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45</w:t>
            </w:r>
          </w:p>
        </w:tc>
        <w:tc>
          <w:tcPr>
            <w:tcW w:w="2411" w:type="dxa"/>
            <w:tcBorders>
              <w:top w:val="nil"/>
              <w:left w:val="nil"/>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市港航事业发展中心</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优化提升智慧港航，加快电子航道图服务功能建设，落实京杭运河济宁段智慧航道应用试点任务。充分发挥</w:t>
            </w:r>
            <w:r>
              <w:rPr>
                <w:rFonts w:hint="eastAsia" w:ascii="方正仿宋简体" w:eastAsia="方正仿宋简体"/>
                <w:b/>
                <w:bCs/>
                <w:sz w:val="24"/>
              </w:rPr>
              <w:t>“</w:t>
            </w:r>
            <w:r>
              <w:rPr>
                <w:rFonts w:hint="eastAsia" w:ascii="方正仿宋简体" w:hAnsi="宋体" w:eastAsia="方正仿宋简体" w:cs="宋体"/>
                <w:b/>
                <w:bCs/>
                <w:sz w:val="24"/>
              </w:rPr>
              <w:t>济港通</w:t>
            </w:r>
            <w:r>
              <w:rPr>
                <w:rFonts w:hint="eastAsia" w:ascii="方正仿宋简体" w:eastAsia="方正仿宋简体"/>
                <w:b/>
                <w:bCs/>
                <w:sz w:val="24"/>
              </w:rPr>
              <w:t>”</w:t>
            </w:r>
            <w:r>
              <w:rPr>
                <w:rFonts w:hint="eastAsia" w:ascii="方正仿宋简体" w:hAnsi="宋体" w:eastAsia="方正仿宋简体" w:cs="宋体"/>
                <w:b/>
                <w:bCs/>
                <w:sz w:val="24"/>
              </w:rPr>
              <w:t>平台集聚作用，整合产业链上下游资源，搭建港航贸易平台，助推港航经济绿色低碳高质量发展。</w:t>
            </w:r>
          </w:p>
        </w:tc>
      </w:tr>
      <w:tr>
        <w:tblPrEx>
          <w:tblCellMar>
            <w:top w:w="0" w:type="dxa"/>
            <w:left w:w="108" w:type="dxa"/>
            <w:bottom w:w="0" w:type="dxa"/>
            <w:right w:w="108" w:type="dxa"/>
          </w:tblCellMar>
        </w:tblPrEx>
        <w:trPr>
          <w:trHeight w:val="840" w:hRule="atLeast"/>
        </w:trPr>
        <w:tc>
          <w:tcPr>
            <w:tcW w:w="74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46</w:t>
            </w:r>
          </w:p>
        </w:tc>
        <w:tc>
          <w:tcPr>
            <w:tcW w:w="2411" w:type="dxa"/>
            <w:tcBorders>
              <w:top w:val="nil"/>
              <w:left w:val="nil"/>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市民航事业发展中心</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加快</w:t>
            </w:r>
            <w:r>
              <w:rPr>
                <w:rFonts w:hint="eastAsia" w:ascii="方正仿宋简体" w:eastAsia="方正仿宋简体"/>
                <w:b/>
                <w:bCs/>
                <w:sz w:val="24"/>
              </w:rPr>
              <w:t>“</w:t>
            </w:r>
            <w:r>
              <w:rPr>
                <w:rFonts w:hint="eastAsia" w:ascii="方正仿宋简体" w:hAnsi="宋体" w:eastAsia="方正仿宋简体" w:cs="宋体"/>
                <w:b/>
                <w:bCs/>
                <w:sz w:val="24"/>
              </w:rPr>
              <w:t>智慧机场</w:t>
            </w:r>
            <w:r>
              <w:rPr>
                <w:rFonts w:hint="eastAsia" w:ascii="方正仿宋简体" w:eastAsia="方正仿宋简体"/>
                <w:b/>
                <w:bCs/>
                <w:sz w:val="24"/>
              </w:rPr>
              <w:t>”</w:t>
            </w:r>
            <w:r>
              <w:rPr>
                <w:rFonts w:hint="eastAsia" w:ascii="方正仿宋简体" w:hAnsi="宋体" w:eastAsia="方正仿宋简体" w:cs="宋体"/>
                <w:b/>
                <w:bCs/>
                <w:sz w:val="24"/>
              </w:rPr>
              <w:t>建设，围绕</w:t>
            </w:r>
            <w:r>
              <w:rPr>
                <w:rFonts w:hint="eastAsia" w:ascii="方正仿宋简体" w:eastAsia="方正仿宋简体"/>
                <w:b/>
                <w:bCs/>
                <w:sz w:val="24"/>
              </w:rPr>
              <w:t>“1+3+4+N”</w:t>
            </w:r>
            <w:r>
              <w:rPr>
                <w:rFonts w:hint="eastAsia" w:ascii="方正仿宋简体" w:hAnsi="宋体" w:eastAsia="方正仿宋简体" w:cs="宋体"/>
                <w:b/>
                <w:bCs/>
                <w:sz w:val="24"/>
              </w:rPr>
              <w:t>的总体框架，推动新机场</w:t>
            </w:r>
            <w:r>
              <w:rPr>
                <w:rFonts w:hint="eastAsia" w:ascii="方正仿宋简体" w:eastAsia="方正仿宋简体"/>
                <w:b/>
                <w:bCs/>
                <w:sz w:val="24"/>
              </w:rPr>
              <w:t>“</w:t>
            </w:r>
            <w:r>
              <w:rPr>
                <w:rFonts w:hint="eastAsia" w:ascii="方正仿宋简体" w:hAnsi="宋体" w:eastAsia="方正仿宋简体" w:cs="宋体"/>
                <w:b/>
                <w:bCs/>
                <w:sz w:val="24"/>
              </w:rPr>
              <w:t>智能化、平台化、服务化、数据化</w:t>
            </w:r>
            <w:r>
              <w:rPr>
                <w:rFonts w:hint="eastAsia" w:ascii="方正仿宋简体" w:eastAsia="方正仿宋简体"/>
                <w:b/>
                <w:bCs/>
                <w:sz w:val="24"/>
              </w:rPr>
              <w:t>”</w:t>
            </w:r>
            <w:r>
              <w:rPr>
                <w:rFonts w:hint="eastAsia" w:ascii="方正仿宋简体" w:hAnsi="宋体" w:eastAsia="方正仿宋简体" w:cs="宋体"/>
                <w:b/>
                <w:bCs/>
                <w:sz w:val="24"/>
              </w:rPr>
              <w:t>建设，打造</w:t>
            </w:r>
            <w:r>
              <w:rPr>
                <w:rFonts w:hint="eastAsia" w:ascii="方正仿宋简体" w:eastAsia="方正仿宋简体"/>
                <w:b/>
                <w:bCs/>
                <w:sz w:val="24"/>
              </w:rPr>
              <w:t>“</w:t>
            </w:r>
            <w:r>
              <w:rPr>
                <w:rFonts w:hint="eastAsia" w:ascii="方正仿宋简体" w:hAnsi="宋体" w:eastAsia="方正仿宋简体" w:cs="宋体"/>
                <w:b/>
                <w:bCs/>
                <w:sz w:val="24"/>
              </w:rPr>
              <w:t>智慧机场</w:t>
            </w:r>
            <w:r>
              <w:rPr>
                <w:rFonts w:hint="eastAsia" w:ascii="方正仿宋简体" w:eastAsia="方正仿宋简体"/>
                <w:b/>
                <w:bCs/>
                <w:sz w:val="24"/>
              </w:rPr>
              <w:t>”</w:t>
            </w:r>
            <w:r>
              <w:rPr>
                <w:rFonts w:hint="eastAsia" w:ascii="方正仿宋简体" w:hAnsi="宋体" w:eastAsia="方正仿宋简体" w:cs="宋体"/>
                <w:b/>
                <w:bCs/>
                <w:sz w:val="24"/>
              </w:rPr>
              <w:t>示范项目。</w:t>
            </w:r>
          </w:p>
        </w:tc>
      </w:tr>
      <w:tr>
        <w:tblPrEx>
          <w:tblCellMar>
            <w:top w:w="0" w:type="dxa"/>
            <w:left w:w="108" w:type="dxa"/>
            <w:bottom w:w="0" w:type="dxa"/>
            <w:right w:w="108" w:type="dxa"/>
          </w:tblCellMar>
        </w:tblPrEx>
        <w:trPr>
          <w:trHeight w:val="939"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47</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市税务局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加大</w:t>
            </w:r>
            <w:r>
              <w:rPr>
                <w:rFonts w:hint="eastAsia" w:ascii="方正仿宋简体" w:eastAsia="方正仿宋简体"/>
                <w:b/>
                <w:bCs/>
                <w:sz w:val="24"/>
              </w:rPr>
              <w:t>“</w:t>
            </w:r>
            <w:r>
              <w:rPr>
                <w:rFonts w:hint="eastAsia" w:ascii="方正仿宋简体" w:hAnsi="宋体" w:eastAsia="方正仿宋简体" w:cs="宋体"/>
                <w:b/>
                <w:bCs/>
                <w:sz w:val="24"/>
              </w:rPr>
              <w:t>惠企通</w:t>
            </w:r>
            <w:r>
              <w:rPr>
                <w:rFonts w:hint="eastAsia" w:ascii="方正仿宋简体" w:eastAsia="方正仿宋简体"/>
                <w:b/>
                <w:bCs/>
                <w:sz w:val="24"/>
              </w:rPr>
              <w:t>”</w:t>
            </w:r>
            <w:r>
              <w:rPr>
                <w:rFonts w:hint="eastAsia" w:ascii="方正仿宋简体" w:hAnsi="宋体" w:eastAsia="方正仿宋简体" w:cs="宋体"/>
                <w:b/>
                <w:bCs/>
                <w:sz w:val="24"/>
              </w:rPr>
              <w:t>服务平台推广应用力度，实现政策收集、发布、解读、推送、申报、兑现等全环节、全流程线上办理。</w:t>
            </w:r>
          </w:p>
        </w:tc>
      </w:tr>
      <w:tr>
        <w:tblPrEx>
          <w:tblCellMar>
            <w:top w:w="0" w:type="dxa"/>
            <w:left w:w="108" w:type="dxa"/>
            <w:bottom w:w="0" w:type="dxa"/>
            <w:right w:w="108" w:type="dxa"/>
          </w:tblCellMar>
        </w:tblPrEx>
        <w:trPr>
          <w:trHeight w:val="799"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深化</w:t>
            </w:r>
            <w:r>
              <w:rPr>
                <w:rFonts w:hint="eastAsia" w:ascii="方正仿宋简体" w:eastAsia="方正仿宋简体"/>
                <w:b/>
                <w:bCs/>
                <w:sz w:val="24"/>
              </w:rPr>
              <w:t>“</w:t>
            </w:r>
            <w:r>
              <w:rPr>
                <w:rFonts w:hint="eastAsia" w:ascii="方正仿宋简体" w:hAnsi="宋体" w:eastAsia="方正仿宋简体" w:cs="宋体"/>
                <w:b/>
                <w:bCs/>
                <w:sz w:val="24"/>
              </w:rPr>
              <w:t>无证明城市</w:t>
            </w:r>
            <w:r>
              <w:rPr>
                <w:rFonts w:hint="eastAsia" w:ascii="方正仿宋简体" w:eastAsia="方正仿宋简体"/>
                <w:b/>
                <w:bCs/>
                <w:sz w:val="24"/>
              </w:rPr>
              <w:t>”</w:t>
            </w:r>
            <w:r>
              <w:rPr>
                <w:rFonts w:hint="eastAsia" w:ascii="方正仿宋简体" w:hAnsi="宋体" w:eastAsia="方正仿宋简体" w:cs="宋体"/>
                <w:b/>
                <w:bCs/>
                <w:sz w:val="24"/>
              </w:rPr>
              <w:t>建设，配合山东省税务局做好税务系统电子证照证明的制发和应用工作。</w:t>
            </w:r>
          </w:p>
        </w:tc>
      </w:tr>
      <w:tr>
        <w:tblPrEx>
          <w:tblCellMar>
            <w:top w:w="0" w:type="dxa"/>
            <w:left w:w="108" w:type="dxa"/>
            <w:bottom w:w="0" w:type="dxa"/>
            <w:right w:w="108" w:type="dxa"/>
          </w:tblCellMar>
        </w:tblPrEx>
        <w:trPr>
          <w:trHeight w:val="799" w:hRule="atLeast"/>
        </w:trPr>
        <w:tc>
          <w:tcPr>
            <w:tcW w:w="74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48</w:t>
            </w:r>
          </w:p>
        </w:tc>
        <w:tc>
          <w:tcPr>
            <w:tcW w:w="2411" w:type="dxa"/>
            <w:tcBorders>
              <w:top w:val="nil"/>
              <w:left w:val="nil"/>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市气象局</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加快新型智慧城市建设，</w:t>
            </w:r>
            <w:r>
              <w:rPr>
                <w:rFonts w:hint="eastAsia" w:ascii="方正仿宋简体" w:eastAsia="方正仿宋简体"/>
                <w:b/>
                <w:bCs/>
                <w:sz w:val="24"/>
              </w:rPr>
              <w:t>11</w:t>
            </w:r>
            <w:r>
              <w:rPr>
                <w:rFonts w:hint="eastAsia" w:ascii="方正仿宋简体" w:hAnsi="宋体" w:eastAsia="方正仿宋简体" w:cs="宋体"/>
                <w:b/>
                <w:bCs/>
                <w:sz w:val="24"/>
              </w:rPr>
              <w:t>月底前气象自动监测点建设情况、自动雨量监测站建设情况达到四星级水平。</w:t>
            </w:r>
          </w:p>
        </w:tc>
      </w:tr>
      <w:tr>
        <w:tblPrEx>
          <w:tblCellMar>
            <w:top w:w="0" w:type="dxa"/>
            <w:left w:w="108" w:type="dxa"/>
            <w:bottom w:w="0" w:type="dxa"/>
            <w:right w:w="108" w:type="dxa"/>
          </w:tblCellMar>
        </w:tblPrEx>
        <w:trPr>
          <w:trHeight w:val="1358"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49</w:t>
            </w:r>
          </w:p>
        </w:tc>
        <w:tc>
          <w:tcPr>
            <w:tcW w:w="2411"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hint="default" w:ascii="方正仿宋简体" w:hAnsi="宋体" w:eastAsia="方正仿宋简体" w:cs="宋体"/>
                <w:b/>
                <w:bCs/>
                <w:sz w:val="24"/>
              </w:rPr>
            </w:pPr>
            <w:r>
              <w:rPr>
                <w:rFonts w:ascii="方正仿宋简体" w:hAnsi="宋体" w:eastAsia="方正仿宋简体" w:cs="宋体"/>
                <w:b/>
                <w:bCs/>
                <w:sz w:val="24"/>
              </w:rPr>
              <w:t>人民银行济宁市分行</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深化“无证明城市”建设，强化电子证照社会化应用，11月底前打造金融服务社会化应用场景，指导具备条件的银行机构为持电子营业执照的客户在银行开户时支持其亮证或亮码办理；通过“爱山东”亮证（居民身份证、营业执照等）或亮码办理银行开户、信贷等业务。</w:t>
            </w:r>
          </w:p>
        </w:tc>
      </w:tr>
      <w:tr>
        <w:tblPrEx>
          <w:tblCellMar>
            <w:top w:w="0" w:type="dxa"/>
            <w:left w:w="108" w:type="dxa"/>
            <w:bottom w:w="0" w:type="dxa"/>
            <w:right w:w="108" w:type="dxa"/>
          </w:tblCellMar>
        </w:tblPrEx>
        <w:trPr>
          <w:trHeight w:val="1310"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eastAsia="方正仿宋简体"/>
                <w:b/>
                <w:bCs/>
                <w:sz w:val="24"/>
              </w:rPr>
            </w:pPr>
          </w:p>
        </w:tc>
        <w:tc>
          <w:tcPr>
            <w:tcW w:w="2411"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2</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eastAsia="方正仿宋简体"/>
                <w:b/>
                <w:bCs/>
                <w:sz w:val="24"/>
              </w:rPr>
              <w:t>推动数据在金融服务领域应用，建立中小微企业标签库、资源库，实现金融资源智能匹配。鼓励各类金融机构入驻金融服务平台，创新金融服务产品，建立全市融资服务一张网，开展线上融资服务，助推银企高效对接。</w:t>
            </w:r>
          </w:p>
        </w:tc>
      </w:tr>
      <w:tr>
        <w:tblPrEx>
          <w:tblCellMar>
            <w:top w:w="0" w:type="dxa"/>
            <w:left w:w="108" w:type="dxa"/>
            <w:bottom w:w="0" w:type="dxa"/>
            <w:right w:w="108" w:type="dxa"/>
          </w:tblCellMar>
        </w:tblPrEx>
        <w:trPr>
          <w:trHeight w:val="705" w:hRule="atLeast"/>
        </w:trPr>
        <w:tc>
          <w:tcPr>
            <w:tcW w:w="74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50</w:t>
            </w:r>
          </w:p>
        </w:tc>
        <w:tc>
          <w:tcPr>
            <w:tcW w:w="2411" w:type="dxa"/>
            <w:tcBorders>
              <w:top w:val="nil"/>
              <w:left w:val="nil"/>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济宁能源发展集团</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优化提升智慧港航，推动济宁港梁山港区铁水联运智慧化港口示范工程建设。</w:t>
            </w:r>
          </w:p>
        </w:tc>
      </w:tr>
      <w:tr>
        <w:tblPrEx>
          <w:tblCellMar>
            <w:top w:w="0" w:type="dxa"/>
            <w:left w:w="108" w:type="dxa"/>
            <w:bottom w:w="0" w:type="dxa"/>
            <w:right w:w="108" w:type="dxa"/>
          </w:tblCellMar>
        </w:tblPrEx>
        <w:trPr>
          <w:trHeight w:val="960" w:hRule="atLeast"/>
        </w:trPr>
        <w:tc>
          <w:tcPr>
            <w:tcW w:w="74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51</w:t>
            </w:r>
          </w:p>
        </w:tc>
        <w:tc>
          <w:tcPr>
            <w:tcW w:w="2411" w:type="dxa"/>
            <w:tcBorders>
              <w:top w:val="nil"/>
              <w:left w:val="nil"/>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市孔子文化旅游集团</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推进国有企业社会服务类移动端应用接入</w:t>
            </w:r>
            <w:r>
              <w:rPr>
                <w:rFonts w:hint="eastAsia" w:ascii="方正仿宋简体" w:eastAsia="方正仿宋简体"/>
                <w:b/>
                <w:bCs/>
                <w:sz w:val="24"/>
              </w:rPr>
              <w:t>“</w:t>
            </w:r>
            <w:r>
              <w:rPr>
                <w:rFonts w:hint="eastAsia" w:ascii="方正仿宋简体" w:hAnsi="宋体" w:eastAsia="方正仿宋简体" w:cs="宋体"/>
                <w:b/>
                <w:bCs/>
                <w:sz w:val="24"/>
              </w:rPr>
              <w:t>爱山东</w:t>
            </w:r>
            <w:r>
              <w:rPr>
                <w:rFonts w:hint="eastAsia" w:ascii="方正仿宋简体" w:eastAsia="方正仿宋简体"/>
                <w:b/>
                <w:bCs/>
                <w:sz w:val="24"/>
              </w:rPr>
              <w:t>”APP</w:t>
            </w:r>
            <w:r>
              <w:rPr>
                <w:rFonts w:hint="eastAsia" w:ascii="方正仿宋简体" w:hAnsi="宋体" w:eastAsia="方正仿宋简体" w:cs="宋体"/>
                <w:b/>
                <w:bCs/>
                <w:sz w:val="24"/>
              </w:rPr>
              <w:t>济宁分厅，</w:t>
            </w:r>
            <w:r>
              <w:rPr>
                <w:rFonts w:hint="eastAsia" w:ascii="方正仿宋简体" w:eastAsia="方正仿宋简体"/>
                <w:b/>
                <w:bCs/>
                <w:sz w:val="24"/>
              </w:rPr>
              <w:t>10</w:t>
            </w:r>
            <w:r>
              <w:rPr>
                <w:rFonts w:hint="eastAsia" w:ascii="方正仿宋简体" w:hAnsi="宋体" w:eastAsia="方正仿宋简体" w:cs="宋体"/>
                <w:b/>
                <w:bCs/>
                <w:sz w:val="24"/>
              </w:rPr>
              <w:t>月底前完成</w:t>
            </w:r>
            <w:r>
              <w:rPr>
                <w:rFonts w:hint="eastAsia" w:ascii="方正仿宋简体" w:eastAsia="方正仿宋简体"/>
                <w:b/>
                <w:bCs/>
                <w:sz w:val="24"/>
              </w:rPr>
              <w:t>“</w:t>
            </w:r>
            <w:r>
              <w:rPr>
                <w:rFonts w:hint="eastAsia" w:ascii="方正仿宋简体" w:hAnsi="宋体" w:eastAsia="方正仿宋简体" w:cs="宋体"/>
                <w:b/>
                <w:bCs/>
                <w:sz w:val="24"/>
              </w:rPr>
              <w:t>一码游济宁</w:t>
            </w:r>
            <w:r>
              <w:rPr>
                <w:rFonts w:hint="eastAsia" w:ascii="方正仿宋简体" w:eastAsia="方正仿宋简体"/>
                <w:b/>
                <w:bCs/>
                <w:sz w:val="24"/>
              </w:rPr>
              <w:t>”</w:t>
            </w:r>
            <w:r>
              <w:rPr>
                <w:rFonts w:hint="eastAsia" w:ascii="方正仿宋简体" w:hAnsi="宋体" w:eastAsia="方正仿宋简体" w:cs="宋体"/>
                <w:b/>
                <w:bCs/>
                <w:sz w:val="24"/>
              </w:rPr>
              <w:t>微信小程序、济宁旅游惠民卡等相关应用接入</w:t>
            </w:r>
            <w:r>
              <w:rPr>
                <w:rFonts w:hint="eastAsia" w:ascii="方正仿宋简体" w:eastAsia="方正仿宋简体"/>
                <w:b/>
                <w:bCs/>
                <w:sz w:val="24"/>
              </w:rPr>
              <w:t>“</w:t>
            </w:r>
            <w:r>
              <w:rPr>
                <w:rFonts w:hint="eastAsia" w:ascii="方正仿宋简体" w:hAnsi="宋体" w:eastAsia="方正仿宋简体" w:cs="宋体"/>
                <w:b/>
                <w:bCs/>
                <w:sz w:val="24"/>
              </w:rPr>
              <w:t>爱山东</w:t>
            </w:r>
            <w:r>
              <w:rPr>
                <w:rFonts w:hint="eastAsia" w:ascii="方正仿宋简体" w:eastAsia="方正仿宋简体"/>
                <w:b/>
                <w:bCs/>
                <w:sz w:val="24"/>
              </w:rPr>
              <w:t>”APP</w:t>
            </w:r>
            <w:r>
              <w:rPr>
                <w:rFonts w:hint="eastAsia" w:ascii="方正仿宋简体" w:hAnsi="宋体" w:eastAsia="方正仿宋简体" w:cs="宋体"/>
                <w:b/>
                <w:bCs/>
                <w:sz w:val="24"/>
              </w:rPr>
              <w:t>济宁分厅。</w:t>
            </w:r>
          </w:p>
        </w:tc>
      </w:tr>
      <w:tr>
        <w:tblPrEx>
          <w:tblCellMar>
            <w:top w:w="0" w:type="dxa"/>
            <w:left w:w="108" w:type="dxa"/>
            <w:bottom w:w="0" w:type="dxa"/>
            <w:right w:w="108" w:type="dxa"/>
          </w:tblCellMar>
        </w:tblPrEx>
        <w:trPr>
          <w:trHeight w:val="960" w:hRule="atLeast"/>
        </w:trPr>
        <w:tc>
          <w:tcPr>
            <w:tcW w:w="74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52</w:t>
            </w:r>
          </w:p>
        </w:tc>
        <w:tc>
          <w:tcPr>
            <w:tcW w:w="2411" w:type="dxa"/>
            <w:tcBorders>
              <w:top w:val="nil"/>
              <w:left w:val="nil"/>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市公共交通集团</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推进国有企业社会服务类移动端应用接入</w:t>
            </w:r>
            <w:r>
              <w:rPr>
                <w:rFonts w:hint="eastAsia" w:ascii="方正仿宋简体" w:eastAsia="方正仿宋简体"/>
                <w:b/>
                <w:bCs/>
                <w:sz w:val="24"/>
              </w:rPr>
              <w:t>“</w:t>
            </w:r>
            <w:r>
              <w:rPr>
                <w:rFonts w:hint="eastAsia" w:ascii="方正仿宋简体" w:hAnsi="宋体" w:eastAsia="方正仿宋简体" w:cs="宋体"/>
                <w:b/>
                <w:bCs/>
                <w:sz w:val="24"/>
              </w:rPr>
              <w:t>爱山东</w:t>
            </w:r>
            <w:r>
              <w:rPr>
                <w:rFonts w:hint="eastAsia" w:ascii="方正仿宋简体" w:eastAsia="方正仿宋简体"/>
                <w:b/>
                <w:bCs/>
                <w:sz w:val="24"/>
              </w:rPr>
              <w:t>”APP</w:t>
            </w:r>
            <w:r>
              <w:rPr>
                <w:rFonts w:hint="eastAsia" w:ascii="方正仿宋简体" w:hAnsi="宋体" w:eastAsia="方正仿宋简体" w:cs="宋体"/>
                <w:b/>
                <w:bCs/>
                <w:sz w:val="24"/>
              </w:rPr>
              <w:t>济宁分厅，</w:t>
            </w:r>
            <w:r>
              <w:rPr>
                <w:rFonts w:hint="eastAsia" w:ascii="方正仿宋简体" w:eastAsia="方正仿宋简体"/>
                <w:b/>
                <w:bCs/>
                <w:sz w:val="24"/>
              </w:rPr>
              <w:t>10</w:t>
            </w:r>
            <w:r>
              <w:rPr>
                <w:rFonts w:hint="eastAsia" w:ascii="方正仿宋简体" w:hAnsi="宋体" w:eastAsia="方正仿宋简体" w:cs="宋体"/>
                <w:b/>
                <w:bCs/>
                <w:sz w:val="24"/>
              </w:rPr>
              <w:t>月底前完成</w:t>
            </w:r>
            <w:r>
              <w:rPr>
                <w:rFonts w:hint="eastAsia" w:ascii="方正仿宋简体" w:eastAsia="方正仿宋简体"/>
                <w:b/>
                <w:bCs/>
                <w:sz w:val="24"/>
              </w:rPr>
              <w:t>“</w:t>
            </w:r>
            <w:r>
              <w:rPr>
                <w:rFonts w:hint="eastAsia" w:ascii="方正仿宋简体" w:hAnsi="宋体" w:eastAsia="方正仿宋简体" w:cs="宋体"/>
                <w:b/>
                <w:bCs/>
                <w:sz w:val="24"/>
              </w:rPr>
              <w:t>济宁公交</w:t>
            </w:r>
            <w:r>
              <w:rPr>
                <w:rFonts w:hint="eastAsia" w:ascii="方正仿宋简体" w:eastAsia="方正仿宋简体"/>
                <w:b/>
                <w:bCs/>
                <w:sz w:val="24"/>
              </w:rPr>
              <w:t>”APP</w:t>
            </w:r>
            <w:r>
              <w:rPr>
                <w:rFonts w:hint="eastAsia" w:ascii="方正仿宋简体" w:hAnsi="宋体" w:eastAsia="方正仿宋简体" w:cs="宋体"/>
                <w:b/>
                <w:bCs/>
                <w:sz w:val="24"/>
              </w:rPr>
              <w:t>相关应用接入</w:t>
            </w:r>
            <w:r>
              <w:rPr>
                <w:rFonts w:hint="eastAsia" w:ascii="方正仿宋简体" w:eastAsia="方正仿宋简体"/>
                <w:b/>
                <w:bCs/>
                <w:sz w:val="24"/>
              </w:rPr>
              <w:t>“</w:t>
            </w:r>
            <w:r>
              <w:rPr>
                <w:rFonts w:hint="eastAsia" w:ascii="方正仿宋简体" w:hAnsi="宋体" w:eastAsia="方正仿宋简体" w:cs="宋体"/>
                <w:b/>
                <w:bCs/>
                <w:sz w:val="24"/>
              </w:rPr>
              <w:t>爱山东</w:t>
            </w:r>
            <w:r>
              <w:rPr>
                <w:rFonts w:hint="eastAsia" w:ascii="方正仿宋简体" w:eastAsia="方正仿宋简体"/>
                <w:b/>
                <w:bCs/>
                <w:sz w:val="24"/>
              </w:rPr>
              <w:t>”APP</w:t>
            </w:r>
            <w:r>
              <w:rPr>
                <w:rFonts w:hint="eastAsia" w:ascii="方正仿宋简体" w:hAnsi="宋体" w:eastAsia="方正仿宋简体" w:cs="宋体"/>
                <w:b/>
                <w:bCs/>
                <w:sz w:val="24"/>
              </w:rPr>
              <w:t>济宁分厅。</w:t>
            </w:r>
          </w:p>
        </w:tc>
      </w:tr>
      <w:tr>
        <w:tblPrEx>
          <w:tblCellMar>
            <w:top w:w="0" w:type="dxa"/>
            <w:left w:w="108" w:type="dxa"/>
            <w:bottom w:w="0" w:type="dxa"/>
            <w:right w:w="108" w:type="dxa"/>
          </w:tblCellMar>
        </w:tblPrEx>
        <w:trPr>
          <w:trHeight w:val="2880" w:hRule="atLeast"/>
        </w:trPr>
        <w:tc>
          <w:tcPr>
            <w:tcW w:w="74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53</w:t>
            </w:r>
          </w:p>
        </w:tc>
        <w:tc>
          <w:tcPr>
            <w:tcW w:w="2411"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hAnsi="宋体" w:eastAsia="方正仿宋简体" w:cs="宋体"/>
                <w:b/>
                <w:bCs/>
                <w:sz w:val="24"/>
              </w:rPr>
            </w:pPr>
            <w:r>
              <w:rPr>
                <w:rFonts w:hint="eastAsia" w:ascii="方正仿宋简体" w:hAnsi="宋体" w:eastAsia="方正仿宋简体" w:cs="宋体"/>
                <w:b/>
                <w:bCs/>
                <w:sz w:val="24"/>
              </w:rPr>
              <w:t>济宁（颜店）科技</w:t>
            </w:r>
          </w:p>
          <w:p>
            <w:pPr>
              <w:widowControl/>
              <w:spacing w:line="320" w:lineRule="exact"/>
              <w:jc w:val="center"/>
              <w:rPr>
                <w:rFonts w:ascii="方正仿宋简体" w:hAnsi="宋体" w:eastAsia="方正仿宋简体" w:cs="宋体"/>
                <w:b/>
                <w:bCs/>
                <w:sz w:val="24"/>
              </w:rPr>
            </w:pPr>
            <w:r>
              <w:rPr>
                <w:rFonts w:hint="eastAsia" w:ascii="方正仿宋简体" w:hAnsi="宋体" w:eastAsia="方正仿宋简体" w:cs="宋体"/>
                <w:b/>
                <w:bCs/>
                <w:sz w:val="24"/>
              </w:rPr>
              <w:t>产业园</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sz w:val="24"/>
              </w:rPr>
            </w:pPr>
            <w:r>
              <w:rPr>
                <w:rFonts w:hint="eastAsia" w:ascii="方正仿宋简体" w:eastAsia="方正仿宋简体"/>
                <w:b/>
                <w:bCs/>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聚力打造国内领先的近零碳排放产业园示范区。加快培育和壮大新能源产业集群，发挥山东时代</w:t>
            </w:r>
            <w:r>
              <w:rPr>
                <w:rFonts w:hint="default" w:ascii="方正仿宋简体" w:hAnsi="宋体" w:eastAsia="方正仿宋简体" w:cs="宋体"/>
                <w:b/>
                <w:bCs/>
                <w:sz w:val="24"/>
              </w:rPr>
              <w:t>新能源科技有限公司</w:t>
            </w:r>
            <w:r>
              <w:rPr>
                <w:rFonts w:hint="eastAsia" w:ascii="方正仿宋简体" w:hAnsi="宋体" w:eastAsia="方正仿宋简体" w:cs="宋体"/>
                <w:b/>
                <w:bCs/>
                <w:sz w:val="24"/>
              </w:rPr>
              <w:t>带动作用，坚持协同发力、聚链成群，延链强链拓展新能源产业版图。以宁德时代储能产业项目为引领，积极助推济宁（颜店）科技产业园打造近零碳示范区。创新低碳管理，建立健全颜店科技产业园碳管理制度，通过数字赋能智慧园区体系，编制碳排放清单，建设园区碳排放信息管理平台，强化全生命周期碳排放智慧监测与管理。加强园区企业碳排放的统计、监测、报告和核查体系建设，建立完善企业碳排放数据管理和分析系统，挖掘碳减排潜力。积极开展低碳技术创新与应用，建立低碳技术创新研发、孵化和推广应用的公共综合服务平台，推动企业低碳技术的研发、应用和产业化发展。</w:t>
            </w:r>
          </w:p>
        </w:tc>
      </w:tr>
      <w:tr>
        <w:tblPrEx>
          <w:tblCellMar>
            <w:top w:w="0" w:type="dxa"/>
            <w:left w:w="108" w:type="dxa"/>
            <w:bottom w:w="0" w:type="dxa"/>
            <w:right w:w="108" w:type="dxa"/>
          </w:tblCellMar>
        </w:tblPrEx>
        <w:trPr>
          <w:trHeight w:val="1302" w:hRule="atLeast"/>
        </w:trPr>
        <w:tc>
          <w:tcPr>
            <w:tcW w:w="740"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54</w:t>
            </w:r>
          </w:p>
        </w:tc>
        <w:tc>
          <w:tcPr>
            <w:tcW w:w="2411" w:type="dxa"/>
            <w:tcBorders>
              <w:top w:val="nil"/>
              <w:left w:val="nil"/>
              <w:bottom w:val="single" w:color="auto" w:sz="4" w:space="0"/>
              <w:right w:val="single" w:color="auto" w:sz="4" w:space="0"/>
            </w:tcBorders>
            <w:vAlign w:val="center"/>
          </w:tcPr>
          <w:p>
            <w:pPr>
              <w:widowControl/>
              <w:spacing w:line="320" w:lineRule="exact"/>
              <w:jc w:val="center"/>
              <w:rPr>
                <w:rFonts w:hint="eastAsia" w:ascii="方正仿宋简体" w:hAnsi="宋体" w:eastAsia="方正仿宋简体" w:cs="宋体"/>
                <w:b/>
                <w:bCs/>
                <w:color w:val="000000"/>
                <w:sz w:val="24"/>
              </w:rPr>
            </w:pPr>
            <w:r>
              <w:rPr>
                <w:rFonts w:hint="eastAsia" w:ascii="方正仿宋简体" w:hAnsi="宋体" w:eastAsia="方正仿宋简体" w:cs="宋体"/>
                <w:b/>
                <w:bCs/>
                <w:color w:val="000000"/>
                <w:sz w:val="24"/>
              </w:rPr>
              <w:t>市制造强市建设</w:t>
            </w:r>
          </w:p>
          <w:p>
            <w:pPr>
              <w:widowControl/>
              <w:spacing w:line="320" w:lineRule="exact"/>
              <w:jc w:val="center"/>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指挥部</w:t>
            </w:r>
          </w:p>
        </w:tc>
        <w:tc>
          <w:tcPr>
            <w:tcW w:w="680" w:type="dxa"/>
            <w:tcBorders>
              <w:top w:val="nil"/>
              <w:left w:val="nil"/>
              <w:bottom w:val="single" w:color="auto" w:sz="4" w:space="0"/>
              <w:right w:val="single" w:color="auto" w:sz="4" w:space="0"/>
            </w:tcBorders>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1</w:t>
            </w:r>
          </w:p>
        </w:tc>
        <w:tc>
          <w:tcPr>
            <w:tcW w:w="10224"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优化整合</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亩产效益</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综合评价大数据平台、助企攀登系统等平台，搭建全市综合性工业经济高质量发展大数据平台，运用信息化手段实现对工业运行、助企攀登、项目建设、产业发展管理的数字化提升，为全市工业高质量发展提供科学决策和支撑。</w:t>
            </w:r>
          </w:p>
        </w:tc>
      </w:tr>
    </w:tbl>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sz w:val="32"/>
          <w:szCs w:val="32"/>
        </w:rPr>
      </w:pPr>
    </w:p>
    <w:p>
      <w:pPr>
        <w:spacing w:line="600" w:lineRule="exact"/>
        <w:ind w:firstLine="624" w:firstLineChars="200"/>
        <w:rPr>
          <w:sz w:val="32"/>
          <w:szCs w:val="32"/>
        </w:rPr>
      </w:pPr>
    </w:p>
    <w:p>
      <w:pPr>
        <w:spacing w:line="600" w:lineRule="exact"/>
        <w:ind w:firstLine="624" w:firstLineChars="200"/>
        <w:rPr>
          <w:sz w:val="32"/>
          <w:szCs w:val="32"/>
        </w:rPr>
      </w:pPr>
    </w:p>
    <w:p>
      <w:pPr>
        <w:spacing w:line="600" w:lineRule="exact"/>
        <w:ind w:firstLine="624" w:firstLineChars="200"/>
        <w:rPr>
          <w:sz w:val="32"/>
          <w:szCs w:val="32"/>
        </w:rPr>
      </w:pPr>
    </w:p>
    <w:p>
      <w:pPr>
        <w:spacing w:line="600" w:lineRule="exact"/>
        <w:ind w:firstLine="624" w:firstLineChars="200"/>
        <w:rPr>
          <w:sz w:val="32"/>
          <w:szCs w:val="32"/>
        </w:rPr>
      </w:pPr>
    </w:p>
    <w:p>
      <w:pPr>
        <w:spacing w:line="600" w:lineRule="exact"/>
        <w:rPr>
          <w:rFonts w:ascii="方正黑体简体" w:hAnsi="华文宋体" w:eastAsia="方正黑体简体"/>
          <w:b/>
          <w:sz w:val="32"/>
          <w:szCs w:val="32"/>
        </w:rPr>
      </w:pPr>
      <w:r>
        <w:rPr>
          <w:rFonts w:hint="eastAsia" w:ascii="方正黑体简体" w:hAnsi="华文宋体" w:eastAsia="方正黑体简体"/>
          <w:b/>
          <w:sz w:val="32"/>
          <w:szCs w:val="32"/>
        </w:rPr>
        <w:t>附件2</w:t>
      </w:r>
    </w:p>
    <w:p>
      <w:pPr>
        <w:jc w:val="center"/>
        <w:rPr>
          <w:rFonts w:ascii="方正小标宋简体" w:eastAsia="方正小标宋简体"/>
          <w:b/>
          <w:sz w:val="44"/>
          <w:szCs w:val="44"/>
        </w:rPr>
      </w:pPr>
      <w:r>
        <w:rPr>
          <w:rFonts w:hint="eastAsia" w:ascii="方正小标宋简体" w:eastAsia="方正小标宋简体"/>
          <w:b/>
          <w:sz w:val="44"/>
          <w:szCs w:val="44"/>
        </w:rPr>
        <w:t>数字强市建设重点任务清单（县市区）</w:t>
      </w:r>
    </w:p>
    <w:tbl>
      <w:tblPr>
        <w:tblStyle w:val="5"/>
        <w:tblW w:w="14049" w:type="dxa"/>
        <w:tblInd w:w="93" w:type="dxa"/>
        <w:tblLayout w:type="autofit"/>
        <w:tblCellMar>
          <w:top w:w="0" w:type="dxa"/>
          <w:left w:w="108" w:type="dxa"/>
          <w:bottom w:w="0" w:type="dxa"/>
          <w:right w:w="108" w:type="dxa"/>
        </w:tblCellMar>
      </w:tblPr>
      <w:tblGrid>
        <w:gridCol w:w="866"/>
        <w:gridCol w:w="1302"/>
        <w:gridCol w:w="2840"/>
        <w:gridCol w:w="9041"/>
      </w:tblGrid>
      <w:tr>
        <w:tblPrEx>
          <w:tblCellMar>
            <w:top w:w="0" w:type="dxa"/>
            <w:left w:w="108" w:type="dxa"/>
            <w:bottom w:w="0" w:type="dxa"/>
            <w:right w:w="108" w:type="dxa"/>
          </w:tblCellMar>
        </w:tblPrEx>
        <w:trPr>
          <w:trHeight w:val="625" w:hRule="atLeast"/>
          <w:tblHeader/>
        </w:trPr>
        <w:tc>
          <w:tcPr>
            <w:tcW w:w="866" w:type="dxa"/>
            <w:tcBorders>
              <w:top w:val="single" w:color="auto" w:sz="4" w:space="0"/>
              <w:left w:val="single" w:color="auto" w:sz="4" w:space="0"/>
              <w:bottom w:val="single" w:color="auto" w:sz="4" w:space="0"/>
              <w:right w:val="single" w:color="auto" w:sz="4" w:space="0"/>
            </w:tcBorders>
            <w:noWrap/>
            <w:vAlign w:val="center"/>
          </w:tcPr>
          <w:p>
            <w:pPr>
              <w:widowControl/>
              <w:spacing w:line="320" w:lineRule="exact"/>
              <w:jc w:val="center"/>
              <w:rPr>
                <w:rFonts w:ascii="方正黑体简体" w:hAnsi="宋体" w:eastAsia="方正黑体简体" w:cs="宋体"/>
                <w:b/>
                <w:bCs/>
                <w:color w:val="000000"/>
                <w:sz w:val="24"/>
              </w:rPr>
            </w:pPr>
            <w:r>
              <w:rPr>
                <w:rFonts w:hint="eastAsia" w:ascii="方正黑体简体" w:hAnsi="宋体" w:eastAsia="方正黑体简体" w:cs="宋体"/>
                <w:b/>
                <w:bCs/>
                <w:color w:val="000000"/>
                <w:sz w:val="24"/>
              </w:rPr>
              <w:t>序号</w:t>
            </w:r>
          </w:p>
        </w:tc>
        <w:tc>
          <w:tcPr>
            <w:tcW w:w="4142" w:type="dxa"/>
            <w:gridSpan w:val="2"/>
            <w:tcBorders>
              <w:top w:val="single" w:color="auto" w:sz="4" w:space="0"/>
              <w:left w:val="nil"/>
              <w:bottom w:val="single" w:color="auto" w:sz="4" w:space="0"/>
              <w:right w:val="single" w:color="000000" w:sz="4" w:space="0"/>
            </w:tcBorders>
            <w:noWrap/>
            <w:vAlign w:val="center"/>
          </w:tcPr>
          <w:p>
            <w:pPr>
              <w:widowControl/>
              <w:spacing w:line="320" w:lineRule="exact"/>
              <w:jc w:val="center"/>
              <w:rPr>
                <w:rFonts w:ascii="方正黑体简体" w:hAnsi="宋体" w:eastAsia="方正黑体简体" w:cs="宋体"/>
                <w:b/>
                <w:bCs/>
                <w:color w:val="000000"/>
                <w:sz w:val="24"/>
              </w:rPr>
            </w:pPr>
            <w:r>
              <w:rPr>
                <w:rFonts w:hint="eastAsia" w:ascii="方正黑体简体" w:hAnsi="宋体" w:eastAsia="方正黑体简体" w:cs="宋体"/>
                <w:b/>
                <w:bCs/>
                <w:color w:val="000000"/>
                <w:sz w:val="24"/>
              </w:rPr>
              <w:t>重点工作名称</w:t>
            </w:r>
          </w:p>
        </w:tc>
        <w:tc>
          <w:tcPr>
            <w:tcW w:w="9041"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ascii="方正黑体简体" w:hAnsi="宋体" w:eastAsia="方正黑体简体" w:cs="宋体"/>
                <w:b/>
                <w:bCs/>
                <w:color w:val="000000"/>
                <w:sz w:val="24"/>
              </w:rPr>
            </w:pPr>
            <w:r>
              <w:rPr>
                <w:rFonts w:hint="eastAsia" w:ascii="方正黑体简体" w:hAnsi="宋体" w:eastAsia="方正黑体简体" w:cs="宋体"/>
                <w:b/>
                <w:bCs/>
                <w:color w:val="000000"/>
                <w:sz w:val="24"/>
              </w:rPr>
              <w:t>具体任务目标</w:t>
            </w:r>
          </w:p>
        </w:tc>
      </w:tr>
      <w:tr>
        <w:tblPrEx>
          <w:tblCellMar>
            <w:top w:w="0" w:type="dxa"/>
            <w:left w:w="108" w:type="dxa"/>
            <w:bottom w:w="0" w:type="dxa"/>
            <w:right w:w="108" w:type="dxa"/>
          </w:tblCellMar>
        </w:tblPrEx>
        <w:trPr>
          <w:trHeight w:val="1044"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1</w:t>
            </w:r>
          </w:p>
        </w:tc>
        <w:tc>
          <w:tcPr>
            <w:tcW w:w="1302"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加快传统产业数字化升级</w:t>
            </w: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推进数字赋能农业升级</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认证一批智慧农业、智慧畜牧业应用基地，打造一批数字农业典型应用场景，大力推广绿色高效农机具及农用北斗终端及辅助驾驶系统的应用，引导传统农业机械智能化改造提升。</w:t>
            </w:r>
          </w:p>
        </w:tc>
      </w:tr>
      <w:tr>
        <w:tblPrEx>
          <w:tblCellMar>
            <w:top w:w="0" w:type="dxa"/>
            <w:left w:w="108" w:type="dxa"/>
            <w:bottom w:w="0" w:type="dxa"/>
            <w:right w:w="108" w:type="dxa"/>
          </w:tblCellMar>
        </w:tblPrEx>
        <w:trPr>
          <w:trHeight w:val="849"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2</w:t>
            </w:r>
          </w:p>
        </w:tc>
        <w:tc>
          <w:tcPr>
            <w:tcW w:w="1302"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推进数字赋能制造业升级</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实施</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智改数转</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行动，推动企业开展数字化改造，积极培育省级工业互联网平台和工业互联网示范标杆，推动工业设备上云上平台。</w:t>
            </w:r>
          </w:p>
        </w:tc>
      </w:tr>
      <w:tr>
        <w:tblPrEx>
          <w:tblCellMar>
            <w:top w:w="0" w:type="dxa"/>
            <w:left w:w="108" w:type="dxa"/>
            <w:bottom w:w="0" w:type="dxa"/>
            <w:right w:w="108" w:type="dxa"/>
          </w:tblCellMar>
        </w:tblPrEx>
        <w:trPr>
          <w:trHeight w:val="816"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3</w:t>
            </w:r>
          </w:p>
        </w:tc>
        <w:tc>
          <w:tcPr>
            <w:tcW w:w="1302"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推进数字赋能商贸业升级</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建设智慧商圈基础大数据平台，完成太白楼路商圈数据归集治理，培育亿元以上电商企业，打造省级电商直播基地和供应链基地。</w:t>
            </w:r>
          </w:p>
        </w:tc>
      </w:tr>
      <w:tr>
        <w:tblPrEx>
          <w:tblCellMar>
            <w:top w:w="0" w:type="dxa"/>
            <w:left w:w="108" w:type="dxa"/>
            <w:bottom w:w="0" w:type="dxa"/>
            <w:right w:w="108" w:type="dxa"/>
          </w:tblCellMar>
        </w:tblPrEx>
        <w:trPr>
          <w:trHeight w:val="840"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4</w:t>
            </w:r>
          </w:p>
        </w:tc>
        <w:tc>
          <w:tcPr>
            <w:tcW w:w="1302"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加快数字产业化布局</w:t>
            </w: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壮大电子信息制造业</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以集成电路等产业为重点，加快实施珞石机器人二期等</w:t>
            </w:r>
            <w:r>
              <w:rPr>
                <w:rFonts w:hint="eastAsia" w:ascii="方正仿宋简体" w:eastAsia="方正仿宋简体"/>
                <w:b/>
                <w:bCs/>
                <w:color w:val="000000"/>
                <w:sz w:val="24"/>
              </w:rPr>
              <w:t>20</w:t>
            </w:r>
            <w:r>
              <w:rPr>
                <w:rFonts w:hint="eastAsia" w:ascii="方正仿宋简体" w:hAnsi="宋体" w:eastAsia="方正仿宋简体" w:cs="宋体"/>
                <w:b/>
                <w:bCs/>
                <w:color w:val="000000"/>
                <w:sz w:val="24"/>
              </w:rPr>
              <w:t>个支撑性项目，做强机器人、集成电路</w:t>
            </w:r>
            <w:r>
              <w:rPr>
                <w:rFonts w:hint="eastAsia" w:ascii="方正仿宋简体" w:eastAsia="方正仿宋简体"/>
                <w:b/>
                <w:bCs/>
                <w:color w:val="000000"/>
                <w:sz w:val="24"/>
              </w:rPr>
              <w:t>2</w:t>
            </w:r>
            <w:r>
              <w:rPr>
                <w:rFonts w:hint="eastAsia" w:ascii="方正仿宋简体" w:hAnsi="宋体" w:eastAsia="方正仿宋简体" w:cs="宋体"/>
                <w:b/>
                <w:bCs/>
                <w:color w:val="000000"/>
                <w:sz w:val="24"/>
              </w:rPr>
              <w:t>条产业链。</w:t>
            </w:r>
          </w:p>
        </w:tc>
      </w:tr>
      <w:tr>
        <w:tblPrEx>
          <w:tblCellMar>
            <w:top w:w="0" w:type="dxa"/>
            <w:left w:w="108" w:type="dxa"/>
            <w:bottom w:w="0" w:type="dxa"/>
            <w:right w:w="108" w:type="dxa"/>
          </w:tblCellMar>
        </w:tblPrEx>
        <w:trPr>
          <w:trHeight w:val="673"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5</w:t>
            </w:r>
          </w:p>
        </w:tc>
        <w:tc>
          <w:tcPr>
            <w:tcW w:w="1302"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提升软件和信息技术服务业</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高水平建设省级软件工程技术中心。</w:t>
            </w:r>
          </w:p>
        </w:tc>
      </w:tr>
      <w:tr>
        <w:tblPrEx>
          <w:tblCellMar>
            <w:top w:w="0" w:type="dxa"/>
            <w:left w:w="108" w:type="dxa"/>
            <w:bottom w:w="0" w:type="dxa"/>
            <w:right w:w="108" w:type="dxa"/>
          </w:tblCellMar>
        </w:tblPrEx>
        <w:trPr>
          <w:trHeight w:val="608"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6</w:t>
            </w:r>
          </w:p>
        </w:tc>
        <w:tc>
          <w:tcPr>
            <w:tcW w:w="1302"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打造数字经济特色园区</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加快省级工业互联网园区建设，济宁高新区要建设省级软件名园，做大做强省级数字经济园区。</w:t>
            </w:r>
          </w:p>
        </w:tc>
      </w:tr>
      <w:tr>
        <w:tblPrEx>
          <w:tblCellMar>
            <w:top w:w="0" w:type="dxa"/>
            <w:left w:w="108" w:type="dxa"/>
            <w:bottom w:w="0" w:type="dxa"/>
            <w:right w:w="108" w:type="dxa"/>
          </w:tblCellMar>
        </w:tblPrEx>
        <w:trPr>
          <w:trHeight w:val="1072"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7</w:t>
            </w:r>
          </w:p>
        </w:tc>
        <w:tc>
          <w:tcPr>
            <w:tcW w:w="1302"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加快数字基础设施建设</w:t>
            </w: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实施</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千兆入户、万兆入园</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和</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双千兆</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工程</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建设高质量、大规模独立组网</w:t>
            </w:r>
            <w:r>
              <w:rPr>
                <w:rFonts w:hint="eastAsia" w:ascii="方正仿宋简体" w:eastAsia="方正仿宋简体"/>
                <w:b/>
                <w:bCs/>
                <w:color w:val="000000"/>
                <w:sz w:val="24"/>
              </w:rPr>
              <w:t>5G</w:t>
            </w:r>
            <w:r>
              <w:rPr>
                <w:rFonts w:hint="eastAsia" w:ascii="方正仿宋简体" w:hAnsi="宋体" w:eastAsia="方正仿宋简体" w:cs="宋体"/>
                <w:b/>
                <w:bCs/>
                <w:color w:val="000000"/>
                <w:sz w:val="24"/>
              </w:rPr>
              <w:t>网络，形成城区深度覆盖、典型应用场景精准覆盖、乡镇驻地全覆盖、行政村</w:t>
            </w:r>
            <w:r>
              <w:rPr>
                <w:rFonts w:hint="eastAsia" w:ascii="方正仿宋简体" w:eastAsia="方正仿宋简体"/>
                <w:b/>
                <w:bCs/>
                <w:color w:val="000000"/>
                <w:sz w:val="24"/>
              </w:rPr>
              <w:t>5G</w:t>
            </w:r>
            <w:r>
              <w:rPr>
                <w:rFonts w:hint="eastAsia" w:ascii="方正仿宋简体" w:hAnsi="宋体" w:eastAsia="方正仿宋简体" w:cs="宋体"/>
                <w:b/>
                <w:bCs/>
                <w:color w:val="000000"/>
                <w:sz w:val="24"/>
              </w:rPr>
              <w:t>网络通达率达</w:t>
            </w:r>
            <w:r>
              <w:rPr>
                <w:rFonts w:hint="eastAsia" w:ascii="方正仿宋简体" w:eastAsia="方正仿宋简体"/>
                <w:b/>
                <w:bCs/>
                <w:color w:val="000000"/>
                <w:sz w:val="24"/>
              </w:rPr>
              <w:t>70%</w:t>
            </w:r>
            <w:r>
              <w:rPr>
                <w:rFonts w:hint="eastAsia" w:ascii="方正仿宋简体" w:hAnsi="宋体" w:eastAsia="方正仿宋简体" w:cs="宋体"/>
                <w:b/>
                <w:bCs/>
                <w:color w:val="000000"/>
                <w:sz w:val="24"/>
              </w:rPr>
              <w:t>以上的</w:t>
            </w:r>
            <w:r>
              <w:rPr>
                <w:rFonts w:hint="eastAsia" w:ascii="方正仿宋简体" w:eastAsia="方正仿宋简体"/>
                <w:b/>
                <w:bCs/>
                <w:color w:val="000000"/>
                <w:sz w:val="24"/>
              </w:rPr>
              <w:t>5G</w:t>
            </w:r>
            <w:r>
              <w:rPr>
                <w:rFonts w:hint="eastAsia" w:ascii="方正仿宋简体" w:hAnsi="宋体" w:eastAsia="方正仿宋简体" w:cs="宋体"/>
                <w:b/>
                <w:bCs/>
                <w:color w:val="000000"/>
                <w:sz w:val="24"/>
              </w:rPr>
              <w:t>网络格局，大力发展高品质千兆光纤网络，建设万兆无源光网络及以上端口数占比达到</w:t>
            </w:r>
            <w:r>
              <w:rPr>
                <w:rFonts w:hint="eastAsia" w:ascii="方正仿宋简体" w:eastAsia="方正仿宋简体"/>
                <w:b/>
                <w:bCs/>
                <w:color w:val="000000"/>
                <w:sz w:val="24"/>
              </w:rPr>
              <w:t>40%</w:t>
            </w:r>
            <w:r>
              <w:rPr>
                <w:rFonts w:hint="eastAsia" w:ascii="方正仿宋简体" w:hAnsi="宋体" w:eastAsia="方正仿宋简体" w:cs="宋体"/>
                <w:b/>
                <w:bCs/>
                <w:color w:val="000000"/>
                <w:sz w:val="24"/>
              </w:rPr>
              <w:t>。</w:t>
            </w:r>
          </w:p>
        </w:tc>
      </w:tr>
      <w:tr>
        <w:tblPrEx>
          <w:tblCellMar>
            <w:top w:w="0" w:type="dxa"/>
            <w:left w:w="108" w:type="dxa"/>
            <w:bottom w:w="0" w:type="dxa"/>
            <w:right w:w="108" w:type="dxa"/>
          </w:tblCellMar>
        </w:tblPrEx>
        <w:trPr>
          <w:trHeight w:val="846"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8</w:t>
            </w:r>
          </w:p>
        </w:tc>
        <w:tc>
          <w:tcPr>
            <w:tcW w:w="1302"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新型数据中心建设</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各县（市、区）要摸清属地数据中心在用、在建底数，组织有规模、有发展潜力的数据中心建设新型数据中心试点。</w:t>
            </w:r>
          </w:p>
        </w:tc>
      </w:tr>
      <w:tr>
        <w:tblPrEx>
          <w:tblCellMar>
            <w:top w:w="0" w:type="dxa"/>
            <w:left w:w="108" w:type="dxa"/>
            <w:bottom w:w="0" w:type="dxa"/>
            <w:right w:w="108" w:type="dxa"/>
          </w:tblCellMar>
        </w:tblPrEx>
        <w:trPr>
          <w:trHeight w:val="1260"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9</w:t>
            </w:r>
          </w:p>
        </w:tc>
        <w:tc>
          <w:tcPr>
            <w:tcW w:w="1302"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政务服务</w:t>
            </w: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塑强</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爱山东</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济</w:t>
            </w:r>
            <w:r>
              <w:rPr>
                <w:rFonts w:hint="eastAsia" w:ascii="方正仿宋简体" w:eastAsia="方正仿宋简体"/>
                <w:b/>
                <w:bCs/>
                <w:color w:val="000000"/>
                <w:sz w:val="24"/>
              </w:rPr>
              <w:t>e</w:t>
            </w:r>
            <w:r>
              <w:rPr>
                <w:rFonts w:hint="eastAsia" w:ascii="方正仿宋简体" w:hAnsi="宋体" w:eastAsia="方正仿宋简体" w:cs="宋体"/>
                <w:b/>
                <w:bCs/>
                <w:color w:val="000000"/>
                <w:sz w:val="24"/>
              </w:rPr>
              <w:t>办</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服务品牌</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深化</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双全双百</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提升工程，持续推进政务服务标准化、规范化、便利化、数字化建设，全面优化线上线下服务供给和办事流程，提升</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一次办好</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改革成效，深化窗口端、桌面端、移动端等多渠道</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同标同源</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建设，提升线上线下融合服务能力，推动政务服务智能终端向乡村覆盖，推进涉农服务事项在线办理。</w:t>
            </w:r>
          </w:p>
        </w:tc>
      </w:tr>
      <w:tr>
        <w:tblPrEx>
          <w:tblCellMar>
            <w:top w:w="0" w:type="dxa"/>
            <w:left w:w="108" w:type="dxa"/>
            <w:bottom w:w="0" w:type="dxa"/>
            <w:right w:w="108" w:type="dxa"/>
          </w:tblCellMar>
        </w:tblPrEx>
        <w:trPr>
          <w:trHeight w:val="1380"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10</w:t>
            </w:r>
          </w:p>
        </w:tc>
        <w:tc>
          <w:tcPr>
            <w:tcW w:w="1302"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bCs/>
                <w:color w:val="000000"/>
                <w:sz w:val="24"/>
              </w:rPr>
            </w:pPr>
            <w:r>
              <w:rPr>
                <w:rFonts w:hint="eastAsia" w:ascii="方正仿宋简体" w:eastAsia="方正仿宋简体"/>
                <w:b/>
                <w:bCs/>
                <w:color w:val="000000"/>
                <w:sz w:val="24"/>
              </w:rPr>
              <w:t>“爱山东”移动端建设运营</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加强</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爱山东</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移动端建设运营统筹协调，形成齐抓共管合力，全面提升</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爱山东</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移动端应用服务能力，丰富便民惠企特色应用，各县（市、区）分厅均要打造不少于</w:t>
            </w:r>
            <w:r>
              <w:rPr>
                <w:rFonts w:hint="eastAsia" w:ascii="方正仿宋简体" w:eastAsia="方正仿宋简体"/>
                <w:b/>
                <w:bCs/>
                <w:color w:val="000000"/>
                <w:sz w:val="24"/>
              </w:rPr>
              <w:t>3</w:t>
            </w:r>
            <w:r>
              <w:rPr>
                <w:rFonts w:hint="eastAsia" w:ascii="方正仿宋简体" w:hAnsi="宋体" w:eastAsia="方正仿宋简体" w:cs="宋体"/>
                <w:b/>
                <w:bCs/>
                <w:color w:val="000000"/>
                <w:sz w:val="24"/>
              </w:rPr>
              <w:t>个拳头应用，日活跃率不低于</w:t>
            </w:r>
            <w:r>
              <w:rPr>
                <w:rFonts w:hint="eastAsia" w:ascii="方正仿宋简体" w:eastAsia="方正仿宋简体"/>
                <w:b/>
                <w:bCs/>
                <w:color w:val="000000"/>
                <w:sz w:val="24"/>
              </w:rPr>
              <w:t>11%</w:t>
            </w:r>
            <w:r>
              <w:rPr>
                <w:rFonts w:hint="eastAsia" w:ascii="方正仿宋简体" w:hAnsi="宋体" w:eastAsia="方正仿宋简体" w:cs="宋体"/>
                <w:b/>
                <w:bCs/>
                <w:color w:val="000000"/>
                <w:sz w:val="24"/>
              </w:rPr>
              <w:t>，自建政务服务渠道</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应迁尽迁、应关尽关</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，力争全部入选全省年度</w:t>
            </w:r>
            <w:r>
              <w:rPr>
                <w:rFonts w:hint="eastAsia" w:ascii="方正仿宋简体" w:eastAsia="方正仿宋简体"/>
                <w:b/>
                <w:bCs/>
                <w:color w:val="000000"/>
                <w:sz w:val="24"/>
              </w:rPr>
              <w:t>50</w:t>
            </w:r>
            <w:r>
              <w:rPr>
                <w:rFonts w:hint="eastAsia" w:ascii="方正仿宋简体" w:hAnsi="宋体" w:eastAsia="方正仿宋简体" w:cs="宋体"/>
                <w:b/>
                <w:bCs/>
                <w:color w:val="000000"/>
                <w:sz w:val="24"/>
              </w:rPr>
              <w:t>强特色分厅。</w:t>
            </w:r>
          </w:p>
        </w:tc>
      </w:tr>
      <w:tr>
        <w:tblPrEx>
          <w:tblCellMar>
            <w:top w:w="0" w:type="dxa"/>
            <w:left w:w="108" w:type="dxa"/>
            <w:bottom w:w="0" w:type="dxa"/>
            <w:right w:w="108" w:type="dxa"/>
          </w:tblCellMar>
        </w:tblPrEx>
        <w:trPr>
          <w:trHeight w:val="1022"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11</w:t>
            </w:r>
          </w:p>
        </w:tc>
        <w:tc>
          <w:tcPr>
            <w:tcW w:w="1302"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无证明城市建设</w:t>
            </w: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加强电子证照数据归集</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常态化开展电子证照归集工作，凡是县级层面制发的证照全部进行归集，所有县（市、区）必须保证上传证照数据合格率</w:t>
            </w:r>
            <w:r>
              <w:rPr>
                <w:rFonts w:hint="eastAsia" w:ascii="方正仿宋简体" w:eastAsia="方正仿宋简体"/>
                <w:b/>
                <w:bCs/>
                <w:color w:val="000000"/>
                <w:sz w:val="24"/>
              </w:rPr>
              <w:t>100%</w:t>
            </w:r>
            <w:r>
              <w:rPr>
                <w:rFonts w:hint="eastAsia" w:ascii="方正仿宋简体" w:hAnsi="宋体" w:eastAsia="方正仿宋简体" w:cs="宋体"/>
                <w:b/>
                <w:bCs/>
                <w:color w:val="000000"/>
                <w:sz w:val="24"/>
              </w:rPr>
              <w:t>，同时保证同步制发率要达到</w:t>
            </w:r>
            <w:r>
              <w:rPr>
                <w:rFonts w:hint="eastAsia" w:ascii="方正仿宋简体" w:eastAsia="方正仿宋简体"/>
                <w:b/>
                <w:bCs/>
                <w:color w:val="000000"/>
                <w:sz w:val="24"/>
              </w:rPr>
              <w:t>100%</w:t>
            </w:r>
            <w:r>
              <w:rPr>
                <w:rFonts w:hint="eastAsia" w:ascii="方正仿宋简体" w:hAnsi="宋体" w:eastAsia="方正仿宋简体" w:cs="宋体"/>
                <w:b/>
                <w:bCs/>
                <w:color w:val="000000"/>
                <w:sz w:val="24"/>
              </w:rPr>
              <w:t>（即当天颁发证照当天必须上传）。</w:t>
            </w:r>
          </w:p>
        </w:tc>
      </w:tr>
      <w:tr>
        <w:tblPrEx>
          <w:tblCellMar>
            <w:top w:w="0" w:type="dxa"/>
            <w:left w:w="108" w:type="dxa"/>
            <w:bottom w:w="0" w:type="dxa"/>
            <w:right w:w="108" w:type="dxa"/>
          </w:tblCellMar>
        </w:tblPrEx>
        <w:trPr>
          <w:trHeight w:val="70"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12</w:t>
            </w:r>
          </w:p>
        </w:tc>
        <w:tc>
          <w:tcPr>
            <w:tcW w:w="1302"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动态更新</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用证</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事项清单</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bCs/>
                <w:color w:val="000000"/>
                <w:sz w:val="24"/>
              </w:rPr>
            </w:pPr>
            <w:r>
              <w:rPr>
                <w:rFonts w:hint="eastAsia" w:ascii="方正仿宋简体" w:eastAsia="方正仿宋简体"/>
                <w:b/>
                <w:bCs/>
                <w:color w:val="000000"/>
                <w:sz w:val="24"/>
              </w:rPr>
              <w:t>各县（市、区）每半年不少于一次梳理、更新、发布电子证照“用证”事项清单，主动公布在政府门户网站。不断拓展电子证照减免办事材料范围，政务服务表格字段共享率、证明材料共享率分别达到60%和70%。</w:t>
            </w:r>
          </w:p>
        </w:tc>
      </w:tr>
      <w:tr>
        <w:tblPrEx>
          <w:tblCellMar>
            <w:top w:w="0" w:type="dxa"/>
            <w:left w:w="108" w:type="dxa"/>
            <w:bottom w:w="0" w:type="dxa"/>
            <w:right w:w="108" w:type="dxa"/>
          </w:tblCellMar>
        </w:tblPrEx>
        <w:trPr>
          <w:trHeight w:val="206"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13</w:t>
            </w:r>
          </w:p>
        </w:tc>
        <w:tc>
          <w:tcPr>
            <w:tcW w:w="1302"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建立无证明城市运营服务体系</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各县（市、区）要在2个工作日内对企业群众反映的电子证照数据质量问题进行反馈，县级层面能够解决的问题，确保当日解决。各县（市、区）要积极形成“无证明城市”应用场景、案例新闻稿，通过新闻报道、自媒体、微信公众号等形式进行发布、宣传。</w:t>
            </w:r>
          </w:p>
        </w:tc>
      </w:tr>
      <w:tr>
        <w:tblPrEx>
          <w:tblCellMar>
            <w:top w:w="0" w:type="dxa"/>
            <w:left w:w="108" w:type="dxa"/>
            <w:bottom w:w="0" w:type="dxa"/>
            <w:right w:w="108" w:type="dxa"/>
          </w:tblCellMar>
        </w:tblPrEx>
        <w:trPr>
          <w:trHeight w:val="362"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14</w:t>
            </w:r>
          </w:p>
        </w:tc>
        <w:tc>
          <w:tcPr>
            <w:tcW w:w="1302"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强化电子证照证明应用</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各县（市、区）要积极探索电子证照证明在政务服务和社会化领域应用场景，将电子证照证明应用普及至个人教育、医疗、就业、文化、体育、养老、救助等高频服务场景。年底前</w:t>
            </w:r>
            <w:r>
              <w:rPr>
                <w:rFonts w:hint="eastAsia" w:ascii="方正仿宋简体" w:eastAsia="方正仿宋简体"/>
                <w:b/>
                <w:bCs/>
                <w:color w:val="000000"/>
                <w:sz w:val="24"/>
              </w:rPr>
              <w:t>110</w:t>
            </w:r>
            <w:r>
              <w:rPr>
                <w:rFonts w:hint="eastAsia" w:ascii="方正仿宋简体" w:hAnsi="宋体" w:eastAsia="方正仿宋简体" w:cs="宋体"/>
                <w:b/>
                <w:bCs/>
                <w:color w:val="000000"/>
                <w:sz w:val="24"/>
              </w:rPr>
              <w:t>个高频电子证照和</w:t>
            </w:r>
            <w:r>
              <w:rPr>
                <w:rFonts w:hint="eastAsia" w:ascii="方正仿宋简体" w:eastAsia="方正仿宋简体"/>
                <w:b/>
                <w:bCs/>
                <w:color w:val="000000"/>
                <w:sz w:val="24"/>
              </w:rPr>
              <w:t>27</w:t>
            </w:r>
            <w:r>
              <w:rPr>
                <w:rFonts w:hint="eastAsia" w:ascii="方正仿宋简体" w:hAnsi="宋体" w:eastAsia="方正仿宋简体" w:cs="宋体"/>
                <w:b/>
                <w:bCs/>
                <w:color w:val="000000"/>
                <w:sz w:val="24"/>
              </w:rPr>
              <w:t>个电子证明要全面实现</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减证办</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免证办</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w:t>
            </w:r>
          </w:p>
        </w:tc>
      </w:tr>
      <w:tr>
        <w:tblPrEx>
          <w:tblCellMar>
            <w:top w:w="0" w:type="dxa"/>
            <w:left w:w="108" w:type="dxa"/>
            <w:bottom w:w="0" w:type="dxa"/>
            <w:right w:w="108" w:type="dxa"/>
          </w:tblCellMar>
        </w:tblPrEx>
        <w:trPr>
          <w:trHeight w:val="1078"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15</w:t>
            </w:r>
          </w:p>
        </w:tc>
        <w:tc>
          <w:tcPr>
            <w:tcW w:w="1302"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noWrap/>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深化</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鲁通码</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建设应用</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各县（市、区）要深化</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鲁通码</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应用，全面推动</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一码亮证</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应用场景建设，每个县（市、区）都要开展场景化应用试点工作，接入不低于</w:t>
            </w:r>
            <w:r>
              <w:rPr>
                <w:rFonts w:hint="eastAsia" w:ascii="方正仿宋简体" w:eastAsia="方正仿宋简体"/>
                <w:b/>
                <w:bCs/>
                <w:color w:val="000000"/>
                <w:sz w:val="24"/>
              </w:rPr>
              <w:t>5</w:t>
            </w:r>
            <w:r>
              <w:rPr>
                <w:rFonts w:hint="eastAsia" w:ascii="方正仿宋简体" w:hAnsi="宋体" w:eastAsia="方正仿宋简体" w:cs="宋体"/>
                <w:b/>
                <w:bCs/>
                <w:color w:val="000000"/>
                <w:sz w:val="24"/>
              </w:rPr>
              <w:t>类高频场景，亮证亮码进景区、入公园、住酒店等高频社会应用场景在全市全面推开。</w:t>
            </w:r>
          </w:p>
        </w:tc>
      </w:tr>
      <w:tr>
        <w:tblPrEx>
          <w:tblCellMar>
            <w:top w:w="0" w:type="dxa"/>
            <w:left w:w="108" w:type="dxa"/>
            <w:bottom w:w="0" w:type="dxa"/>
            <w:right w:w="108" w:type="dxa"/>
          </w:tblCellMar>
        </w:tblPrEx>
        <w:trPr>
          <w:trHeight w:val="771"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16</w:t>
            </w:r>
          </w:p>
        </w:tc>
        <w:tc>
          <w:tcPr>
            <w:tcW w:w="4142" w:type="dxa"/>
            <w:gridSpan w:val="2"/>
            <w:tcBorders>
              <w:top w:val="single" w:color="auto" w:sz="4" w:space="0"/>
              <w:left w:val="nil"/>
              <w:bottom w:val="single" w:color="auto" w:sz="4" w:space="0"/>
              <w:right w:val="single" w:color="000000"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扩大</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惠企通</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平台应用成效</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各县（市、区）要加大</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惠企通</w:t>
            </w:r>
            <w:r>
              <w:rPr>
                <w:rFonts w:hint="eastAsia" w:ascii="方正仿宋简体" w:eastAsia="方正仿宋简体"/>
                <w:b/>
                <w:bCs/>
                <w:color w:val="000000"/>
                <w:sz w:val="24"/>
              </w:rPr>
              <w:t>”</w:t>
            </w:r>
            <w:r>
              <w:rPr>
                <w:rFonts w:hint="default" w:ascii="方正仿宋简体" w:eastAsia="方正仿宋简体"/>
                <w:b/>
                <w:bCs/>
                <w:color w:val="000000"/>
                <w:sz w:val="24"/>
              </w:rPr>
              <w:t>服务</w:t>
            </w:r>
            <w:r>
              <w:rPr>
                <w:rFonts w:hint="eastAsia" w:ascii="方正仿宋简体" w:hAnsi="宋体" w:eastAsia="方正仿宋简体" w:cs="宋体"/>
                <w:b/>
                <w:bCs/>
                <w:color w:val="000000"/>
                <w:sz w:val="24"/>
              </w:rPr>
              <w:t>平台推广应用力度，明确专人负责更新惠企政策，实现政策收集、发布、解读、推送、申报、兑现等全环节、全流程线上办理。</w:t>
            </w:r>
          </w:p>
        </w:tc>
      </w:tr>
      <w:tr>
        <w:tblPrEx>
          <w:tblCellMar>
            <w:top w:w="0" w:type="dxa"/>
            <w:left w:w="108" w:type="dxa"/>
            <w:bottom w:w="0" w:type="dxa"/>
            <w:right w:w="108" w:type="dxa"/>
          </w:tblCellMar>
        </w:tblPrEx>
        <w:trPr>
          <w:trHeight w:val="489"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17</w:t>
            </w:r>
          </w:p>
        </w:tc>
        <w:tc>
          <w:tcPr>
            <w:tcW w:w="4142" w:type="dxa"/>
            <w:gridSpan w:val="2"/>
            <w:tcBorders>
              <w:top w:val="single" w:color="auto" w:sz="4" w:space="0"/>
              <w:left w:val="nil"/>
              <w:bottom w:val="single" w:color="auto" w:sz="4" w:space="0"/>
              <w:right w:val="single" w:color="000000"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强化监管执法数字化应用</w:t>
            </w:r>
          </w:p>
        </w:tc>
        <w:tc>
          <w:tcPr>
            <w:tcW w:w="9041" w:type="dxa"/>
            <w:tcBorders>
              <w:top w:val="nil"/>
              <w:left w:val="nil"/>
              <w:bottom w:val="single" w:color="auto" w:sz="4" w:space="0"/>
              <w:right w:val="single" w:color="auto" w:sz="4" w:space="0"/>
            </w:tcBorders>
            <w:vAlign w:val="center"/>
          </w:tcPr>
          <w:p>
            <w:pPr>
              <w:widowControl/>
              <w:spacing w:line="28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逐步实现行政执法全流程数字化运行、管理和监督。加快“双随机、一公开”以及信用监管在市场治理领域的融合应用，推动涉企信息统一归集，建立精准靶向的监管机制，实现风险动态评估和分类监管；持续推进监管数据汇聚，监管行为及时率要持续保持</w:t>
            </w:r>
            <w:r>
              <w:rPr>
                <w:rFonts w:hint="eastAsia" w:ascii="方正仿宋简体" w:eastAsia="方正仿宋简体"/>
                <w:b/>
                <w:bCs/>
                <w:color w:val="000000"/>
                <w:sz w:val="24"/>
              </w:rPr>
              <w:t>100%</w:t>
            </w:r>
            <w:r>
              <w:rPr>
                <w:rFonts w:hint="eastAsia" w:ascii="方正仿宋简体" w:hAnsi="宋体" w:eastAsia="方正仿宋简体" w:cs="宋体"/>
                <w:b/>
                <w:bCs/>
                <w:color w:val="000000"/>
                <w:sz w:val="24"/>
              </w:rPr>
              <w:t>，监管事项覆盖率要在</w:t>
            </w:r>
            <w:r>
              <w:rPr>
                <w:rFonts w:hint="eastAsia" w:ascii="方正仿宋简体" w:eastAsia="方正仿宋简体"/>
                <w:b/>
                <w:bCs/>
                <w:color w:val="000000"/>
                <w:sz w:val="24"/>
              </w:rPr>
              <w:t>11</w:t>
            </w:r>
            <w:r>
              <w:rPr>
                <w:rFonts w:hint="eastAsia" w:ascii="方正仿宋简体" w:hAnsi="宋体" w:eastAsia="方正仿宋简体" w:cs="宋体"/>
                <w:b/>
                <w:bCs/>
                <w:color w:val="000000"/>
                <w:sz w:val="24"/>
              </w:rPr>
              <w:t>月底前实现</w:t>
            </w:r>
            <w:r>
              <w:rPr>
                <w:rFonts w:hint="eastAsia" w:ascii="方正仿宋简体" w:eastAsia="方正仿宋简体"/>
                <w:b/>
                <w:bCs/>
                <w:color w:val="000000"/>
                <w:sz w:val="24"/>
              </w:rPr>
              <w:t>100%</w:t>
            </w:r>
            <w:r>
              <w:rPr>
                <w:rFonts w:hint="eastAsia" w:ascii="方正仿宋简体" w:hAnsi="宋体" w:eastAsia="方正仿宋简体" w:cs="宋体"/>
                <w:b/>
                <w:bCs/>
                <w:color w:val="000000"/>
                <w:sz w:val="24"/>
              </w:rPr>
              <w:t>。</w:t>
            </w:r>
          </w:p>
        </w:tc>
      </w:tr>
      <w:tr>
        <w:tblPrEx>
          <w:tblCellMar>
            <w:top w:w="0" w:type="dxa"/>
            <w:left w:w="108" w:type="dxa"/>
            <w:bottom w:w="0" w:type="dxa"/>
            <w:right w:w="108" w:type="dxa"/>
          </w:tblCellMar>
        </w:tblPrEx>
        <w:trPr>
          <w:trHeight w:val="1336"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18</w:t>
            </w:r>
          </w:p>
        </w:tc>
        <w:tc>
          <w:tcPr>
            <w:tcW w:w="1302" w:type="dxa"/>
            <w:vMerge w:val="restart"/>
            <w:tcBorders>
              <w:top w:val="nil"/>
              <w:left w:val="single" w:color="auto" w:sz="4" w:space="0"/>
              <w:bottom w:val="single" w:color="000000" w:sz="4" w:space="0"/>
              <w:right w:val="single" w:color="auto" w:sz="4" w:space="0"/>
            </w:tcBorders>
            <w:noWrap/>
            <w:vAlign w:val="center"/>
          </w:tcPr>
          <w:p>
            <w:pPr>
              <w:widowControl/>
              <w:spacing w:line="320" w:lineRule="exact"/>
              <w:jc w:val="center"/>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数字机关</w:t>
            </w: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推进应用系统接入</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山东通</w:t>
            </w:r>
            <w:r>
              <w:rPr>
                <w:rFonts w:hint="eastAsia" w:ascii="方正仿宋简体" w:eastAsia="方正仿宋简体"/>
                <w:b/>
                <w:bCs/>
                <w:color w:val="000000"/>
                <w:sz w:val="24"/>
              </w:rPr>
              <w:t>”</w:t>
            </w:r>
          </w:p>
        </w:tc>
        <w:tc>
          <w:tcPr>
            <w:tcW w:w="904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textAlignment w:val="auto"/>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持续推动应用系统接入</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山东通</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，各县（市、区）要制定年度应用系统接入计划，有序推动优质应用接入，</w:t>
            </w:r>
            <w:r>
              <w:rPr>
                <w:rFonts w:hint="eastAsia" w:ascii="方正仿宋简体" w:eastAsia="方正仿宋简体"/>
                <w:b/>
                <w:bCs/>
                <w:color w:val="000000"/>
                <w:sz w:val="24"/>
              </w:rPr>
              <w:t>11</w:t>
            </w:r>
            <w:r>
              <w:rPr>
                <w:rFonts w:hint="eastAsia" w:ascii="方正仿宋简体" w:hAnsi="宋体" w:eastAsia="方正仿宋简体" w:cs="宋体"/>
                <w:b/>
                <w:bCs/>
                <w:color w:val="000000"/>
                <w:sz w:val="24"/>
              </w:rPr>
              <w:t>月底前，各县（市、区）入驻</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山东通</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系统总数要达到</w:t>
            </w:r>
            <w:r>
              <w:rPr>
                <w:rFonts w:hint="eastAsia" w:ascii="方正仿宋简体" w:eastAsia="方正仿宋简体"/>
                <w:b/>
                <w:bCs/>
                <w:color w:val="000000"/>
                <w:sz w:val="24"/>
              </w:rPr>
              <w:t>6</w:t>
            </w:r>
            <w:r>
              <w:rPr>
                <w:rFonts w:hint="eastAsia" w:ascii="方正仿宋简体" w:hAnsi="宋体" w:eastAsia="方正仿宋简体" w:cs="宋体"/>
                <w:b/>
                <w:bCs/>
                <w:color w:val="000000"/>
                <w:sz w:val="24"/>
              </w:rPr>
              <w:t>个以上，年底前非涉密对公业务系统全部接入，加强</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山东通</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已上架应用管理，提高接入应用使用人次及使用率，及时清理下架使用频次低、功能简单、存有安全隐患的应用系统。</w:t>
            </w:r>
          </w:p>
        </w:tc>
      </w:tr>
      <w:tr>
        <w:tblPrEx>
          <w:tblCellMar>
            <w:top w:w="0" w:type="dxa"/>
            <w:left w:w="108" w:type="dxa"/>
            <w:bottom w:w="0" w:type="dxa"/>
            <w:right w:w="108" w:type="dxa"/>
          </w:tblCellMar>
        </w:tblPrEx>
        <w:trPr>
          <w:trHeight w:val="1020"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19</w:t>
            </w:r>
          </w:p>
        </w:tc>
        <w:tc>
          <w:tcPr>
            <w:tcW w:w="1302"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bCs/>
                <w:color w:val="000000"/>
                <w:sz w:val="24"/>
              </w:rPr>
            </w:pPr>
            <w:r>
              <w:rPr>
                <w:rFonts w:hint="eastAsia" w:ascii="方正仿宋简体" w:eastAsia="方正仿宋简体"/>
                <w:b/>
                <w:bCs/>
                <w:color w:val="000000"/>
                <w:sz w:val="24"/>
              </w:rPr>
              <w:t>“一件事”办理</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实施机关对公事项多部门联办</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一件事</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集成改革，开展多部门联办</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一件事</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梳理，规范跨部门事项标准化办理程序，推动机关运行流程再造，</w:t>
            </w:r>
            <w:r>
              <w:rPr>
                <w:rFonts w:hint="eastAsia" w:ascii="方正仿宋简体" w:eastAsia="方正仿宋简体"/>
                <w:b/>
                <w:bCs/>
                <w:color w:val="000000"/>
                <w:sz w:val="24"/>
              </w:rPr>
              <w:t>10</w:t>
            </w:r>
            <w:r>
              <w:rPr>
                <w:rFonts w:hint="eastAsia" w:ascii="方正仿宋简体" w:hAnsi="宋体" w:eastAsia="方正仿宋简体" w:cs="宋体"/>
                <w:b/>
                <w:bCs/>
                <w:color w:val="000000"/>
                <w:sz w:val="24"/>
              </w:rPr>
              <w:t>月底前，每个县（市、区）打造</w:t>
            </w:r>
            <w:r>
              <w:rPr>
                <w:rFonts w:hint="eastAsia" w:ascii="方正仿宋简体" w:eastAsia="方正仿宋简体"/>
                <w:b/>
                <w:bCs/>
                <w:color w:val="000000"/>
                <w:sz w:val="24"/>
              </w:rPr>
              <w:t>2</w:t>
            </w:r>
            <w:r>
              <w:rPr>
                <w:rFonts w:hint="eastAsia" w:ascii="方正仿宋简体" w:hAnsi="宋体" w:eastAsia="方正仿宋简体" w:cs="宋体"/>
                <w:b/>
                <w:bCs/>
                <w:color w:val="000000"/>
                <w:sz w:val="24"/>
              </w:rPr>
              <w:t>个以上多部门联办</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一件事</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w:t>
            </w:r>
          </w:p>
        </w:tc>
      </w:tr>
      <w:tr>
        <w:tblPrEx>
          <w:tblCellMar>
            <w:top w:w="0" w:type="dxa"/>
            <w:left w:w="108" w:type="dxa"/>
            <w:bottom w:w="0" w:type="dxa"/>
            <w:right w:w="108" w:type="dxa"/>
          </w:tblCellMar>
        </w:tblPrEx>
        <w:trPr>
          <w:trHeight w:val="660"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20</w:t>
            </w:r>
          </w:p>
        </w:tc>
        <w:tc>
          <w:tcPr>
            <w:tcW w:w="1302"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数据资源管理</w:t>
            </w:r>
          </w:p>
        </w:tc>
        <w:tc>
          <w:tcPr>
            <w:tcW w:w="2840" w:type="dxa"/>
            <w:tcBorders>
              <w:top w:val="nil"/>
              <w:left w:val="nil"/>
              <w:bottom w:val="single" w:color="auto" w:sz="4" w:space="0"/>
              <w:right w:val="single" w:color="auto" w:sz="4" w:space="0"/>
            </w:tcBorders>
            <w:noWrap/>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加强数据汇聚</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各县（市、区）政务数据目录全部挂载有效资源，目录信息规范合格，政务数据汇聚率达到100%。</w:t>
            </w:r>
          </w:p>
        </w:tc>
      </w:tr>
      <w:tr>
        <w:tblPrEx>
          <w:tblCellMar>
            <w:top w:w="0" w:type="dxa"/>
            <w:left w:w="108" w:type="dxa"/>
            <w:bottom w:w="0" w:type="dxa"/>
            <w:right w:w="108" w:type="dxa"/>
          </w:tblCellMar>
        </w:tblPrEx>
        <w:trPr>
          <w:trHeight w:val="942"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21</w:t>
            </w:r>
          </w:p>
        </w:tc>
        <w:tc>
          <w:tcPr>
            <w:tcW w:w="1302"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noWrap/>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强化数据共享</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各县（市、区）加强对国家、省级数据申请应用，对应用数据种类、数据汇聚、共享开放等情况定期“晾晒”，督促各级各部门在3个工作日内响应数据需求，逐月开展数据质量校核和通报整改。</w:t>
            </w:r>
          </w:p>
        </w:tc>
      </w:tr>
      <w:tr>
        <w:tblPrEx>
          <w:tblCellMar>
            <w:top w:w="0" w:type="dxa"/>
            <w:left w:w="108" w:type="dxa"/>
            <w:bottom w:w="0" w:type="dxa"/>
            <w:right w:w="108" w:type="dxa"/>
          </w:tblCellMar>
        </w:tblPrEx>
        <w:trPr>
          <w:trHeight w:val="70"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22</w:t>
            </w:r>
          </w:p>
        </w:tc>
        <w:tc>
          <w:tcPr>
            <w:tcW w:w="1302"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noWrap/>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加强数据开放</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政务数据开放数据量和质量进一步提升，数据资源按时更新，政务数据开放率达到</w:t>
            </w:r>
            <w:r>
              <w:rPr>
                <w:rFonts w:hint="eastAsia" w:ascii="方正仿宋简体" w:eastAsia="方正仿宋简体"/>
                <w:b/>
                <w:bCs/>
                <w:color w:val="000000"/>
                <w:sz w:val="24"/>
              </w:rPr>
              <w:t>100%</w:t>
            </w:r>
            <w:r>
              <w:rPr>
                <w:rFonts w:hint="eastAsia" w:ascii="方正仿宋简体" w:hAnsi="宋体" w:eastAsia="方正仿宋简体" w:cs="宋体"/>
                <w:b/>
                <w:bCs/>
                <w:color w:val="000000"/>
                <w:sz w:val="24"/>
              </w:rPr>
              <w:t>。</w:t>
            </w:r>
          </w:p>
        </w:tc>
      </w:tr>
      <w:tr>
        <w:tblPrEx>
          <w:tblCellMar>
            <w:top w:w="0" w:type="dxa"/>
            <w:left w:w="108" w:type="dxa"/>
            <w:bottom w:w="0" w:type="dxa"/>
            <w:right w:w="108" w:type="dxa"/>
          </w:tblCellMar>
        </w:tblPrEx>
        <w:trPr>
          <w:trHeight w:val="1456"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23</w:t>
            </w:r>
          </w:p>
        </w:tc>
        <w:tc>
          <w:tcPr>
            <w:tcW w:w="1302"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noWrap/>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一体化大数据平台建设</w:t>
            </w:r>
          </w:p>
        </w:tc>
        <w:tc>
          <w:tcPr>
            <w:tcW w:w="9041" w:type="dxa"/>
            <w:tcBorders>
              <w:top w:val="nil"/>
              <w:left w:val="nil"/>
              <w:bottom w:val="single" w:color="auto" w:sz="4" w:space="0"/>
              <w:right w:val="single" w:color="auto" w:sz="4" w:space="0"/>
            </w:tcBorders>
            <w:vAlign w:val="center"/>
          </w:tcPr>
          <w:p>
            <w:pPr>
              <w:widowControl/>
              <w:spacing w:line="260" w:lineRule="exact"/>
              <w:rPr>
                <w:rFonts w:ascii="方正仿宋简体" w:eastAsia="方正仿宋简体"/>
                <w:b/>
                <w:bCs/>
                <w:sz w:val="24"/>
              </w:rPr>
            </w:pPr>
            <w:r>
              <w:rPr>
                <w:rFonts w:hint="eastAsia" w:ascii="方正仿宋简体" w:eastAsia="方正仿宋简体"/>
                <w:b/>
                <w:bCs/>
                <w:sz w:val="24"/>
              </w:rPr>
              <w:t>入选第一批县级数据节点试点、国家数据直达基层试点的县（市、区），要继续强化数据平台应用，增强数据归集、数据治理、大数据分析和应用等能力。其他县（市、区）要全面参与第二批县级数据节点试点，提前筹备或开展县级数据节点建设工作，2023年底前所有县（市、区）要全面完成一体化大数据平台县级节点建设。有条件县（市、区）积极探索建立镇街社区数据服务平台。</w:t>
            </w:r>
          </w:p>
        </w:tc>
      </w:tr>
      <w:tr>
        <w:tblPrEx>
          <w:tblCellMar>
            <w:top w:w="0" w:type="dxa"/>
            <w:left w:w="108" w:type="dxa"/>
            <w:bottom w:w="0" w:type="dxa"/>
            <w:right w:w="108" w:type="dxa"/>
          </w:tblCellMar>
        </w:tblPrEx>
        <w:trPr>
          <w:trHeight w:val="715"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24</w:t>
            </w:r>
          </w:p>
        </w:tc>
        <w:tc>
          <w:tcPr>
            <w:tcW w:w="1302"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采集公共数据</w:t>
            </w:r>
          </w:p>
        </w:tc>
        <w:tc>
          <w:tcPr>
            <w:tcW w:w="9041" w:type="dxa"/>
            <w:tcBorders>
              <w:top w:val="nil"/>
              <w:left w:val="nil"/>
              <w:bottom w:val="single" w:color="auto" w:sz="4" w:space="0"/>
              <w:right w:val="single" w:color="auto" w:sz="4" w:space="0"/>
            </w:tcBorders>
            <w:vAlign w:val="center"/>
          </w:tcPr>
          <w:p>
            <w:pPr>
              <w:widowControl/>
              <w:spacing w:line="260" w:lineRule="exact"/>
              <w:rPr>
                <w:rFonts w:ascii="方正仿宋简体" w:eastAsia="方正仿宋简体"/>
                <w:b/>
                <w:bCs/>
                <w:sz w:val="24"/>
              </w:rPr>
            </w:pPr>
            <w:r>
              <w:rPr>
                <w:rFonts w:hint="eastAsia" w:ascii="方正仿宋简体" w:eastAsia="方正仿宋简体"/>
                <w:b/>
                <w:bCs/>
                <w:sz w:val="24"/>
              </w:rPr>
              <w:t>各县（市、区）持续做好水、气、暖、公交数据采集工作，每月按时更新维护数据资源，提高数据字段填报率，证件号码和名称等关键字段填报率要达到90%以上。</w:t>
            </w:r>
          </w:p>
        </w:tc>
      </w:tr>
      <w:tr>
        <w:tblPrEx>
          <w:tblCellMar>
            <w:top w:w="0" w:type="dxa"/>
            <w:left w:w="108" w:type="dxa"/>
            <w:bottom w:w="0" w:type="dxa"/>
            <w:right w:w="108" w:type="dxa"/>
          </w:tblCellMar>
        </w:tblPrEx>
        <w:trPr>
          <w:trHeight w:val="1078"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25</w:t>
            </w:r>
          </w:p>
        </w:tc>
        <w:tc>
          <w:tcPr>
            <w:tcW w:w="1302"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视频智能应用治理</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视频资源实现</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应接尽接</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应存尽存</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，年内全市新增视频资源数量达到</w:t>
            </w:r>
            <w:r>
              <w:rPr>
                <w:rFonts w:hint="eastAsia" w:ascii="方正仿宋简体" w:eastAsia="方正仿宋简体"/>
                <w:b/>
                <w:bCs/>
                <w:color w:val="000000"/>
                <w:sz w:val="24"/>
              </w:rPr>
              <w:t>8</w:t>
            </w:r>
            <w:r>
              <w:rPr>
                <w:rFonts w:hint="eastAsia" w:ascii="方正仿宋简体" w:hAnsi="宋体" w:eastAsia="方正仿宋简体" w:cs="宋体"/>
                <w:b/>
                <w:bCs/>
                <w:color w:val="000000"/>
                <w:sz w:val="24"/>
              </w:rPr>
              <w:t>万路以上，视频在线率</w:t>
            </w:r>
            <w:r>
              <w:rPr>
                <w:rFonts w:hint="eastAsia" w:ascii="方正仿宋简体" w:eastAsia="方正仿宋简体"/>
                <w:b/>
                <w:bCs/>
                <w:color w:val="000000"/>
                <w:sz w:val="24"/>
              </w:rPr>
              <w:t>95%</w:t>
            </w:r>
            <w:r>
              <w:rPr>
                <w:rFonts w:hint="eastAsia" w:ascii="方正仿宋简体" w:hAnsi="宋体" w:eastAsia="方正仿宋简体" w:cs="宋体"/>
                <w:b/>
                <w:bCs/>
                <w:color w:val="000000"/>
                <w:sz w:val="24"/>
              </w:rPr>
              <w:t>以上，出图率</w:t>
            </w:r>
            <w:r>
              <w:rPr>
                <w:rFonts w:hint="eastAsia" w:ascii="方正仿宋简体" w:eastAsia="方正仿宋简体"/>
                <w:b/>
                <w:bCs/>
                <w:color w:val="000000"/>
                <w:sz w:val="24"/>
              </w:rPr>
              <w:t>90%</w:t>
            </w:r>
            <w:r>
              <w:rPr>
                <w:rFonts w:hint="eastAsia" w:ascii="方正仿宋简体" w:hAnsi="宋体" w:eastAsia="方正仿宋简体" w:cs="宋体"/>
                <w:b/>
                <w:bCs/>
                <w:color w:val="000000"/>
                <w:sz w:val="24"/>
              </w:rPr>
              <w:t>以上，目录规范率达到</w:t>
            </w:r>
            <w:r>
              <w:rPr>
                <w:rFonts w:hint="eastAsia" w:ascii="方正仿宋简体" w:eastAsia="方正仿宋简体"/>
                <w:b/>
                <w:bCs/>
                <w:color w:val="000000"/>
                <w:sz w:val="24"/>
              </w:rPr>
              <w:t>100%</w:t>
            </w:r>
            <w:r>
              <w:rPr>
                <w:rFonts w:hint="eastAsia" w:ascii="方正仿宋简体" w:hAnsi="宋体" w:eastAsia="方正仿宋简体" w:cs="宋体"/>
                <w:b/>
                <w:bCs/>
                <w:color w:val="000000"/>
                <w:sz w:val="24"/>
              </w:rPr>
              <w:t>，每个县（市、区）打造不少于</w:t>
            </w:r>
            <w:r>
              <w:rPr>
                <w:rFonts w:hint="eastAsia" w:ascii="方正仿宋简体" w:eastAsia="方正仿宋简体"/>
                <w:b/>
                <w:bCs/>
                <w:color w:val="000000"/>
                <w:sz w:val="24"/>
              </w:rPr>
              <w:t>3</w:t>
            </w:r>
            <w:r>
              <w:rPr>
                <w:rFonts w:hint="eastAsia" w:ascii="方正仿宋简体" w:hAnsi="宋体" w:eastAsia="方正仿宋简体" w:cs="宋体"/>
                <w:b/>
                <w:bCs/>
                <w:color w:val="000000"/>
                <w:sz w:val="24"/>
              </w:rPr>
              <w:t>个优秀视频智能应用案例。</w:t>
            </w:r>
          </w:p>
        </w:tc>
      </w:tr>
      <w:tr>
        <w:tblPrEx>
          <w:tblCellMar>
            <w:top w:w="0" w:type="dxa"/>
            <w:left w:w="108" w:type="dxa"/>
            <w:bottom w:w="0" w:type="dxa"/>
            <w:right w:w="108" w:type="dxa"/>
          </w:tblCellMar>
        </w:tblPrEx>
        <w:trPr>
          <w:trHeight w:val="1080"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26</w:t>
            </w:r>
          </w:p>
        </w:tc>
        <w:tc>
          <w:tcPr>
            <w:tcW w:w="1302"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数据创新应用</w:t>
            </w: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打造优秀大数据创新应用场景</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各县（市、区）要对照《关于开展大数据创新应用提升行动的通知》</w:t>
            </w:r>
            <w:r>
              <w:rPr>
                <w:rFonts w:hint="default" w:ascii="方正仿宋简体" w:hAnsi="宋体" w:eastAsia="方正仿宋简体" w:cs="宋体"/>
                <w:b/>
                <w:bCs/>
                <w:sz w:val="24"/>
              </w:rPr>
              <w:t>（</w:t>
            </w:r>
            <w:r>
              <w:rPr>
                <w:rFonts w:hint="eastAsia" w:ascii="方正仿宋简体" w:hAnsi="宋体" w:eastAsia="方正仿宋简体" w:cs="宋体"/>
                <w:b/>
                <w:bCs/>
                <w:sz w:val="24"/>
              </w:rPr>
              <w:t>鲁数字〔2023〕38号），完成</w:t>
            </w:r>
            <w:r>
              <w:rPr>
                <w:rFonts w:hint="eastAsia" w:ascii="方正仿宋简体" w:eastAsia="方正仿宋简体"/>
                <w:b/>
                <w:bCs/>
                <w:sz w:val="24"/>
              </w:rPr>
              <w:t>20</w:t>
            </w:r>
            <w:r>
              <w:rPr>
                <w:rFonts w:hint="eastAsia" w:ascii="方正仿宋简体" w:hAnsi="宋体" w:eastAsia="方正仿宋简体" w:cs="宋体"/>
                <w:b/>
                <w:bCs/>
                <w:sz w:val="24"/>
              </w:rPr>
              <w:t>个推广复用场景和重点应用场景打造。年底前争取</w:t>
            </w:r>
            <w:r>
              <w:rPr>
                <w:rFonts w:hint="eastAsia" w:ascii="方正仿宋简体" w:eastAsia="方正仿宋简体"/>
                <w:b/>
                <w:bCs/>
                <w:sz w:val="24"/>
              </w:rPr>
              <w:t>1</w:t>
            </w:r>
            <w:r>
              <w:rPr>
                <w:rFonts w:hint="eastAsia" w:ascii="方正仿宋简体" w:hAnsi="宋体" w:eastAsia="方正仿宋简体" w:cs="宋体"/>
                <w:b/>
                <w:bCs/>
                <w:sz w:val="24"/>
              </w:rPr>
              <w:t>个以上应用场景入选全省数据应用优秀案例。</w:t>
            </w:r>
          </w:p>
        </w:tc>
      </w:tr>
      <w:tr>
        <w:tblPrEx>
          <w:tblCellMar>
            <w:top w:w="0" w:type="dxa"/>
            <w:left w:w="108" w:type="dxa"/>
            <w:bottom w:w="0" w:type="dxa"/>
            <w:right w:w="108" w:type="dxa"/>
          </w:tblCellMar>
        </w:tblPrEx>
        <w:trPr>
          <w:trHeight w:val="942"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27</w:t>
            </w:r>
          </w:p>
        </w:tc>
        <w:tc>
          <w:tcPr>
            <w:tcW w:w="1302" w:type="dxa"/>
            <w:vMerge w:val="continue"/>
            <w:tcBorders>
              <w:top w:val="nil"/>
              <w:left w:val="single" w:color="auto" w:sz="4" w:space="0"/>
              <w:bottom w:val="single" w:color="auto"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成立数据开放暨创新应用实验室</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参与数据开放暨创新应用实验室建设的县（市、区），要全面参与省大数据局揭榜挂帅工作任务，围绕健康医疗、金融服务等重点领域，每个实验室打造一个以上亮点应用，提升政务数据和社会数据融合应用水平。</w:t>
            </w:r>
          </w:p>
        </w:tc>
      </w:tr>
      <w:tr>
        <w:tblPrEx>
          <w:tblCellMar>
            <w:top w:w="0" w:type="dxa"/>
            <w:left w:w="108" w:type="dxa"/>
            <w:bottom w:w="0" w:type="dxa"/>
            <w:right w:w="108" w:type="dxa"/>
          </w:tblCellMar>
        </w:tblPrEx>
        <w:trPr>
          <w:trHeight w:val="784"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28</w:t>
            </w:r>
          </w:p>
        </w:tc>
        <w:tc>
          <w:tcPr>
            <w:tcW w:w="1302" w:type="dxa"/>
            <w:vMerge w:val="restart"/>
            <w:tcBorders>
              <w:top w:val="nil"/>
              <w:left w:val="single" w:color="auto" w:sz="4" w:space="0"/>
              <w:bottom w:val="nil"/>
              <w:right w:val="single" w:color="auto" w:sz="4" w:space="0"/>
            </w:tcBorders>
            <w:vAlign w:val="center"/>
          </w:tcPr>
          <w:p>
            <w:pPr>
              <w:widowControl/>
              <w:spacing w:line="320" w:lineRule="exact"/>
              <w:jc w:val="center"/>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强化数字公共服务供给</w:t>
            </w: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推进</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智慧校园</w:t>
            </w:r>
            <w:r>
              <w:rPr>
                <w:rFonts w:hint="eastAsia" w:ascii="方正仿宋简体" w:eastAsia="方正仿宋简体"/>
                <w:b/>
                <w:bCs/>
                <w:color w:val="000000"/>
                <w:sz w:val="24"/>
              </w:rPr>
              <w:t>”</w:t>
            </w:r>
            <w:r>
              <w:rPr>
                <w:rFonts w:hint="eastAsia" w:ascii="方正仿宋简体" w:hAnsi="宋体" w:eastAsia="方正仿宋简体" w:cs="宋体"/>
                <w:b/>
                <w:bCs/>
                <w:color w:val="000000"/>
                <w:sz w:val="24"/>
              </w:rPr>
              <w:t>建设</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bCs/>
                <w:color w:val="000000"/>
                <w:sz w:val="24"/>
              </w:rPr>
            </w:pPr>
            <w:r>
              <w:rPr>
                <w:rFonts w:hint="eastAsia" w:ascii="方正仿宋简体" w:eastAsia="方正仿宋简体"/>
                <w:b/>
                <w:bCs/>
                <w:color w:val="000000"/>
                <w:sz w:val="24"/>
              </w:rPr>
              <w:t>“智慧校园”覆盖率达到80%以上，建设一批城乡中小学优质资源共享的教学模式改革示范项目。</w:t>
            </w:r>
          </w:p>
        </w:tc>
      </w:tr>
      <w:tr>
        <w:tblPrEx>
          <w:tblCellMar>
            <w:top w:w="0" w:type="dxa"/>
            <w:left w:w="108" w:type="dxa"/>
            <w:bottom w:w="0" w:type="dxa"/>
            <w:right w:w="108" w:type="dxa"/>
          </w:tblCellMar>
        </w:tblPrEx>
        <w:trPr>
          <w:trHeight w:val="942"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29</w:t>
            </w:r>
          </w:p>
        </w:tc>
        <w:tc>
          <w:tcPr>
            <w:tcW w:w="1302" w:type="dxa"/>
            <w:vMerge w:val="continue"/>
            <w:tcBorders>
              <w:top w:val="nil"/>
              <w:left w:val="single" w:color="auto" w:sz="4" w:space="0"/>
              <w:bottom w:val="nil"/>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智慧医疗建设</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实现全市范围内二级及以上综合医疗机构间医疗健康信息互通共享，推进医疗收费电子结算凭证创新应用，年底前二级及以上定点医疗机构实现医保电子凭证全流程应用</w:t>
            </w:r>
            <w:r>
              <w:rPr>
                <w:rFonts w:hint="default" w:ascii="方正仿宋简体" w:hAnsi="宋体" w:eastAsia="方正仿宋简体" w:cs="宋体"/>
                <w:b/>
                <w:bCs/>
                <w:color w:val="000000"/>
                <w:sz w:val="24"/>
              </w:rPr>
              <w:t>和</w:t>
            </w:r>
            <w:r>
              <w:rPr>
                <w:rFonts w:hint="eastAsia" w:ascii="方正仿宋简体" w:hAnsi="宋体" w:eastAsia="方正仿宋简体" w:cs="宋体"/>
                <w:b/>
                <w:bCs/>
                <w:color w:val="000000"/>
                <w:sz w:val="24"/>
              </w:rPr>
              <w:t>省内异地就医手工报销线上申请办理。</w:t>
            </w:r>
          </w:p>
        </w:tc>
      </w:tr>
      <w:tr>
        <w:tblPrEx>
          <w:tblCellMar>
            <w:top w:w="0" w:type="dxa"/>
            <w:left w:w="108" w:type="dxa"/>
            <w:bottom w:w="0" w:type="dxa"/>
            <w:right w:w="108" w:type="dxa"/>
          </w:tblCellMar>
        </w:tblPrEx>
        <w:trPr>
          <w:trHeight w:val="70"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30</w:t>
            </w:r>
          </w:p>
        </w:tc>
        <w:tc>
          <w:tcPr>
            <w:tcW w:w="1302" w:type="dxa"/>
            <w:vMerge w:val="continue"/>
            <w:tcBorders>
              <w:top w:val="nil"/>
              <w:left w:val="single" w:color="auto" w:sz="4" w:space="0"/>
              <w:bottom w:val="nil"/>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智慧景区建设</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推动重点景区票务系统整合应用，优化在线购票服务体验。</w:t>
            </w:r>
          </w:p>
        </w:tc>
      </w:tr>
      <w:tr>
        <w:tblPrEx>
          <w:tblCellMar>
            <w:top w:w="0" w:type="dxa"/>
            <w:left w:w="108" w:type="dxa"/>
            <w:bottom w:w="0" w:type="dxa"/>
            <w:right w:w="108" w:type="dxa"/>
          </w:tblCellMar>
        </w:tblPrEx>
        <w:trPr>
          <w:trHeight w:val="70"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31</w:t>
            </w:r>
          </w:p>
        </w:tc>
        <w:tc>
          <w:tcPr>
            <w:tcW w:w="1302" w:type="dxa"/>
            <w:vMerge w:val="continue"/>
            <w:tcBorders>
              <w:top w:val="nil"/>
              <w:left w:val="single" w:color="auto" w:sz="4" w:space="0"/>
              <w:bottom w:val="nil"/>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社会救助</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用好省低收入人口监测信息平台，提升对符合条件的困难群众救助服务效能。</w:t>
            </w:r>
          </w:p>
        </w:tc>
      </w:tr>
      <w:tr>
        <w:tblPrEx>
          <w:tblCellMar>
            <w:top w:w="0" w:type="dxa"/>
            <w:left w:w="108" w:type="dxa"/>
            <w:bottom w:w="0" w:type="dxa"/>
            <w:right w:w="108" w:type="dxa"/>
          </w:tblCellMar>
        </w:tblPrEx>
        <w:trPr>
          <w:trHeight w:val="1260"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32</w:t>
            </w:r>
          </w:p>
        </w:tc>
        <w:tc>
          <w:tcPr>
            <w:tcW w:w="1302" w:type="dxa"/>
            <w:vMerge w:val="restart"/>
            <w:tcBorders>
              <w:top w:val="single" w:color="auto" w:sz="4" w:space="0"/>
              <w:left w:val="single" w:color="auto" w:sz="4" w:space="0"/>
              <w:bottom w:val="single" w:color="000000" w:sz="4" w:space="0"/>
              <w:right w:val="single" w:color="auto" w:sz="4" w:space="0"/>
            </w:tcBorders>
            <w:vAlign w:val="center"/>
          </w:tcPr>
          <w:p>
            <w:pPr>
              <w:widowControl/>
              <w:spacing w:line="320" w:lineRule="exact"/>
              <w:jc w:val="center"/>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新型智慧城市建设</w:t>
            </w: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推动新型智慧城市提质提速</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各县（市、区）均要按照《山东省新型智慧城市建设指标》，开展四星级创建，市本级、邹城市、鱼台县、济宁高新区要完成四星级成长型新型智慧城市建设任务（其中任城区、太白湖新区、济宁经济技术开发区同市本级一起创建），其他县（市、区）要完成四星级基础型智慧城市创建任务；各县（市、区）年底前均要打造10个以上智慧城市优秀案例。</w:t>
            </w:r>
          </w:p>
        </w:tc>
      </w:tr>
      <w:tr>
        <w:tblPrEx>
          <w:tblCellMar>
            <w:top w:w="0" w:type="dxa"/>
            <w:left w:w="108" w:type="dxa"/>
            <w:bottom w:w="0" w:type="dxa"/>
            <w:right w:w="108" w:type="dxa"/>
          </w:tblCellMar>
        </w:tblPrEx>
        <w:trPr>
          <w:trHeight w:val="1680"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33</w:t>
            </w:r>
          </w:p>
        </w:tc>
        <w:tc>
          <w:tcPr>
            <w:tcW w:w="1302"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推进智慧社区建设提速扩面</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sz w:val="24"/>
              </w:rPr>
            </w:pPr>
            <w:r>
              <w:rPr>
                <w:rFonts w:hint="eastAsia" w:ascii="方正仿宋简体" w:hAnsi="宋体" w:eastAsia="方正仿宋简体" w:cs="宋体"/>
                <w:b/>
                <w:bCs/>
                <w:sz w:val="24"/>
              </w:rPr>
              <w:t>各县（市、区）智慧社区平台在所有城市社区进行部署应用，全市建设</w:t>
            </w:r>
            <w:r>
              <w:rPr>
                <w:rFonts w:hint="eastAsia" w:ascii="方正仿宋简体" w:eastAsia="方正仿宋简体"/>
                <w:b/>
                <w:bCs/>
                <w:sz w:val="24"/>
              </w:rPr>
              <w:t>14</w:t>
            </w:r>
            <w:r>
              <w:rPr>
                <w:rFonts w:hint="eastAsia" w:ascii="方正仿宋简体" w:hAnsi="宋体" w:eastAsia="方正仿宋简体" w:cs="宋体"/>
                <w:b/>
                <w:bCs/>
                <w:sz w:val="24"/>
              </w:rPr>
              <w:t>个标杆型社区（曲阜市</w:t>
            </w:r>
            <w:r>
              <w:rPr>
                <w:rFonts w:hint="eastAsia" w:ascii="方正仿宋简体" w:eastAsia="方正仿宋简体"/>
                <w:b/>
                <w:bCs/>
                <w:sz w:val="24"/>
              </w:rPr>
              <w:t>2</w:t>
            </w:r>
            <w:r>
              <w:rPr>
                <w:rFonts w:hint="eastAsia" w:ascii="方正仿宋简体" w:hAnsi="宋体" w:eastAsia="方正仿宋简体" w:cs="宋体"/>
                <w:b/>
                <w:bCs/>
                <w:sz w:val="24"/>
              </w:rPr>
              <w:t>处，其余均为</w:t>
            </w:r>
            <w:r>
              <w:rPr>
                <w:rFonts w:hint="eastAsia" w:ascii="方正仿宋简体" w:eastAsia="方正仿宋简体"/>
                <w:b/>
                <w:bCs/>
                <w:sz w:val="24"/>
              </w:rPr>
              <w:t>1</w:t>
            </w:r>
            <w:r>
              <w:rPr>
                <w:rFonts w:hint="eastAsia" w:ascii="方正仿宋简体" w:hAnsi="宋体" w:eastAsia="方正仿宋简体" w:cs="宋体"/>
                <w:b/>
                <w:bCs/>
                <w:sz w:val="24"/>
              </w:rPr>
              <w:t>处），成长型社区</w:t>
            </w:r>
            <w:r>
              <w:rPr>
                <w:rFonts w:hint="eastAsia" w:ascii="方正仿宋简体" w:eastAsia="方正仿宋简体"/>
                <w:b/>
                <w:bCs/>
                <w:sz w:val="24"/>
              </w:rPr>
              <w:t>18</w:t>
            </w:r>
            <w:r>
              <w:rPr>
                <w:rFonts w:hint="eastAsia" w:ascii="方正仿宋简体" w:hAnsi="宋体" w:eastAsia="方正仿宋简体" w:cs="宋体"/>
                <w:b/>
                <w:bCs/>
                <w:sz w:val="24"/>
              </w:rPr>
              <w:t>处（梁山县</w:t>
            </w:r>
            <w:r>
              <w:rPr>
                <w:rFonts w:hint="eastAsia" w:ascii="方正仿宋简体" w:eastAsia="方正仿宋简体"/>
                <w:b/>
                <w:bCs/>
                <w:sz w:val="24"/>
              </w:rPr>
              <w:t>5</w:t>
            </w:r>
            <w:r>
              <w:rPr>
                <w:rFonts w:hint="eastAsia" w:ascii="方正仿宋简体" w:hAnsi="宋体" w:eastAsia="方正仿宋简体" w:cs="宋体"/>
                <w:b/>
                <w:bCs/>
                <w:sz w:val="24"/>
              </w:rPr>
              <w:t>个、曲阜市</w:t>
            </w:r>
            <w:r>
              <w:rPr>
                <w:rFonts w:hint="eastAsia" w:ascii="方正仿宋简体" w:eastAsia="方正仿宋简体"/>
                <w:b/>
                <w:bCs/>
                <w:sz w:val="24"/>
              </w:rPr>
              <w:t>5</w:t>
            </w:r>
            <w:r>
              <w:rPr>
                <w:rFonts w:hint="eastAsia" w:ascii="方正仿宋简体" w:hAnsi="宋体" w:eastAsia="方正仿宋简体" w:cs="宋体"/>
                <w:b/>
                <w:bCs/>
                <w:sz w:val="24"/>
              </w:rPr>
              <w:t>个、任城区</w:t>
            </w:r>
            <w:r>
              <w:rPr>
                <w:rFonts w:hint="eastAsia" w:ascii="方正仿宋简体" w:eastAsia="方正仿宋简体"/>
                <w:b/>
                <w:bCs/>
                <w:sz w:val="24"/>
              </w:rPr>
              <w:t>4</w:t>
            </w:r>
            <w:r>
              <w:rPr>
                <w:rFonts w:hint="eastAsia" w:ascii="方正仿宋简体" w:hAnsi="宋体" w:eastAsia="方正仿宋简体" w:cs="宋体"/>
                <w:b/>
                <w:bCs/>
                <w:sz w:val="24"/>
              </w:rPr>
              <w:t>个、鱼台县</w:t>
            </w:r>
            <w:r>
              <w:rPr>
                <w:rFonts w:hint="eastAsia" w:ascii="方正仿宋简体" w:eastAsia="方正仿宋简体"/>
                <w:b/>
                <w:bCs/>
                <w:sz w:val="24"/>
              </w:rPr>
              <w:t>3</w:t>
            </w:r>
            <w:r>
              <w:rPr>
                <w:rFonts w:hint="eastAsia" w:ascii="方正仿宋简体" w:hAnsi="宋体" w:eastAsia="方正仿宋简体" w:cs="宋体"/>
                <w:b/>
                <w:bCs/>
                <w:sz w:val="24"/>
              </w:rPr>
              <w:t>个、微山县</w:t>
            </w:r>
            <w:r>
              <w:rPr>
                <w:rFonts w:hint="eastAsia" w:ascii="方正仿宋简体" w:eastAsia="方正仿宋简体"/>
                <w:b/>
                <w:bCs/>
                <w:sz w:val="24"/>
              </w:rPr>
              <w:t>1</w:t>
            </w:r>
            <w:r>
              <w:rPr>
                <w:rFonts w:hint="eastAsia" w:ascii="方正仿宋简体" w:hAnsi="宋体" w:eastAsia="方正仿宋简体" w:cs="宋体"/>
                <w:b/>
                <w:bCs/>
                <w:sz w:val="24"/>
              </w:rPr>
              <w:t>个），基础型社区</w:t>
            </w:r>
            <w:r>
              <w:rPr>
                <w:rFonts w:hint="eastAsia" w:ascii="方正仿宋简体" w:eastAsia="方正仿宋简体"/>
                <w:b/>
                <w:bCs/>
                <w:sz w:val="24"/>
              </w:rPr>
              <w:t>134</w:t>
            </w:r>
            <w:r>
              <w:rPr>
                <w:rFonts w:hint="eastAsia" w:ascii="方正仿宋简体" w:hAnsi="宋体" w:eastAsia="方正仿宋简体" w:cs="宋体"/>
                <w:b/>
                <w:bCs/>
                <w:sz w:val="24"/>
              </w:rPr>
              <w:t>个（任城区</w:t>
            </w:r>
            <w:r>
              <w:rPr>
                <w:rFonts w:hint="eastAsia" w:ascii="方正仿宋简体" w:eastAsia="方正仿宋简体"/>
                <w:b/>
                <w:bCs/>
                <w:sz w:val="24"/>
              </w:rPr>
              <w:t>38</w:t>
            </w:r>
            <w:r>
              <w:rPr>
                <w:rFonts w:hint="eastAsia" w:ascii="方正仿宋简体" w:hAnsi="宋体" w:eastAsia="方正仿宋简体" w:cs="宋体"/>
                <w:b/>
                <w:bCs/>
                <w:sz w:val="24"/>
              </w:rPr>
              <w:t>个、兖州区</w:t>
            </w:r>
            <w:r>
              <w:rPr>
                <w:rFonts w:hint="eastAsia" w:ascii="方正仿宋简体" w:eastAsia="方正仿宋简体"/>
                <w:b/>
                <w:bCs/>
                <w:sz w:val="24"/>
              </w:rPr>
              <w:t>26</w:t>
            </w:r>
            <w:r>
              <w:rPr>
                <w:rFonts w:hint="eastAsia" w:ascii="方正仿宋简体" w:hAnsi="宋体" w:eastAsia="方正仿宋简体" w:cs="宋体"/>
                <w:b/>
                <w:bCs/>
                <w:sz w:val="24"/>
              </w:rPr>
              <w:t>个、邹城市</w:t>
            </w:r>
            <w:r>
              <w:rPr>
                <w:rFonts w:hint="eastAsia" w:ascii="方正仿宋简体" w:eastAsia="方正仿宋简体"/>
                <w:b/>
                <w:bCs/>
                <w:sz w:val="24"/>
              </w:rPr>
              <w:t>14</w:t>
            </w:r>
            <w:r>
              <w:rPr>
                <w:rFonts w:hint="eastAsia" w:ascii="方正仿宋简体" w:hAnsi="宋体" w:eastAsia="方正仿宋简体" w:cs="宋体"/>
                <w:b/>
                <w:bCs/>
                <w:sz w:val="24"/>
              </w:rPr>
              <w:t>个、曲阜市</w:t>
            </w:r>
            <w:r>
              <w:rPr>
                <w:rFonts w:hint="eastAsia" w:ascii="方正仿宋简体" w:eastAsia="方正仿宋简体"/>
                <w:b/>
                <w:bCs/>
                <w:sz w:val="24"/>
              </w:rPr>
              <w:t>10</w:t>
            </w:r>
            <w:r>
              <w:rPr>
                <w:rFonts w:hint="eastAsia" w:ascii="方正仿宋简体" w:hAnsi="宋体" w:eastAsia="方正仿宋简体" w:cs="宋体"/>
                <w:b/>
                <w:bCs/>
                <w:sz w:val="24"/>
              </w:rPr>
              <w:t>个、微山县</w:t>
            </w:r>
            <w:r>
              <w:rPr>
                <w:rFonts w:hint="eastAsia" w:ascii="方正仿宋简体" w:eastAsia="方正仿宋简体"/>
                <w:b/>
                <w:bCs/>
                <w:sz w:val="24"/>
              </w:rPr>
              <w:t>10</w:t>
            </w:r>
            <w:r>
              <w:rPr>
                <w:rFonts w:hint="eastAsia" w:ascii="方正仿宋简体" w:hAnsi="宋体" w:eastAsia="方正仿宋简体" w:cs="宋体"/>
                <w:b/>
                <w:bCs/>
                <w:sz w:val="24"/>
              </w:rPr>
              <w:t>个、梁山县</w:t>
            </w:r>
            <w:r>
              <w:rPr>
                <w:rFonts w:hint="eastAsia" w:ascii="方正仿宋简体" w:eastAsia="方正仿宋简体"/>
                <w:b/>
                <w:bCs/>
                <w:sz w:val="24"/>
              </w:rPr>
              <w:t>8</w:t>
            </w:r>
            <w:r>
              <w:rPr>
                <w:rFonts w:hint="eastAsia" w:ascii="方正仿宋简体" w:hAnsi="宋体" w:eastAsia="方正仿宋简体" w:cs="宋体"/>
                <w:b/>
                <w:bCs/>
                <w:sz w:val="24"/>
              </w:rPr>
              <w:t>个、嘉祥县</w:t>
            </w:r>
            <w:r>
              <w:rPr>
                <w:rFonts w:hint="eastAsia" w:ascii="方正仿宋简体" w:eastAsia="方正仿宋简体"/>
                <w:b/>
                <w:bCs/>
                <w:sz w:val="24"/>
              </w:rPr>
              <w:t>7</w:t>
            </w:r>
            <w:r>
              <w:rPr>
                <w:rFonts w:hint="eastAsia" w:ascii="方正仿宋简体" w:hAnsi="宋体" w:eastAsia="方正仿宋简体" w:cs="宋体"/>
                <w:b/>
                <w:bCs/>
                <w:sz w:val="24"/>
              </w:rPr>
              <w:t>个、太白湖新区</w:t>
            </w:r>
            <w:r>
              <w:rPr>
                <w:rFonts w:hint="eastAsia" w:ascii="方正仿宋简体" w:eastAsia="方正仿宋简体"/>
                <w:b/>
                <w:bCs/>
                <w:sz w:val="24"/>
              </w:rPr>
              <w:t>7</w:t>
            </w:r>
            <w:r>
              <w:rPr>
                <w:rFonts w:hint="eastAsia" w:ascii="方正仿宋简体" w:hAnsi="宋体" w:eastAsia="方正仿宋简体" w:cs="宋体"/>
                <w:b/>
                <w:bCs/>
                <w:sz w:val="24"/>
              </w:rPr>
              <w:t>个、金乡县</w:t>
            </w:r>
            <w:r>
              <w:rPr>
                <w:rFonts w:hint="eastAsia" w:ascii="方正仿宋简体" w:eastAsia="方正仿宋简体"/>
                <w:b/>
                <w:bCs/>
                <w:sz w:val="24"/>
              </w:rPr>
              <w:t>6</w:t>
            </w:r>
            <w:r>
              <w:rPr>
                <w:rFonts w:hint="eastAsia" w:ascii="方正仿宋简体" w:hAnsi="宋体" w:eastAsia="方正仿宋简体" w:cs="宋体"/>
                <w:b/>
                <w:bCs/>
                <w:sz w:val="24"/>
              </w:rPr>
              <w:t>个、汶上县</w:t>
            </w:r>
            <w:r>
              <w:rPr>
                <w:rFonts w:hint="eastAsia" w:ascii="方正仿宋简体" w:eastAsia="方正仿宋简体"/>
                <w:b/>
                <w:bCs/>
                <w:sz w:val="24"/>
              </w:rPr>
              <w:t>6</w:t>
            </w:r>
            <w:r>
              <w:rPr>
                <w:rFonts w:hint="eastAsia" w:ascii="方正仿宋简体" w:hAnsi="宋体" w:eastAsia="方正仿宋简体" w:cs="宋体"/>
                <w:b/>
                <w:bCs/>
                <w:sz w:val="24"/>
              </w:rPr>
              <w:t>个、济宁高新区</w:t>
            </w:r>
            <w:r>
              <w:rPr>
                <w:rFonts w:hint="eastAsia" w:ascii="方正仿宋简体" w:eastAsia="方正仿宋简体"/>
                <w:b/>
                <w:bCs/>
                <w:sz w:val="24"/>
              </w:rPr>
              <w:t>2</w:t>
            </w:r>
            <w:r>
              <w:rPr>
                <w:rFonts w:hint="eastAsia" w:ascii="方正仿宋简体" w:hAnsi="宋体" w:eastAsia="方正仿宋简体" w:cs="宋体"/>
                <w:b/>
                <w:bCs/>
                <w:sz w:val="24"/>
              </w:rPr>
              <w:t>个）。</w:t>
            </w:r>
          </w:p>
        </w:tc>
      </w:tr>
      <w:tr>
        <w:tblPrEx>
          <w:tblCellMar>
            <w:top w:w="0" w:type="dxa"/>
            <w:left w:w="108" w:type="dxa"/>
            <w:bottom w:w="0" w:type="dxa"/>
            <w:right w:w="108" w:type="dxa"/>
          </w:tblCellMar>
        </w:tblPrEx>
        <w:trPr>
          <w:trHeight w:val="785"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34</w:t>
            </w:r>
          </w:p>
        </w:tc>
        <w:tc>
          <w:tcPr>
            <w:tcW w:w="1302"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eastAsia="方正仿宋简体"/>
                <w:b/>
                <w:bCs/>
                <w:color w:val="000000"/>
                <w:sz w:val="24"/>
              </w:rPr>
            </w:pPr>
            <w:r>
              <w:rPr>
                <w:rFonts w:hint="eastAsia" w:ascii="方正仿宋简体" w:eastAsia="方正仿宋简体"/>
                <w:b/>
                <w:bCs/>
                <w:color w:val="000000"/>
                <w:sz w:val="24"/>
              </w:rPr>
              <w:t>“城市大脑”建设</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各县（市、区）自建系统与市平台互联互通，有条件的县（市、区）开展县级“城市大脑”建设并与市平台进行整合对接。</w:t>
            </w:r>
          </w:p>
        </w:tc>
      </w:tr>
      <w:tr>
        <w:tblPrEx>
          <w:tblCellMar>
            <w:top w:w="0" w:type="dxa"/>
            <w:left w:w="108" w:type="dxa"/>
            <w:bottom w:w="0" w:type="dxa"/>
            <w:right w:w="108" w:type="dxa"/>
          </w:tblCellMar>
        </w:tblPrEx>
        <w:trPr>
          <w:trHeight w:val="1122"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35</w:t>
            </w:r>
          </w:p>
        </w:tc>
        <w:tc>
          <w:tcPr>
            <w:tcW w:w="1302" w:type="dxa"/>
            <w:vMerge w:val="restart"/>
            <w:tcBorders>
              <w:top w:val="nil"/>
              <w:left w:val="single" w:color="auto" w:sz="4" w:space="0"/>
              <w:bottom w:val="single" w:color="000000" w:sz="4" w:space="0"/>
              <w:right w:val="single" w:color="auto" w:sz="4" w:space="0"/>
            </w:tcBorders>
            <w:vAlign w:val="center"/>
          </w:tcPr>
          <w:p>
            <w:pPr>
              <w:widowControl/>
              <w:spacing w:line="320" w:lineRule="exact"/>
              <w:jc w:val="center"/>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强化支撑保障</w:t>
            </w: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组织领导</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进一步健全主要领导亲自抓、分管领导靠上抓的机制，定期召开工作协调会，调度工作进展，晾晒工作进度。</w:t>
            </w:r>
          </w:p>
        </w:tc>
      </w:tr>
      <w:tr>
        <w:tblPrEx>
          <w:tblCellMar>
            <w:top w:w="0" w:type="dxa"/>
            <w:left w:w="108" w:type="dxa"/>
            <w:bottom w:w="0" w:type="dxa"/>
            <w:right w:w="108" w:type="dxa"/>
          </w:tblCellMar>
        </w:tblPrEx>
        <w:trPr>
          <w:trHeight w:val="900"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36</w:t>
            </w:r>
          </w:p>
        </w:tc>
        <w:tc>
          <w:tcPr>
            <w:tcW w:w="1302"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资金投入</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将数字强市建设作为财政支出重点保障领域，做好经费保障。建立多元化可持续投融资机制，鼓励引导各类社会资本积极参与数字强市建设。</w:t>
            </w:r>
          </w:p>
        </w:tc>
      </w:tr>
      <w:tr>
        <w:tblPrEx>
          <w:tblCellMar>
            <w:top w:w="0" w:type="dxa"/>
            <w:left w:w="108" w:type="dxa"/>
            <w:bottom w:w="0" w:type="dxa"/>
            <w:right w:w="108" w:type="dxa"/>
          </w:tblCellMar>
        </w:tblPrEx>
        <w:trPr>
          <w:trHeight w:val="1260"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37</w:t>
            </w:r>
          </w:p>
        </w:tc>
        <w:tc>
          <w:tcPr>
            <w:tcW w:w="1302"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noWrap/>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开展数字化培训</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在党校（行政学院）主体班次中将大数据知识作为重要培训内容，依托各类网络教育学习平台、知名高校等定期开展大数据专题培训，全面提升各级领导干部数字素养和履职能力。</w:t>
            </w:r>
          </w:p>
        </w:tc>
      </w:tr>
      <w:tr>
        <w:tblPrEx>
          <w:tblCellMar>
            <w:top w:w="0" w:type="dxa"/>
            <w:left w:w="108" w:type="dxa"/>
            <w:bottom w:w="0" w:type="dxa"/>
            <w:right w:w="108" w:type="dxa"/>
          </w:tblCellMar>
        </w:tblPrEx>
        <w:trPr>
          <w:trHeight w:val="1260"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38</w:t>
            </w:r>
          </w:p>
        </w:tc>
        <w:tc>
          <w:tcPr>
            <w:tcW w:w="1302"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noWrap/>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网络安全</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定期开展攻防演练、应急演练，按期完成网络漏洞整改，政务网络安全高危漏洞整改率达到</w:t>
            </w:r>
            <w:r>
              <w:rPr>
                <w:rFonts w:hint="eastAsia" w:ascii="方正仿宋简体" w:eastAsia="方正仿宋简体"/>
                <w:b/>
                <w:bCs/>
                <w:color w:val="000000"/>
                <w:sz w:val="24"/>
              </w:rPr>
              <w:t>100%</w:t>
            </w:r>
            <w:r>
              <w:rPr>
                <w:rFonts w:hint="eastAsia" w:ascii="方正仿宋简体" w:hAnsi="宋体" w:eastAsia="方正仿宋简体" w:cs="宋体"/>
                <w:b/>
                <w:bCs/>
                <w:color w:val="000000"/>
                <w:sz w:val="24"/>
              </w:rPr>
              <w:t>，确保不发生较大及以上级别安全事件。</w:t>
            </w:r>
          </w:p>
        </w:tc>
      </w:tr>
      <w:tr>
        <w:tblPrEx>
          <w:tblCellMar>
            <w:top w:w="0" w:type="dxa"/>
            <w:left w:w="108" w:type="dxa"/>
            <w:bottom w:w="0" w:type="dxa"/>
            <w:right w:w="108" w:type="dxa"/>
          </w:tblCellMar>
        </w:tblPrEx>
        <w:trPr>
          <w:trHeight w:val="1260" w:hRule="atLeast"/>
        </w:trPr>
        <w:tc>
          <w:tcPr>
            <w:tcW w:w="866"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方正仿宋简体" w:eastAsia="方正仿宋简体"/>
                <w:b/>
                <w:bCs/>
                <w:color w:val="000000"/>
                <w:sz w:val="24"/>
              </w:rPr>
            </w:pPr>
            <w:r>
              <w:rPr>
                <w:rFonts w:hint="eastAsia" w:ascii="方正仿宋简体" w:eastAsia="方正仿宋简体"/>
                <w:b/>
                <w:bCs/>
                <w:color w:val="000000"/>
                <w:sz w:val="24"/>
              </w:rPr>
              <w:t>39</w:t>
            </w:r>
          </w:p>
        </w:tc>
        <w:tc>
          <w:tcPr>
            <w:tcW w:w="1302" w:type="dxa"/>
            <w:vMerge w:val="continue"/>
            <w:tcBorders>
              <w:top w:val="nil"/>
              <w:left w:val="single" w:color="auto" w:sz="4" w:space="0"/>
              <w:bottom w:val="single" w:color="000000" w:sz="4" w:space="0"/>
              <w:right w:val="single" w:color="auto" w:sz="4" w:space="0"/>
            </w:tcBorders>
            <w:vAlign w:val="center"/>
          </w:tcPr>
          <w:p>
            <w:pPr>
              <w:widowControl/>
              <w:spacing w:line="320" w:lineRule="exact"/>
              <w:jc w:val="left"/>
              <w:rPr>
                <w:rFonts w:ascii="方正仿宋简体" w:hAnsi="宋体" w:eastAsia="方正仿宋简体" w:cs="宋体"/>
                <w:b/>
                <w:bCs/>
                <w:color w:val="000000"/>
                <w:sz w:val="24"/>
              </w:rPr>
            </w:pPr>
          </w:p>
        </w:tc>
        <w:tc>
          <w:tcPr>
            <w:tcW w:w="2840" w:type="dxa"/>
            <w:tcBorders>
              <w:top w:val="nil"/>
              <w:left w:val="nil"/>
              <w:bottom w:val="single" w:color="auto" w:sz="4" w:space="0"/>
              <w:right w:val="single" w:color="auto" w:sz="4" w:space="0"/>
            </w:tcBorders>
            <w:noWrap/>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加强大数据宣传</w:t>
            </w:r>
          </w:p>
        </w:tc>
        <w:tc>
          <w:tcPr>
            <w:tcW w:w="9041" w:type="dxa"/>
            <w:tcBorders>
              <w:top w:val="nil"/>
              <w:left w:val="nil"/>
              <w:bottom w:val="single" w:color="auto" w:sz="4" w:space="0"/>
              <w:right w:val="single" w:color="auto" w:sz="4" w:space="0"/>
            </w:tcBorders>
            <w:vAlign w:val="center"/>
          </w:tcPr>
          <w:p>
            <w:pPr>
              <w:widowControl/>
              <w:spacing w:line="320" w:lineRule="exact"/>
              <w:rPr>
                <w:rFonts w:ascii="方正仿宋简体" w:hAnsi="宋体" w:eastAsia="方正仿宋简体" w:cs="宋体"/>
                <w:b/>
                <w:bCs/>
                <w:color w:val="000000"/>
                <w:sz w:val="24"/>
              </w:rPr>
            </w:pPr>
            <w:r>
              <w:rPr>
                <w:rFonts w:hint="eastAsia" w:ascii="方正仿宋简体" w:hAnsi="宋体" w:eastAsia="方正仿宋简体" w:cs="宋体"/>
                <w:b/>
                <w:bCs/>
                <w:color w:val="000000"/>
                <w:sz w:val="24"/>
              </w:rPr>
              <w:t>加大与各级媒体合作力度，着力讲好“数字强市故事”；积极开展进社区、进园区、进校园等活动，全面提升公民数字素养，营造全民参与、共建共享的数字强市建设氛围。</w:t>
            </w:r>
          </w:p>
        </w:tc>
      </w:tr>
    </w:tbl>
    <w:p>
      <w:pPr>
        <w:spacing w:line="600" w:lineRule="exact"/>
        <w:ind w:firstLine="624" w:firstLineChars="200"/>
        <w:rPr>
          <w:sz w:val="32"/>
          <w:szCs w:val="32"/>
        </w:rPr>
      </w:pPr>
    </w:p>
    <w:p>
      <w:pPr>
        <w:spacing w:line="600" w:lineRule="exact"/>
        <w:ind w:firstLine="624" w:firstLineChars="200"/>
        <w:rPr>
          <w:sz w:val="32"/>
          <w:szCs w:val="32"/>
        </w:rPr>
      </w:pPr>
    </w:p>
    <w:p>
      <w:pPr>
        <w:spacing w:line="600" w:lineRule="exact"/>
      </w:pPr>
    </w:p>
    <w:p>
      <w:pPr>
        <w:spacing w:line="600" w:lineRule="exact"/>
        <w:ind w:firstLine="624" w:firstLineChars="200"/>
        <w:rPr>
          <w:rFonts w:ascii="方正仿宋简体" w:hAnsi="文星仿宋" w:eastAsia="方正仿宋简体" w:cs="方正仿宋简体"/>
          <w:b/>
          <w:color w:val="000000"/>
          <w:sz w:val="32"/>
          <w:szCs w:val="32"/>
        </w:rPr>
        <w:sectPr>
          <w:headerReference r:id="rId8" w:type="default"/>
          <w:footerReference r:id="rId10" w:type="default"/>
          <w:headerReference r:id="rId9" w:type="even"/>
          <w:footerReference r:id="rId11" w:type="even"/>
          <w:pgSz w:w="16838" w:h="11906" w:orient="landscape"/>
          <w:pgMar w:top="1134" w:right="1134" w:bottom="1134" w:left="1588" w:header="0" w:footer="1134" w:gutter="0"/>
          <w:pgNumType w:fmt="numberInDash"/>
          <w:cols w:space="425" w:num="1"/>
          <w:docGrid w:type="linesAndChars" w:linePitch="628" w:charSpace="-1683"/>
        </w:sectPr>
      </w:pPr>
    </w:p>
    <w:p>
      <w:pPr>
        <w:spacing w:line="600" w:lineRule="exact"/>
        <w:ind w:firstLine="624" w:firstLineChars="200"/>
        <w:rPr>
          <w:rFonts w:ascii="方正仿宋简体" w:hAnsi="文星仿宋" w:eastAsia="方正仿宋简体" w:cs="方正仿宋简体"/>
          <w:b/>
          <w:color w:val="000000"/>
          <w:sz w:val="32"/>
          <w:szCs w:val="32"/>
        </w:rPr>
      </w:pPr>
      <w:r>
        <w:rPr>
          <w:rFonts w:ascii="方正仿宋简体" w:hAnsi="文星仿宋" w:eastAsia="方正仿宋简体" w:cs="方正仿宋简体"/>
          <w:b/>
          <w:color w:val="000000"/>
          <w:sz w:val="32"/>
          <w:szCs w:val="32"/>
        </w:rPr>
        <mc:AlternateContent>
          <mc:Choice Requires="wps">
            <w:drawing>
              <wp:anchor distT="0" distB="0" distL="114300" distR="114300" simplePos="0" relativeHeight="251663360" behindDoc="0" locked="0" layoutInCell="1" allowOverlap="1">
                <wp:simplePos x="0" y="0"/>
                <wp:positionH relativeFrom="column">
                  <wp:posOffset>-827405</wp:posOffset>
                </wp:positionH>
                <wp:positionV relativeFrom="paragraph">
                  <wp:posOffset>-281940</wp:posOffset>
                </wp:positionV>
                <wp:extent cx="2933700" cy="3486150"/>
                <wp:effectExtent l="0" t="0" r="19050" b="19050"/>
                <wp:wrapNone/>
                <wp:docPr id="6" name="文本框 6"/>
                <wp:cNvGraphicFramePr/>
                <a:graphic xmlns:a="http://schemas.openxmlformats.org/drawingml/2006/main">
                  <a:graphicData uri="http://schemas.microsoft.com/office/word/2010/wordprocessingShape">
                    <wps:wsp>
                      <wps:cNvSpPr txBox="true"/>
                      <wps:spPr>
                        <a:xfrm>
                          <a:off x="0" y="0"/>
                          <a:ext cx="2933700" cy="348615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65.15pt;margin-top:-22.2pt;height:274.5pt;width:231pt;z-index:251663360;mso-width-relative:page;mso-height-relative:page;" fillcolor="#FFFFFF [3212]" filled="t" stroked="t" coordsize="21600,21600" o:gfxdata="UEsFBgAAAAAAAAAAAAAAAAAAAAAAAFBLAwQKAAAAAACHTuJAAAAAAAAAAAAAAAAABAAAAGRycy9Q SwMEFAAAAAgAh07iQP2v0uzbAAAADAEAAA8AAABkcnMvZG93bnJldi54bWxNj01Pg0AQhu8m/ofN mHhrdxFaCbL0YOLNmFDrx3ELUyCys5RdoP57x5PeZjJP3nnefHexvZhx9J0jDdFagUCqXN1Ro+Hw +rRKQfhgqDa9I9TwjR52xfVVbrLaLVTivA+N4BDymdHQhjBkUvqqRWv82g1IfDu50ZrA69jIejQL h9te3im1ldZ0xB9aM+Bji9XXfrIaXubJvTXvm+qDPpfSp6dz+Zyetb69idQDiICX8AfDrz6rQ8FO RzdR7UWvYRXFKmaWpyRJQDASx9E9iKOGjUq2IItc/i9R/ABQSwMEFAAAAAgAh07iQOnjLVhBAgAA iwQAAA4AAABkcnMvZTJvRG9jLnhtbK1UzW4aMRC+V+o7WL6X5S8kQSwRJaKqhJpIadWz8dqwktd2 bcMufYD2DXrqpfc+V56jn81C6M8pKgcz4xnPzzff7OSmqRTZCedLo3Pa63QpEZqbotTrnH54v3h1 RYkPTBdMGS1yuhee3kxfvpjUdiz6ZmNUIRxBEO3Htc3pJgQ7zjLPN6JivmOs0DBK4yoWoLp1VjhW I3qlsn63O8pq4wrrDBfe4/b2YKTTFF9KwcOdlF4EonKK2kI6XTpX8cymEzZeO2Y3JW/LYM+oomKl RtJTqFsWGNm68q9QVcmd8UaGDjdVZqQsuUg9oJte949uHjbMitQLwPH2BJP/f2H5u929I2WR0xEl mlUY0eO3r4/ffz7++EJGEZ7a+jG8Hiz8QvPaNDkNbiuOJo/72HgjXRX/0RKBC7Den/AVTSAcl/3r weCyCxOHbTC8GvUu0gSyp+fW+fBGmIpEIacOA0y4st3SB1QD16NLzOaNKotFqVRS3Ho1V47sGIa9 SL9YJZ785qY0qdHuALmfFwIBlY5PRSJYW1jE6QBGlEKzalrwVqbYAztnDuTzli9KNLdkPtwzB7YB EGxQuMMhlUFtppUo2Rj3+V/30R8kgJWSGuzNqf+0ZU5Qot5q0OO6NxxGuidleHHZh+LOLatzi95W cwPMethVy5MY/YM6itKZ6iMWbRazSqY8EjHNkR9kOIrzAK01YmG5mM1OOshuWVjqB8tb+kT8tJlt g5FlGmxE7QAVRhYVMD4Nr93OuFLnevJ6+oZMfwFQSwMECgAAAAAAh07iQAAAAAAAAAAAAAAAAAYA AABfcmVscy9QSwMEFAAAAAgAh07iQIoUZjzRAAAAlAEAAAsAAABfcmVscy8ucmVsc6WQwWrDMAyG 74O9g9F9cZrDGKNOL6PQa+kewNiKYxpbRjLZ+vbzDoNl9LajfqHvE//+8JkWtSJLpGxg1/WgMDvy MQcD75fj0wsoqTZ7u1BGAzcUOIyPD/szLra2I5ljEdUoWQzMtZZXrcXNmKx0VDC3zUScbG0jB12s u9qAeuj7Z82/GTBumOrkDfDJD6Aut9LMf9gpOiahqXaOkqZpiu4eVQe2ZY7uyDbhG7lGsxywGvAs GgdqWdd+BH1fv/un3tNHPuO61X6HjOuPV2+6HL8AUEsDBBQAAAAIAIdO4kB+5uUg9wAAAOEBAAAT AAAAW0NvbnRlbnRfVHlwZXNdLnhtbJWRQU7DMBBF90jcwfIWJU67QAgl6YK0S0CoHGBkTxKLZGx5 TGhvj5O2G0SRWNoz/78nu9wcxkFMGNg6quQqL6RA0s5Y6ir5vt9lD1JwBDIwOMJKHpHlpr69KfdH jyxSmriSfYz+USnWPY7AufNIadK6MEJMx9ApD/oDOlTrorhX2lFEilmcO2RdNtjC5xDF9pCuTyYB B5bi6bQ4syoJ3g9WQ0ymaiLzg5KdCXlKLjvcW893SUOqXwnz5DrgnHtJTxOsQfEKIT7DmDSUCayM +6KAU/53yWw5cuba1mrMm8BNir3hdLG61o5r1zj93/Ltkrp0q+WD6m9QSwECFAAUAAAACACHTuJA fublIPcAAADhAQAAEwAAAAAAAAABACAAAADLBAAAW0NvbnRlbnRfVHlwZXNdLnhtbFBLAQIUAAoA AAAAAIdO4kAAAAAAAAAAAAAAAAAGAAAAAAAAAAAAEAAAAK0DAABfcmVscy9QSwECFAAUAAAACACH TuJAihRmPNEAAACUAQAACwAAAAAAAAABACAAAADRAwAAX3JlbHMvLnJlbHNQSwECFAAKAAAAAACH TuJAAAAAAAAAAAAAAAAABAAAAAAAAAAAABAAAAAWAAAAZHJzL1BLAQIUABQAAAAIAIdO4kD9r9Ls 2wAAAAwBAAAPAAAAAAAAAAEAIAAAADgAAABkcnMvZG93bnJldi54bWxQSwECFAAUAAAACACHTuJA 6eMtWEECAACLBAAADgAAAAAAAAABACAAAABAAQAAZHJzL2Uyb0RvYy54bWxQSwUGAAAAAAYABgBZ AQAA8wUAAAAA ">
                <v:fill on="t" focussize="0,0"/>
                <v:stroke weight="0.5pt" color="#FFFFFF [3212]" joinstyle="round"/>
                <v:imagedata o:title=""/>
                <o:lock v:ext="edit" aspectratio="f"/>
                <v:textbox>
                  <w:txbxContent>
                    <w:p/>
                  </w:txbxContent>
                </v:textbox>
              </v:shape>
            </w:pict>
          </mc:Fallback>
        </mc:AlternateContent>
      </w: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hint="eastAsia" w:ascii="方正仿宋简体" w:hAnsi="文星仿宋" w:eastAsia="方正仿宋简体" w:cs="方正仿宋简体"/>
          <w:b/>
          <w:color w:val="FF0000"/>
          <w:sz w:val="32"/>
          <w:szCs w:val="32"/>
        </w:rPr>
      </w:pPr>
    </w:p>
    <w:p>
      <w:pPr>
        <w:spacing w:line="600" w:lineRule="exact"/>
        <w:ind w:firstLine="624" w:firstLineChars="200"/>
        <w:rPr>
          <w:rFonts w:hint="eastAsia" w:ascii="方正仿宋简体" w:hAnsi="文星仿宋" w:eastAsia="方正仿宋简体" w:cs="方正仿宋简体"/>
          <w:b/>
          <w:color w:val="FF0000"/>
          <w:sz w:val="32"/>
          <w:szCs w:val="32"/>
        </w:rPr>
      </w:pPr>
    </w:p>
    <w:p>
      <w:pPr>
        <w:spacing w:line="600" w:lineRule="exact"/>
        <w:ind w:firstLine="624" w:firstLineChars="200"/>
        <w:rPr>
          <w:rFonts w:hint="eastAsia" w:ascii="方正仿宋简体" w:hAnsi="文星仿宋" w:eastAsia="方正仿宋简体" w:cs="方正仿宋简体"/>
          <w:b/>
          <w:color w:val="FF0000"/>
          <w:sz w:val="32"/>
          <w:szCs w:val="32"/>
        </w:rPr>
      </w:pPr>
    </w:p>
    <w:p>
      <w:pPr>
        <w:spacing w:line="600" w:lineRule="exact"/>
        <w:ind w:firstLine="624" w:firstLineChars="200"/>
        <w:rPr>
          <w:rFonts w:hint="eastAsia" w:ascii="方正仿宋简体" w:hAnsi="文星仿宋" w:eastAsia="方正仿宋简体" w:cs="方正仿宋简体"/>
          <w:b/>
          <w:color w:val="FF0000"/>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firstLine="624" w:firstLineChars="200"/>
        <w:textAlignment w:val="auto"/>
        <w:rPr>
          <w:rFonts w:hint="eastAsia" w:ascii="方正仿宋简体" w:hAnsi="文星仿宋" w:eastAsia="方正仿宋简体" w:cs="方正仿宋简体"/>
          <w:b/>
          <w:color w:val="FF0000"/>
          <w:sz w:val="32"/>
          <w:szCs w:val="32"/>
        </w:rPr>
      </w:pPr>
    </w:p>
    <w:p>
      <w:pPr>
        <w:keepNext w:val="0"/>
        <w:keepLines w:val="0"/>
        <w:pageBreakBefore w:val="0"/>
        <w:widowControl w:val="0"/>
        <w:kinsoku/>
        <w:wordWrap/>
        <w:overflowPunct/>
        <w:topLinePunct w:val="0"/>
        <w:autoSpaceDE/>
        <w:autoSpaceDN/>
        <w:bidi w:val="0"/>
        <w:adjustRightInd/>
        <w:snapToGrid/>
        <w:spacing w:line="740" w:lineRule="exact"/>
        <w:ind w:firstLine="624" w:firstLineChars="200"/>
        <w:textAlignment w:val="auto"/>
        <w:rPr>
          <w:rFonts w:hint="eastAsia" w:ascii="方正仿宋简体" w:hAnsi="文星仿宋" w:eastAsia="方正仿宋简体" w:cs="方正仿宋简体"/>
          <w:b/>
          <w:color w:val="FF0000"/>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firstLine="624" w:firstLineChars="200"/>
        <w:textAlignment w:val="auto"/>
        <w:rPr>
          <w:rFonts w:hint="eastAsia" w:ascii="方正仿宋简体" w:hAnsi="文星仿宋" w:eastAsia="方正仿宋简体" w:cs="方正仿宋简体"/>
          <w:b/>
          <w:color w:val="FF0000"/>
          <w:sz w:val="32"/>
          <w:szCs w:val="32"/>
        </w:rPr>
      </w:pPr>
    </w:p>
    <w:p>
      <w:pPr>
        <w:spacing w:line="600" w:lineRule="exact"/>
        <w:ind w:firstLine="624" w:firstLineChars="200"/>
        <w:rPr>
          <w:rFonts w:ascii="方正仿宋简体" w:hAnsi="文星仿宋" w:eastAsia="方正仿宋简体" w:cs="方正仿宋简体"/>
          <w:b/>
          <w:color w:val="FF0000"/>
          <w:sz w:val="32"/>
          <w:szCs w:val="32"/>
        </w:rPr>
      </w:pPr>
    </w:p>
    <w:p>
      <w:pPr>
        <w:spacing w:line="600" w:lineRule="exact"/>
        <w:ind w:firstLine="624" w:firstLineChars="200"/>
        <w:rPr>
          <w:rFonts w:ascii="方正仿宋简体" w:hAnsi="文星仿宋" w:eastAsia="方正仿宋简体" w:cs="方正仿宋简体"/>
          <w:b/>
          <w:color w:val="FF0000"/>
          <w:sz w:val="32"/>
          <w:szCs w:val="32"/>
        </w:rPr>
      </w:pPr>
    </w:p>
    <w:p>
      <w:pPr>
        <w:keepNext w:val="0"/>
        <w:keepLines w:val="0"/>
        <w:pageBreakBefore w:val="0"/>
        <w:widowControl w:val="0"/>
        <w:kinsoku/>
        <w:wordWrap/>
        <w:overflowPunct/>
        <w:topLinePunct w:val="0"/>
        <w:autoSpaceDE/>
        <w:autoSpaceDN/>
        <w:bidi w:val="0"/>
        <w:adjustRightInd/>
        <w:snapToGrid/>
        <w:spacing w:line="680" w:lineRule="exact"/>
        <w:ind w:firstLine="624" w:firstLineChars="200"/>
        <w:textAlignment w:val="auto"/>
        <w:rPr>
          <w:rFonts w:ascii="方正仿宋简体" w:hAnsi="文星仿宋" w:eastAsia="方正仿宋简体" w:cs="方正仿宋简体"/>
          <w:b/>
          <w:color w:val="FF0000"/>
          <w:sz w:val="32"/>
          <w:szCs w:val="32"/>
        </w:rPr>
      </w:pPr>
      <w:bookmarkStart w:id="4" w:name="_GoBack"/>
      <w:bookmarkEnd w:id="4"/>
    </w:p>
    <w:p>
      <w:pPr>
        <w:keepNext w:val="0"/>
        <w:keepLines w:val="0"/>
        <w:pageBreakBefore w:val="0"/>
        <w:widowControl w:val="0"/>
        <w:kinsoku/>
        <w:wordWrap/>
        <w:overflowPunct/>
        <w:topLinePunct w:val="0"/>
        <w:autoSpaceDE/>
        <w:autoSpaceDN/>
        <w:bidi w:val="0"/>
        <w:adjustRightInd/>
        <w:snapToGrid/>
        <w:spacing w:line="420" w:lineRule="exact"/>
        <w:ind w:firstLine="624" w:firstLineChars="200"/>
        <w:textAlignment w:val="auto"/>
        <w:rPr>
          <w:rFonts w:ascii="方正仿宋简体" w:hAnsi="文星仿宋" w:eastAsia="方正仿宋简体" w:cs="方正仿宋简体"/>
          <w:b/>
          <w:color w:val="FF0000"/>
          <w:sz w:val="32"/>
          <w:szCs w:val="32"/>
        </w:rPr>
      </w:pPr>
    </w:p>
    <w:p>
      <w:pPr>
        <w:spacing w:line="600" w:lineRule="exact"/>
        <w:jc w:val="left"/>
        <w:rPr>
          <w:rFonts w:ascii="方正小标宋简体" w:hAnsi="文星黑体" w:eastAsia="方正小标宋简体" w:cs="方正小标宋简体"/>
          <w:b/>
        </w:rPr>
      </w:pPr>
      <w:r>
        <w:rPr>
          <w:rFonts w:eastAsia="方正仿宋简体"/>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329565</wp:posOffset>
                </wp:positionV>
                <wp:extent cx="5543550" cy="0"/>
                <wp:effectExtent l="0" t="0" r="19050" b="19050"/>
                <wp:wrapNone/>
                <wp:docPr id="3" name="Line 10"/>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25.95pt;height:0pt;width:436.5pt;z-index:251660288;mso-width-relative:page;mso-height-relative:page;" filled="f" stroked="t" coordsize="21600,21600" o:gfxdata="UEsFBgAAAAAAAAAAAAAAAAAAAAAAAFBLAwQKAAAAAACHTuJAAAAAAAAAAAAAAAAABAAAAGRycy9Q SwMEFAAAAAgAh07iQFEnE/DVAAAABgEAAA8AAABkcnMvZG93bnJldi54bWxNj81OwzAQhO9IvIO1 SNyokyJoCHF6AFUViEtbJK7beIkD8TqN3R/enkUc4Dgzq5lvq/nJ9+pAY+wCG8gnGSjiJtiOWwOv m8VVASomZIt9YDLwRRHm9flZhaUNR17RYZ1aJSUcSzTgUhpKrWPjyGOchIFYsvcwekwix1bbEY9S 7ns9zbJb7bFjWXA40IOj5nO99wbwcblKb8X0edY9uZePzWK3dMXOmMuLPLsHleiU/o7hB1/QoRam bdizjao3II8kAzf5HShJi9m1GNtfQ9eV/o9ffwNQSwMEFAAAAAgAh07iQB8sY5m4AQAAgQMAAA4A AABkcnMvZTJvRG9jLnhtbK1Ty24bMQy8F+g/CLrXu3bqNlh4nUOc9BK0Bpp8AK3HrgC9IKpe++9L yYmdtpciiA8yJZJDcji7ujk4y/YqoQm+5/NZy5nyIkjjh54/Pd5/uuYMM3gJNnjV86NCfrP++GE1 xU4twhisVIkRiMduij0fc45d06AYlQOchag8OXVIDjJd09DIBBOhO9ss2vZLM4UkYwpCIdLr5uTk 64qvtRL5h9aoMrM9p95yPVM9d+Vs1ivohgRxNOK5DXhDFw6Mp6JnqA1kYL+S+QfKGZECBp1nIrgm aG2EqjPQNPP2r2l+jhBVnYXIwXimCd8PVnzfbxMzsudXnHlwtKIH4xWbV2qmiB1F3PptIqLKDeM2 lTkPOrnyTxOwQ6XzeKZTHTIT9Lhcfr5aLol18eJrLokxYf6mgmPF6LmlopVA2D9gpmIU+hJS6ljP JtLX4mtb8ICUoi1kMl2k3tEPNRmDNfLeWFtSMA27W5vYHsru66+sm4D/CCtVNoDjKa66TqoYFcg7 L1k+RmLFk3x56cEpyZlVpPZiVf1kMPZ/Iqm09dTBhchi7YI8Vn7rO+259visySKk1/eaffly1r8B UEsDBAoAAAAAAIdO4kAAAAAAAAAAAAAAAAAGAAAAX3JlbHMvUEsDBBQAAAAIAIdO4kCKFGY80QAA AJQBAAALAAAAX3JlbHMvLnJlbHOlkMFqwzAMhu+DvYPRfXGawxijTi+j0GvpHsDYimMaW0Yy2fr2 8w6DZfS2o36h7xP//vCZFrUiS6RsYNf1oDA78jEHA++X49MLKKk2e7tQRgM3FDiMjw/7My62tiOZ YxHVKFkMzLWWV63FzZisdFQwt81EnGxtIwddrLvagHro+2fNvxkwbpjq5A3wyQ+gLrfSzH/YKTom oal2jpKmaYruHlUHtmWO7sg24Ru5RrMcsBrwLBoHalnXfgR9X7/7p97TRz7jutV+h4zrj1dvuhy/ AFBLAwQUAAAACACHTuJAfublIPcAAADhAQAAEwAAAFtDb250ZW50X1R5cGVzXS54bWyVkUFOwzAQ RfdI3MHyFiVOu0AIJemCtEtAqBxgZE8Si2RseUxob4+TthtEkVjaM/+/J7vcHMZBTBjYOqrkKi+k QNLOWOoq+b7fZQ9ScAQyMDjCSh6R5aa+vSn3R48sUpq4kn2M/lEp1j2OwLnzSGnSujBCTMfQKQ/6 AzpU66K4V9pRRIpZnDtkXTbYwucQxfaQrk8mAQeW4um0OLMqCd4PVkNMpmoi84OSnQl5Si473FvP d0lDql8J8+Q64Jx7SU8TrEHxCiE+w5g0lAmsjPuigFP+d8lsOXLm2tZqzJvATYq94XSxutaOa9c4 /d/y7ZK6dKvlg+pvUEsBAhQAFAAAAAgAh07iQH7m5SD3AAAA4QEAABMAAAAAAAAAAQAgAAAAPAQA AFtDb250ZW50X1R5cGVzXS54bWxQSwECFAAKAAAAAACHTuJAAAAAAAAAAAAAAAAABgAAAAAAAAAA ABAAAAAeAwAAX3JlbHMvUEsBAhQAFAAAAAgAh07iQIoUZjzRAAAAlAEAAAsAAAAAAAAAAQAgAAAA QgMAAF9yZWxzLy5yZWxzUEsBAhQACgAAAAAAh07iQAAAAAAAAAAAAAAAAAQAAAAAAAAAAAAQAAAA FgAAAGRycy9QSwECFAAUAAAACACHTuJAUScT8NUAAAAGAQAADwAAAAAAAAABACAAAAA4AAAAZHJz L2Rvd25yZXYueG1sUEsBAhQAFAAAAAgAh07iQB8sY5m4AQAAgQMAAA4AAAAAAAAAAQAgAAAAOgEA AGRycy9lMm9Eb2MueG1sUEsFBgAAAAAGAAYAWQEAAGQFA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sz w:val="32"/>
          <w:szCs w:val="32"/>
          <w:lang w:bidi="ar"/>
        </w:rPr>
        <w:t xml:space="preserve">  </w:t>
      </w:r>
    </w:p>
    <w:p>
      <w:pPr>
        <w:tabs>
          <w:tab w:val="left" w:pos="8268"/>
        </w:tabs>
        <w:spacing w:line="440" w:lineRule="exact"/>
        <w:ind w:firstLine="272" w:firstLineChars="100"/>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w:t>
      </w:r>
      <w:r>
        <w:rPr>
          <w:rFonts w:hint="eastAsia" w:ascii="方正仿宋简体" w:hAnsi="方正仿宋简体" w:eastAsia="方正仿宋简体" w:cs="方正仿宋简体"/>
          <w:b/>
          <w:color w:val="000000"/>
          <w:sz w:val="28"/>
          <w:szCs w:val="28"/>
          <w:lang w:bidi="ar"/>
        </w:rPr>
        <w:t>市委各部门，市人大常委会办公室，市政协办公室，市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tabs>
          <w:tab w:val="left" w:pos="8268"/>
        </w:tabs>
        <w:spacing w:line="440" w:lineRule="exact"/>
        <w:ind w:firstLine="1129" w:firstLineChars="415"/>
        <w:rPr>
          <w:rFonts w:ascii="方正仿宋简体" w:hAnsi="方正仿宋简体" w:eastAsia="方正仿宋简体" w:cs="方正仿宋简体"/>
          <w:b/>
          <w:color w:val="000000"/>
          <w:sz w:val="28"/>
          <w:szCs w:val="28"/>
        </w:rPr>
      </w:pPr>
      <w:r>
        <w:rPr>
          <w:rFonts w:hint="eastAsia" w:ascii="方正仿宋简体" w:hAnsi="方正仿宋简体" w:eastAsia="方正仿宋简体" w:cs="方正仿宋简体"/>
          <w:b/>
          <w:color w:val="000000"/>
          <w:sz w:val="28"/>
          <w:szCs w:val="28"/>
          <w:lang w:bidi="ar"/>
        </w:rPr>
        <w:t>市法院，市检察院，济宁军分区。</w:t>
      </w:r>
    </w:p>
    <w:p>
      <w:pPr>
        <w:spacing w:line="740" w:lineRule="exact"/>
        <w:ind w:firstLine="312" w:firstLineChars="100"/>
        <w:rPr>
          <w:rFonts w:ascii="方正仿宋简体" w:hAnsi="文星仿宋" w:eastAsia="方正仿宋简体" w:cs="方正仿宋简体"/>
          <w:b/>
        </w:rPr>
      </w:pPr>
      <w:r>
        <w:rPr>
          <w:rFonts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545465</wp:posOffset>
                </wp:positionV>
                <wp:extent cx="5543550" cy="0"/>
                <wp:effectExtent l="0" t="0" r="19050" b="19050"/>
                <wp:wrapNone/>
                <wp:docPr id="2" name="Line 1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2" o:spid="_x0000_s1026" o:spt="20" style="position:absolute;left:0pt;margin-left:0pt;margin-top:42.95pt;height:0pt;width:436.5pt;z-index:251662336;mso-width-relative:page;mso-height-relative:page;" filled="f" stroked="t" coordsize="21600,21600" o:gfxdata="UEsFBgAAAAAAAAAAAAAAAAAAAAAAAFBLAwQKAAAAAACHTuJAAAAAAAAAAAAAAAAABAAAAGRycy9Q SwMEFAAAAAgAh07iQNvuJRnVAAAABgEAAA8AAABkcnMvZG93bnJldi54bWxNj81OwzAQhO9IvIO1 SNyo0yKoG+L0AKoqEJe2SL1ukyUOxOs0dn94exZxgOPMrGa+LeZn36kjDbENbGE8ykARV6FuubHw tlncGFAxIdfYBSYLXxRhXl5eFJjX4cQrOq5To6SEY44WXEp9rnWsHHmMo9ATS/YeBo9J5NDoesCT lPtOT7LsXntsWRYc9vToqPpcH7wFfFqu0tZMXqbts3v92Cz2S2f21l5fjbMHUInO6e8YfvAFHUph 2oUD11F1FuSRZMHczUBJaqa3Yux+DV0W+j9++Q1QSwMEFAAAAAgAh07iQBz+aM65AQAAgQMAAA4A AABkcnMvZTJvRG9jLnhtbK1TTW/bMAy9D9h/EHRf7HjLNhhxemjaXYo2wLYfwOjDFqAviFqc/PtR Spp222UY5oNMieQj+fS0vjk6yw4qoQl+4MtFy5nyIkjjx4F//3b/7jNnmMFLsMGrgZ8U8pvN2zfr OfaqC1OwUiVGIB77OQ58yjn2TYNiUg5wEaLy5NQhOci0TWMjE8yE7mzTte3HZg5JxhSEQqTT7dnJ NxVfayXyk9aoMrMDp95yXVNd92VtNmvoxwRxMuLSBvxDFw6Mp6JXqC1kYD+S+QPKGZECBp0XIrgm aG2EqjPQNMv2t2m+ThBVnYXIwXilCf8frHg87BIzcuAdZx4cXdGD8Yotu0LNHLGniFu/S5cdxl0q cx51cuVPE7BjpfN0pVMdMxN0uFp9eL9aEevi2de8JMaE+YsKjhVj4JaKVgLh8ICZilHoc0ipYz2b SV/dp7bgASlFW8hkuki9ox9rMgZr5L2xtqRgGve3NrEDlLuvX5mJgH8JK1W2gNM5rrrOqpgUyDsv WT5FYsWTfHnpwSnJmVWk9mIRIPQZjP2bSCptPXVQaD0TWax9kKfKbz2ne649XjRZhPR6X7NfXs7m J1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NvuJRnVAAAABgEAAA8AAAAAAAAAAQAgAAAAOAAAAGRy cy9kb3ducmV2LnhtbFBLAQIUABQAAAAIAIdO4kAc/mjOuQEAAIEDAAAOAAAAAAAAAAEAIAAAADoB AABkcnMvZTJvRG9jLnhtbFBLBQYAAAAABgAGAFkBAABlBQ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76200</wp:posOffset>
                </wp:positionV>
                <wp:extent cx="5544185" cy="0"/>
                <wp:effectExtent l="0" t="0" r="19050" b="19050"/>
                <wp:wrapNone/>
                <wp:docPr id="1" name="Line 1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1" o:spid="_x0000_s1026" o:spt="20" style="position:absolute;left:0pt;margin-left:0pt;margin-top:6pt;height:0pt;width:436.55pt;z-index:251661312;mso-width-relative:page;mso-height-relative:page;" filled="f" stroked="t" coordsize="21600,21600" o:gfxdata="UEsFBgAAAAAAAAAAAAAAAAAAAAAAAFBLAwQKAAAAAACHTuJAAAAAAAAAAAAAAAAABAAAAGRycy9Q SwMEFAAAAAgAh07iQCxPjRnUAAAABgEAAA8AAABkcnMvZG93bnJldi54bWxNj09PwzAMxe9IfIfI SNxY2iKxqjTdATRNIC7bkLh6jWkKjdM12R++PUYc4GT5Pev59+rF2Q/qSFPsAxvIZxko4jbYnjsD r9vlTQkqJmSLQ2Ay8EURFs3lRY2VDSde03GTOiUhHCs04FIaK61j68hjnIWRWLz3MHlMsk6dthOe JNwPusiyO+2xZ/ngcKQHR+3n5uAN4ONqnd7K4nneP7mXj+1yv3Ll3pjrqzy7B5XonP6O4Qdf0KER pl04sI1qMCBFkqiFTHHL+W0Oavcr6KbW//Gbb1BLAwQUAAAACACHTuJAdaEjjLcBAACBAwAADgAA AGRycy9lMm9Eb2MueG1srVNNb9swDL0P2H8QdG/sBO02GHF6aNpdii3Ath/ASLQtQF8QtTj596OU NN3HZRjmgyyJ5OPjI7W+PzorDpjIBN/L5aKVAr0K2vixl9++Pt18kIIyeA02eOzlCUneb96+Wc+x w1WYgtWYBIN46ubYyynn2DUNqQkd0CJE9GwcQnKQ+ZjGRieYGd3ZZtW275o5JB1TUEjEt9uzUW4q /jCgyp+HgTAL20vmluua6rova7NZQzcmiJNRFxrwDywcGM9Jr1BbyCC+J/MHlDMqBQpDXqjgmjAM RmGtgatZtr9V82WCiLUWFofiVSb6f7Dq02GXhNHcOyk8OG7Rs/EolssizRypY48Hv0uXE8VdKnUe h+TKnysQxyrn6SonHrNQfHl3d3vbtqy6erE1r4ExUf6IwYmy6aXlpFVAODxT5mTs+uJS8lgvZua4 el/xgCdlsJAZ2kXmTn6swRSs0U/G2hJCadw/2CQOUHpfv1ITA//iVrJsgaazXzWdp2JC0I9ei3yK rIrn8ZWFg0MthUWe9rJjQOgyGPs3npzaemZQZD0LWXb7oE9V33rPfa4cLzNZBunnc41+fTmbH1BL AwQKAAAAAACHTuJAAAAAAAAAAAAAAAAABgAAAF9yZWxzL1BLAwQUAAAACACHTuJAihRmPNEAAACU AQAACwAAAF9yZWxzLy5yZWxzpZDBasMwDIbvg72D0X1xmsMYo04vo9Br6R7A2IpjGltGMtn69vMO g2X0tqN+oe8T//7wmRa1IkukbGDX9aAwO/IxBwPvl+PTCyipNnu7UEYDNxQ4jI8P+zMutrYjmWMR 1ShZDMy1lletxc2YrHRUMLfNRJxsbSMHXay72oB66Ptnzb8ZMG6Y6uQN8MkPoC630sx/2Ck6JqGp do6SpmmK7h5VB7Zlju7INuEbuUazHLAa8CwaB2pZ134EfV+/+6fe00c+47rVfoeM649Xb7ocvwBQ SwMEFAAAAAgAh07iQH7m5SD3AAAA4QEAABMAAABbQ29udGVudF9UeXBlc10ueG1slZFBTsMwEEX3 SNzB8hYlTrtACCXpgrRLQKgcYGRPEotkbHlMaG+Pk7YbRJFY2jP/vye73BzGQUwY2Dqq5CovpEDS zljqKvm+32UPUnAEMjA4wkoekeWmvr0p90ePLFKauJJ9jP5RKdY9jsC580hp0rowQkzH0CkP+gM6 VOuiuFfaUUSKWZw7ZF022MLnEMX2kK5PJgEHluLptDizKgneD1ZDTKZqIvODkp0JeUouO9xbz3dJ Q6pfCfPkOuCce0lPE6xB8QohPsOYNJQJrIz7ooBT/nfJbDly5trWasybwE2KveF0sbrWjmvXOP3f 8u2SunSr5YPqb1BLAQIUABQAAAAIAIdO4kB+5uUg9wAAAOEBAAATAAAAAAAAAAEAIAAAADoEAABb Q29udGVudF9UeXBlc10ueG1sUEsBAhQACgAAAAAAh07iQAAAAAAAAAAAAAAAAAYAAAAAAAAAAAAQ AAAAHAMAAF9yZWxzL1BLAQIUABQAAAAIAIdO4kCKFGY80QAAAJQBAAALAAAAAAAAAAEAIAAAAEAD AABfcmVscy8ucmVsc1BLAQIUAAoAAAAAAIdO4kAAAAAAAAAAAAAAAAAEAAAAAAAAAAAAEAAAABYA AABkcnMvUEsBAhQAFAAAAAgAh07iQCxPjRnUAAAABgEAAA8AAAAAAAAAAQAgAAAAOAAAAGRycy9k b3ducmV2LnhtbFBLAQIUABQAAAAIAIdO4kB1oSOMtwEAAIEDAAAOAAAAAAAAAAEAIAAAADkBAABk cnMvZTJvRG9jLnhtbFBLBQYAAAAABgAGAFkBAABiBQ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 xml:space="preserve">济宁市人民政府办公室              </w:t>
      </w:r>
      <w:r>
        <w:rPr>
          <w:rFonts w:hint="default" w:ascii="方正仿宋简体" w:hAnsi="文星仿宋" w:eastAsia="方正仿宋简体" w:cs="方正仿宋简体"/>
          <w:b/>
          <w:sz w:val="28"/>
          <w:szCs w:val="28"/>
          <w:lang w:bidi="ar"/>
        </w:rPr>
        <w:t xml:space="preserve"> </w:t>
      </w:r>
      <w:r>
        <w:rPr>
          <w:rFonts w:hint="eastAsia" w:ascii="方正仿宋简体" w:hAnsi="文星仿宋" w:eastAsia="方正仿宋简体" w:cs="方正仿宋简体"/>
          <w:b/>
          <w:sz w:val="28"/>
          <w:szCs w:val="28"/>
          <w:lang w:bidi="ar"/>
        </w:rPr>
        <w:t xml:space="preserve">    </w:t>
      </w:r>
      <w:r>
        <w:rPr>
          <w:rFonts w:hint="eastAsia" w:ascii="方正仿宋简体" w:hAnsi="方正仿宋简体" w:eastAsia="方正仿宋简体" w:cs="方正仿宋简体"/>
          <w:b/>
          <w:color w:val="000000"/>
          <w:sz w:val="28"/>
          <w:szCs w:val="28"/>
          <w:lang w:bidi="ar"/>
        </w:rPr>
        <w:t>2023年</w:t>
      </w:r>
      <w:r>
        <w:rPr>
          <w:rFonts w:hint="default" w:ascii="方正仿宋简体" w:hAnsi="方正仿宋简体" w:eastAsia="方正仿宋简体" w:cs="方正仿宋简体"/>
          <w:b/>
          <w:color w:val="000000"/>
          <w:sz w:val="28"/>
          <w:szCs w:val="28"/>
          <w:lang w:bidi="ar"/>
        </w:rPr>
        <w:t>9</w:t>
      </w:r>
      <w:r>
        <w:rPr>
          <w:rFonts w:hint="eastAsia" w:ascii="方正仿宋简体" w:hAnsi="方正仿宋简体" w:eastAsia="方正仿宋简体" w:cs="方正仿宋简体"/>
          <w:b/>
          <w:color w:val="000000"/>
          <w:sz w:val="28"/>
          <w:szCs w:val="28"/>
          <w:lang w:bidi="ar"/>
        </w:rPr>
        <w:t>月</w:t>
      </w:r>
      <w:r>
        <w:rPr>
          <w:rFonts w:hint="default" w:ascii="方正仿宋简体" w:hAnsi="方正仿宋简体" w:eastAsia="方正仿宋简体" w:cs="方正仿宋简体"/>
          <w:b/>
          <w:color w:val="000000"/>
          <w:sz w:val="28"/>
          <w:szCs w:val="28"/>
          <w:lang w:bidi="ar"/>
        </w:rPr>
        <w:t>8</w:t>
      </w:r>
      <w:r>
        <w:rPr>
          <w:rFonts w:hint="eastAsia" w:ascii="方正仿宋简体" w:hAnsi="方正仿宋简体" w:eastAsia="方正仿宋简体" w:cs="方正仿宋简体"/>
          <w:b/>
          <w:color w:val="000000"/>
          <w:sz w:val="28"/>
          <w:szCs w:val="28"/>
          <w:lang w:bidi="ar"/>
        </w:rPr>
        <w:t>日</w:t>
      </w:r>
      <w:r>
        <w:rPr>
          <w:rFonts w:hint="eastAsia" w:ascii="方正仿宋简体" w:hAnsi="文星仿宋" w:eastAsia="方正仿宋简体" w:cs="方正仿宋简体"/>
          <w:b/>
          <w:sz w:val="28"/>
          <w:szCs w:val="28"/>
          <w:lang w:bidi="ar"/>
        </w:rPr>
        <w:t>印发</w:t>
      </w:r>
    </w:p>
    <w:sectPr>
      <w:pgSz w:w="11906" w:h="16838"/>
      <w:pgMar w:top="1134" w:right="1134" w:bottom="1588" w:left="1588" w:header="0" w:footer="1134"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简体">
    <w:panose1 w:val="03000509000000000000"/>
    <w:charset w:val="86"/>
    <w:family w:val="script"/>
    <w:pitch w:val="default"/>
    <w:sig w:usb0="00000001" w:usb1="080E0000" w:usb2="00000000" w:usb3="00000000" w:csb0="00040000" w:csb1="00000000"/>
  </w:font>
  <w:font w:name="文星标宋">
    <w:altName w:val="方正粗黑宋简体"/>
    <w:panose1 w:val="00000000000000000000"/>
    <w:charset w:val="86"/>
    <w:family w:val="auto"/>
    <w:pitch w:val="default"/>
    <w:sig w:usb0="00000000" w:usb1="00000000" w:usb2="00000000" w:usb3="00000000" w:csb0="00040000" w:csb1="00000000"/>
  </w:font>
  <w:font w:name="文星仿宋">
    <w:altName w:val="仿宋"/>
    <w:panose1 w:val="00000000000000000000"/>
    <w:charset w:val="86"/>
    <w:family w:val="auto"/>
    <w:pitch w:val="default"/>
    <w:sig w:usb0="00000000" w:usb1="00000000" w:usb2="00000000" w:usb3="00000000" w:csb0="00040001" w:csb1="00000000"/>
  </w:font>
  <w:font w:name="方正楷体简体">
    <w:panose1 w:val="03000509000000000000"/>
    <w:charset w:val="86"/>
    <w:family w:val="script"/>
    <w:pitch w:val="default"/>
    <w:sig w:usb0="00000001" w:usb1="080E0000" w:usb2="00000000" w:usb3="00000000" w:csb0="00040000" w:csb1="00000000"/>
  </w:font>
  <w:font w:name="华文宋体">
    <w:altName w:val="方正书宋_GBK"/>
    <w:panose1 w:val="02010600040101010101"/>
    <w:charset w:val="86"/>
    <w:family w:val="auto"/>
    <w:pitch w:val="default"/>
    <w:sig w:usb0="00000000" w:usb1="00000000" w:usb2="00000000" w:usb3="00000000" w:csb0="0004009F" w:csb1="DFD70000"/>
  </w:font>
  <w:font w:name="文星黑体">
    <w:altName w:val="黑体"/>
    <w:panose1 w:val="00000000000000000000"/>
    <w:charset w:val="86"/>
    <w:family w:val="modern"/>
    <w:pitch w:val="default"/>
    <w:sig w:usb0="00000000" w:usb1="0000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粗黑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3"/>
          <w:wordWrap w:val="0"/>
          <w:jc w:val="right"/>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15 -</w:t>
        </w:r>
        <w:r>
          <w:rPr>
            <w:rFonts w:asciiTheme="minorEastAsia" w:hAnsiTheme="minorEastAsia"/>
            <w:b/>
            <w:sz w:val="28"/>
            <w:szCs w:val="28"/>
          </w:rPr>
          <w:fldChar w:fldCharType="end"/>
        </w:r>
        <w:r>
          <w:rPr>
            <w:rFonts w:hint="eastAsia" w:asciiTheme="minorEastAsia" w:hAnsiTheme="minorEastAsia"/>
            <w:b/>
            <w:sz w:val="28"/>
            <w:szCs w:val="28"/>
          </w:rPr>
          <w:t xml:space="preserve"> </w:t>
        </w:r>
        <w:r>
          <w:rPr>
            <w:rFonts w:hint="eastAsia"/>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4842155"/>
    </w:sdtPr>
    <w:sdtEndPr>
      <w:rPr>
        <w:rFonts w:asciiTheme="minorEastAsia" w:hAnsiTheme="minorEastAsia"/>
        <w:b/>
        <w:sz w:val="28"/>
        <w:szCs w:val="28"/>
      </w:rPr>
    </w:sdtEndPr>
    <w:sdtContent>
      <w:p>
        <w:pPr>
          <w:pStyle w:val="3"/>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14 -</w:t>
        </w:r>
        <w:r>
          <w:rPr>
            <w:rFonts w:asciiTheme="minorEastAsia" w:hAnsiTheme="minorEastAsia"/>
            <w:b/>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6775596"/>
      <w:docPartObj>
        <w:docPartGallery w:val="autotext"/>
      </w:docPartObj>
    </w:sdtPr>
    <w:sdtContent>
      <w:p>
        <w:pPr>
          <w:pStyle w:val="3"/>
          <w:jc w:val="right"/>
        </w:pPr>
        <w:r>
          <w:rPr>
            <w:rFonts w:asciiTheme="majorEastAsia" w:hAnsiTheme="majorEastAsia" w:eastAsiaTheme="majorEastAsia"/>
            <w:b/>
            <w:sz w:val="28"/>
            <w:szCs w:val="28"/>
          </w:rPr>
          <w:fldChar w:fldCharType="begin"/>
        </w:r>
        <w:r>
          <w:rPr>
            <w:rFonts w:asciiTheme="majorEastAsia" w:hAnsiTheme="majorEastAsia" w:eastAsiaTheme="majorEastAsia"/>
            <w:b/>
            <w:sz w:val="28"/>
            <w:szCs w:val="28"/>
          </w:rPr>
          <w:instrText xml:space="preserve">PAGE   \* MERGEFORMAT</w:instrText>
        </w:r>
        <w:r>
          <w:rPr>
            <w:rFonts w:asciiTheme="majorEastAsia" w:hAnsiTheme="majorEastAsia" w:eastAsiaTheme="majorEastAsia"/>
            <w:b/>
            <w:sz w:val="28"/>
            <w:szCs w:val="28"/>
          </w:rPr>
          <w:fldChar w:fldCharType="separate"/>
        </w:r>
        <w:r>
          <w:rPr>
            <w:rFonts w:asciiTheme="majorEastAsia" w:hAnsiTheme="majorEastAsia" w:eastAsiaTheme="majorEastAsia"/>
            <w:b/>
            <w:sz w:val="28"/>
            <w:szCs w:val="28"/>
            <w:lang w:val="zh-CN"/>
          </w:rPr>
          <w:t>-</w:t>
        </w:r>
        <w:r>
          <w:rPr>
            <w:rFonts w:asciiTheme="majorEastAsia" w:hAnsiTheme="majorEastAsia" w:eastAsiaTheme="majorEastAsia"/>
            <w:b/>
            <w:sz w:val="28"/>
            <w:szCs w:val="28"/>
          </w:rPr>
          <w:t xml:space="preserve"> 1 -</w:t>
        </w:r>
        <w:r>
          <w:rPr>
            <w:rFonts w:asciiTheme="majorEastAsia" w:hAnsiTheme="majorEastAsia" w:eastAsiaTheme="majorEastAsia"/>
            <w:b/>
            <w:sz w:val="28"/>
            <w:szCs w:val="2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1312" behindDoc="0" locked="0" layoutInCell="0" allowOverlap="1">
              <wp:simplePos x="0" y="0"/>
              <wp:positionH relativeFrom="leftMargin">
                <wp:posOffset>607695</wp:posOffset>
              </wp:positionH>
              <wp:positionV relativeFrom="margin">
                <wp:posOffset>5198110</wp:posOffset>
              </wp:positionV>
              <wp:extent cx="510540" cy="685800"/>
              <wp:effectExtent l="0" t="0" r="0" b="0"/>
              <wp:wrapNone/>
              <wp:docPr id="5" name="矩形 3"/>
              <wp:cNvGraphicFramePr/>
              <a:graphic xmlns:a="http://schemas.openxmlformats.org/drawingml/2006/main">
                <a:graphicData uri="http://schemas.microsoft.com/office/word/2010/wordprocessingShape">
                  <wps:wsp>
                    <wps:cNvSpPr>
                      <a:spLocks noChangeArrowheads="true"/>
                    </wps:cNvSpPr>
                    <wps:spPr bwMode="auto">
                      <a:xfrm>
                        <a:off x="0" y="0"/>
                        <a:ext cx="510540" cy="685800"/>
                      </a:xfrm>
                      <a:prstGeom prst="rect">
                        <a:avLst/>
                      </a:prstGeom>
                      <a:noFill/>
                    </wps:spPr>
                    <wps:txbx>
                      <w:txbxContent>
                        <w:p>
                          <w:pPr>
                            <w:pStyle w:val="3"/>
                            <w:rPr>
                              <w:rFonts w:asciiTheme="majorEastAsia" w:hAnsiTheme="majorEastAsia" w:eastAsiaTheme="majorEastAsia" w:cstheme="majorBidi"/>
                              <w:b/>
                              <w:sz w:val="28"/>
                              <w:szCs w:val="28"/>
                            </w:rPr>
                          </w:pPr>
                          <w:r>
                            <w:rPr>
                              <w:rFonts w:asciiTheme="majorEastAsia" w:hAnsiTheme="majorEastAsia" w:eastAsiaTheme="majorEastAsia" w:cstheme="minorBidi"/>
                              <w:b/>
                              <w:sz w:val="28"/>
                              <w:szCs w:val="28"/>
                            </w:rPr>
                            <w:fldChar w:fldCharType="begin"/>
                          </w:r>
                          <w:r>
                            <w:rPr>
                              <w:rFonts w:asciiTheme="majorEastAsia" w:hAnsiTheme="majorEastAsia" w:eastAsiaTheme="majorEastAsia"/>
                              <w:b/>
                              <w:sz w:val="28"/>
                              <w:szCs w:val="28"/>
                            </w:rPr>
                            <w:instrText xml:space="preserve">PAGE    \* MERGEFORMAT</w:instrText>
                          </w:r>
                          <w:r>
                            <w:rPr>
                              <w:rFonts w:asciiTheme="majorEastAsia" w:hAnsiTheme="majorEastAsia" w:eastAsiaTheme="majorEastAsia" w:cstheme="minorBidi"/>
                              <w:b/>
                              <w:sz w:val="28"/>
                              <w:szCs w:val="28"/>
                            </w:rPr>
                            <w:fldChar w:fldCharType="separate"/>
                          </w:r>
                          <w:r>
                            <w:rPr>
                              <w:rFonts w:asciiTheme="majorEastAsia" w:hAnsiTheme="majorEastAsia" w:eastAsiaTheme="majorEastAsia" w:cstheme="majorBidi"/>
                              <w:b/>
                              <w:sz w:val="28"/>
                              <w:szCs w:val="28"/>
                              <w:lang w:val="zh-CN"/>
                            </w:rPr>
                            <w:t>-</w:t>
                          </w:r>
                          <w:r>
                            <w:rPr>
                              <w:rFonts w:asciiTheme="majorEastAsia" w:hAnsiTheme="majorEastAsia" w:eastAsiaTheme="majorEastAsia"/>
                              <w:b/>
                              <w:sz w:val="28"/>
                              <w:szCs w:val="28"/>
                            </w:rPr>
                            <w:t xml:space="preserve"> 41 -</w:t>
                          </w:r>
                          <w:r>
                            <w:rPr>
                              <w:rFonts w:asciiTheme="majorEastAsia" w:hAnsiTheme="majorEastAsia" w:eastAsiaTheme="majorEastAsia" w:cstheme="majorBidi"/>
                              <w:b/>
                              <w:sz w:val="28"/>
                              <w:szCs w:val="28"/>
                            </w:rPr>
                            <w:fldChar w:fldCharType="end"/>
                          </w:r>
                        </w:p>
                      </w:txbxContent>
                    </wps:txbx>
                    <wps:bodyPr rot="0" vert="vert" wrap="square" lIns="91440" tIns="45720" rIns="91440" bIns="45720" anchor="ctr" anchorCtr="false" upright="true">
                      <a:spAutoFit/>
                    </wps:bodyPr>
                  </wps:wsp>
                </a:graphicData>
              </a:graphic>
            </wp:anchor>
          </w:drawing>
        </mc:Choice>
        <mc:Fallback>
          <w:pict>
            <v:rect id="矩形 3" o:spid="_x0000_s1026" o:spt="1" style="position:absolute;left:0pt;margin-left:47.85pt;margin-top:466pt;height:54pt;width:40.2pt;mso-position-horizontal-relative:page;mso-position-vertical-relative:page;z-index:251661312;v-text-anchor:middle;mso-width-relative:page;mso-height-relative:page;" filled="f" stroked="f" coordsize="21600,21600" o:allowincell="f" o:gfxdata="UEsFBgAAAAAAAAAAAAAAAAAAAAAAAFBLAwQKAAAAAACHTuJAAAAAAAAAAAAAAAAABAAAAGRycy9Q SwMEFAAAAAgAh07iQL4x3zLZAAAACgEAAA8AAABkcnMvZG93bnJldi54bWxNj8FuwjAQRO+V+Adr kbgVx0iYNI2D2qqIqlIPQC+9mXgbR43XUWwC/H3NqT2u5mnmbbm+uI6NOITWkwIxz4Ah1d601Cj4 PGzuc2AhajK684QKrhhgXU3uSl0Yf6YdjvvYsFRCodAKbIx9wXmoLTod5r5HStm3H5yO6RwabgZ9 TuWu44ssk9zpltKC1T2+WKx/9ien4Hkb/MfoX3fbp68368arOLyHjVKzqcgegUW8xD8YbvpJHark dPQnMoF1Ch6Wq0QqyEUugd2AlRTAjilZSAm8Kvn/F6pfUEsDBBQAAAAIAIdO4kC63sUm7AEAAK0D AAAOAAAAZHJzL2Uyb0RvYy54bWytU12O0zAQfkfiDpbfadLSLiVqulrtqghpgZUWDjB1nB+ReMzY bdLTIPHGITgO4hqMnbYUeEO8jDIez+fv+2ayuh66Vuw1uQZNLqeTVAptFBaNqXL54f3m2VIK58EU 0KLRuTxoJ6/XT5+sepvpGdbYFpoEgxiX9TaXtfc2SxKnat2Bm6DVhoslUgeeU6qSgqBn9K5NZml6 lfRIhSVU2jk+vRuLch3xy1Ir/64snfaizSVz8zFSjNsQk/UKsorA1o060oB/YNFBY/jRM9QdeBA7 av6C6hpF6LD0E4VdgmXZKB01sJpp+oeaxxqsjlrYHGfPNrn/B6ve7h9INEUuF1IY6HhEPz5//f7t i3gevOmty/jKo32goM7Ze1QfnTB4W4Op9A0R9rWGghl52unQkvzWExLH3WLbv8GC0WHnMTo1lNQF TPZADHEgh/NA9OCF4sPFNF3MeWyKS1fLxTKNA0sgOzVbcv6Vxk6Ej1wSzzuCw/7e+UAGstOV8JbB TdO2J5KB1yjRD9vhqHaLxYHpEo6rwqvNHyFK0fOa5NJ92gFpKdrXhlW/nM4DQR+T+eLFjBO6rGwv K2BUjbx9ypMUY3LrOS+hdQy5s9RUNb8XvRwNv2G/Nk3UErwc6R1d5p2IEo/7G5buMo+3fv1l659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B0BAAA W0NvbnRlbnRfVHlwZXNdLnhtbFBLAQIUAAoAAAAAAIdO4kAAAAAAAAAAAAAAAAAGAAAAAAAAAAAA EAAAAFYDAABfcmVscy9QSwECFAAUAAAACACHTuJAihRmPNEAAACUAQAACwAAAAAAAAABACAAAAB6 AwAAX3JlbHMvLnJlbHNQSwECFAAKAAAAAACHTuJAAAAAAAAAAAAAAAAABAAAAAAAAAAAABAAAAAW AAAAZHJzL1BLAQIUABQAAAAIAIdO4kC+Md8y2QAAAAoBAAAPAAAAAAAAAAEAIAAAADgAAABkcnMv ZG93bnJldi54bWxQSwECFAAUAAAACACHTuJAut7FJuwBAACtAwAADgAAAAAAAAABACAAAAA+AQAA ZHJzL2Uyb0RvYy54bWxQSwUGAAAAAAYABgBZAQAAnAUAAAAA ">
              <v:fill on="f" focussize="0,0"/>
              <v:stroke on="f"/>
              <v:imagedata o:title=""/>
              <o:lock v:ext="edit" aspectratio="f"/>
              <v:textbox style="layout-flow:vertical;mso-fit-shape-to-text:t;">
                <w:txbxContent>
                  <w:p>
                    <w:pPr>
                      <w:pStyle w:val="3"/>
                      <w:rPr>
                        <w:rFonts w:asciiTheme="majorEastAsia" w:hAnsiTheme="majorEastAsia" w:eastAsiaTheme="majorEastAsia" w:cstheme="majorBidi"/>
                        <w:b/>
                        <w:sz w:val="28"/>
                        <w:szCs w:val="28"/>
                      </w:rPr>
                    </w:pPr>
                    <w:r>
                      <w:rPr>
                        <w:rFonts w:asciiTheme="majorEastAsia" w:hAnsiTheme="majorEastAsia" w:eastAsiaTheme="majorEastAsia" w:cstheme="minorBidi"/>
                        <w:b/>
                        <w:sz w:val="28"/>
                        <w:szCs w:val="28"/>
                      </w:rPr>
                      <w:fldChar w:fldCharType="begin"/>
                    </w:r>
                    <w:r>
                      <w:rPr>
                        <w:rFonts w:asciiTheme="majorEastAsia" w:hAnsiTheme="majorEastAsia" w:eastAsiaTheme="majorEastAsia"/>
                        <w:b/>
                        <w:sz w:val="28"/>
                        <w:szCs w:val="28"/>
                      </w:rPr>
                      <w:instrText xml:space="preserve">PAGE    \* MERGEFORMAT</w:instrText>
                    </w:r>
                    <w:r>
                      <w:rPr>
                        <w:rFonts w:asciiTheme="majorEastAsia" w:hAnsiTheme="majorEastAsia" w:eastAsiaTheme="majorEastAsia" w:cstheme="minorBidi"/>
                        <w:b/>
                        <w:sz w:val="28"/>
                        <w:szCs w:val="28"/>
                      </w:rPr>
                      <w:fldChar w:fldCharType="separate"/>
                    </w:r>
                    <w:r>
                      <w:rPr>
                        <w:rFonts w:asciiTheme="majorEastAsia" w:hAnsiTheme="majorEastAsia" w:eastAsiaTheme="majorEastAsia" w:cstheme="majorBidi"/>
                        <w:b/>
                        <w:sz w:val="28"/>
                        <w:szCs w:val="28"/>
                        <w:lang w:val="zh-CN"/>
                      </w:rPr>
                      <w:t>-</w:t>
                    </w:r>
                    <w:r>
                      <w:rPr>
                        <w:rFonts w:asciiTheme="majorEastAsia" w:hAnsiTheme="majorEastAsia" w:eastAsiaTheme="majorEastAsia"/>
                        <w:b/>
                        <w:sz w:val="28"/>
                        <w:szCs w:val="28"/>
                      </w:rPr>
                      <w:t xml:space="preserve"> 41 -</w:t>
                    </w:r>
                    <w:r>
                      <w:rPr>
                        <w:rFonts w:asciiTheme="majorEastAsia" w:hAnsiTheme="majorEastAsia" w:eastAsiaTheme="majorEastAsia" w:cstheme="majorBidi"/>
                        <w:b/>
                        <w:sz w:val="28"/>
                        <w:szCs w:val="28"/>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4"/>
          <w:pBdr>
            <w:bottom w:val="none" w:color="auto" w:sz="0" w:space="0"/>
          </w:pBdr>
        </w:pPr>
        <w:r>
          <mc:AlternateContent>
            <mc:Choice Requires="wps">
              <w:drawing>
                <wp:anchor distT="0" distB="0" distL="114300" distR="114300" simplePos="0" relativeHeight="251659264" behindDoc="0" locked="0" layoutInCell="0" allowOverlap="1">
                  <wp:simplePos x="0" y="0"/>
                  <wp:positionH relativeFrom="leftMargin">
                    <wp:posOffset>617220</wp:posOffset>
                  </wp:positionH>
                  <wp:positionV relativeFrom="margin">
                    <wp:posOffset>90805</wp:posOffset>
                  </wp:positionV>
                  <wp:extent cx="510540" cy="2183130"/>
                  <wp:effectExtent l="0" t="0" r="0" b="0"/>
                  <wp:wrapNone/>
                  <wp:docPr id="572" name="矩形 3"/>
                  <wp:cNvGraphicFramePr/>
                  <a:graphic xmlns:a="http://schemas.openxmlformats.org/drawingml/2006/main">
                    <a:graphicData uri="http://schemas.microsoft.com/office/word/2010/wordprocessingShape">
                      <wps:wsp>
                        <wps:cNvSpPr>
                          <a:spLocks noChangeArrowheads="true"/>
                        </wps:cNvSpPr>
                        <wps:spPr bwMode="auto">
                          <a:xfrm>
                            <a:off x="0" y="0"/>
                            <a:ext cx="510540" cy="2183130"/>
                          </a:xfrm>
                          <a:prstGeom prst="rect">
                            <a:avLst/>
                          </a:prstGeom>
                          <a:noFill/>
                        </wps:spPr>
                        <wps:txbx>
                          <w:txbxContent>
                            <w:p>
                              <w:pPr>
                                <w:pStyle w:val="3"/>
                                <w:rPr>
                                  <w:rFonts w:asciiTheme="majorEastAsia" w:hAnsiTheme="majorEastAsia" w:eastAsiaTheme="majorEastAsia" w:cstheme="majorBidi"/>
                                  <w:b/>
                                  <w:sz w:val="28"/>
                                  <w:szCs w:val="28"/>
                                </w:rPr>
                              </w:pPr>
                              <w:r>
                                <w:rPr>
                                  <w:rFonts w:asciiTheme="majorEastAsia" w:hAnsiTheme="majorEastAsia" w:eastAsiaTheme="majorEastAsia" w:cstheme="minorBidi"/>
                                  <w:b/>
                                  <w:sz w:val="28"/>
                                  <w:szCs w:val="28"/>
                                </w:rPr>
                                <w:fldChar w:fldCharType="begin"/>
                              </w:r>
                              <w:r>
                                <w:rPr>
                                  <w:rFonts w:asciiTheme="majorEastAsia" w:hAnsiTheme="majorEastAsia" w:eastAsiaTheme="majorEastAsia"/>
                                  <w:b/>
                                  <w:sz w:val="28"/>
                                  <w:szCs w:val="28"/>
                                </w:rPr>
                                <w:instrText xml:space="preserve">PAGE    \* MERGEFORMAT</w:instrText>
                              </w:r>
                              <w:r>
                                <w:rPr>
                                  <w:rFonts w:asciiTheme="majorEastAsia" w:hAnsiTheme="majorEastAsia" w:eastAsiaTheme="majorEastAsia" w:cstheme="minorBidi"/>
                                  <w:b/>
                                  <w:sz w:val="28"/>
                                  <w:szCs w:val="28"/>
                                </w:rPr>
                                <w:fldChar w:fldCharType="separate"/>
                              </w:r>
                              <w:r>
                                <w:rPr>
                                  <w:rFonts w:asciiTheme="majorEastAsia" w:hAnsiTheme="majorEastAsia" w:eastAsiaTheme="majorEastAsia" w:cstheme="majorBidi"/>
                                  <w:b/>
                                  <w:sz w:val="28"/>
                                  <w:szCs w:val="28"/>
                                  <w:lang w:val="zh-CN"/>
                                </w:rPr>
                                <w:t>-</w:t>
                              </w:r>
                              <w:r>
                                <w:rPr>
                                  <w:rFonts w:asciiTheme="majorEastAsia" w:hAnsiTheme="majorEastAsia" w:eastAsiaTheme="majorEastAsia"/>
                                  <w:b/>
                                  <w:sz w:val="28"/>
                                  <w:szCs w:val="28"/>
                                </w:rPr>
                                <w:t xml:space="preserve"> 42 -</w:t>
                              </w:r>
                              <w:r>
                                <w:rPr>
                                  <w:rFonts w:asciiTheme="majorEastAsia" w:hAnsiTheme="majorEastAsia" w:eastAsiaTheme="majorEastAsia" w:cstheme="majorBidi"/>
                                  <w:b/>
                                  <w:sz w:val="28"/>
                                  <w:szCs w:val="28"/>
                                </w:rPr>
                                <w:fldChar w:fldCharType="end"/>
                              </w:r>
                            </w:p>
                          </w:txbxContent>
                        </wps:txbx>
                        <wps:bodyPr rot="0" vert="vert" wrap="square" lIns="91440" tIns="45720" rIns="91440" bIns="45720" anchor="ctr" anchorCtr="false" upright="true">
                          <a:spAutoFit/>
                        </wps:bodyPr>
                      </wps:wsp>
                    </a:graphicData>
                  </a:graphic>
                </wp:anchor>
              </w:drawing>
            </mc:Choice>
            <mc:Fallback>
              <w:pict>
                <v:rect id="矩形 3" o:spid="_x0000_s1026" o:spt="1" style="position:absolute;left:0pt;margin-left:48.6pt;margin-top:63.85pt;height:171.9pt;width:40.2pt;mso-position-horizontal-relative:page;mso-position-vertical-relative:page;z-index:251659264;v-text-anchor:middle;mso-width-relative:page;mso-height-relative:page;" filled="f" stroked="f" coordsize="21600,21600" o:allowincell="f" o:gfxdata="UEsFBgAAAAAAAAAAAAAAAAAAAAAAAFBLAwQKAAAAAACHTuJAAAAAAAAAAAAAAAAABAAAAGRycy9Q SwMEFAAAAAgAh07iQPvMNbvaAAAACQEAAA8AAABkcnMvZG93bnJldi54bWxNj0FPwkAQhe8m/ofN mHiTbUEp1G6JGgnExAPghdvSHbuN3dmmsxT49y4nPb55L+99UyzOrhUD9tx4UpCOEhBIlTcN1Qq+ dsuHGQgOmoxuPaGCCzIsytubQufGn2iDwzbUIpYQ51qBDaHLpeTKotM88h1S9L5973SIsq+l6fUp lrtWjpNkKp1uKC5Y3eGbxepne3QKXlfsPwf/vlm97NfWDZd098FLpe7v0uQZRMBz+AvDFT+iQxmZ Dv5IhkWrYJ6NYzLeHycgrn6WTUEcFEyeZinIspD/Pyh/AVBLAwQUAAAACACHTuJADUhPtu4BAACw AwAADgAAAGRycy9lMm9Eb2MueG1srVNdjtMwEH5H4g6W32mS/sASNV2tdlWEtMBKCweYOk4TkXjM 2G3S0yDxxiE4DuIajJ22FHhDvIwyHs/n7/tmsrweulbsNbkGTSGzSSqFNgrLxmwL+eH9+tmVFM6D KaFFowt50E5er54+WfY211OssS01CQYxLu9tIWvvbZ4kTtW6AzdBqw0XK6QOPKe0TUqCntG7Npmm 6fOkRyotodLO8endWJSriF9VWvl3VeW0F20hmZuPkWLchJislpBvCWzdqCMN+AcWHTSGHz1D3YEH saPmL6iuUYQOKz9R2CVYVY3SUQOrydI/1DzWYHXUwuY4e7bJ/T9Y9Xb/QKIpC7l4MZXCQMdD+vH5 6/dvX8QsuNNbl/OlR/tAQZ+z96g+OmHwtgaz1TdE2NcaSubkaadDS/JbT0gcd4tN/wZLRoedx+jV UFEXMNkFMcSRHM4j0YMXig8XWbqY8+AUl6bZ1SybxZklkJ+6LTn/SmMnwkchiUce0WF/73xgA/np SnjM4Lpp2xPLQGzU6IfNcJS7wfLAfAnHbeHt5o8Qpeh5UwrpPu2AtBTta8OyX2bzwNDHZM42ckKX lc1lBYyqkRdQeZJiTG495xW0jiF3lpptze9FM0fHb9iwdRO1BDNHekebeS2ixOMKh727zOOtXz/a 6idQSwMECgAAAAAAh07iQAAAAAAAAAAAAAAAAAYAAABfcmVscy9QSwMEFAAAAAgAh07iQIoUZjzR AAAAlAEAAAsAAABfcmVscy8ucmVsc6WQwWrDMAyG74O9g9F9cZrDGKNOL6PQa+kewNiKYxpbRjLZ +vbzDoNl9LajfqHvE//+8JkWtSJLpGxg1/WgMDvyMQcD75fj0wsoqTZ7u1BGAzcUOIyPD/szLra2 I5ljEdUoWQzMtZZXrcXNmKx0VDC3zUScbG0jB12su9qAeuj7Z82/GTBumOrkDfDJD6Aut9LMf9gp OiahqXaOkqZpiu4eVQe2ZY7uyDbhG7lGsxywGvAsGgdqWdd+BH1fv/un3tNHPuO61X6HjOuPV2+6 HL8AUEsDBBQAAAAIAIdO4kB+5uUg9wAAAOEBAAATAAAAW0NvbnRlbnRfVHlwZXNdLnhtbJWRQU7D MBBF90jcwfIWJU67QAgl6YK0S0CoHGBkTxKLZGx5TGhvj5O2G0SRWNoz/78nu9wcxkFMGNg6quQq L6RA0s5Y6ir5vt9lD1JwBDIwOMJKHpHlpr69KfdHjyxSmriSfYz+USnWPY7AufNIadK6MEJMx9Ap D/oDOlTrorhX2lFEilmcO2RdNtjC5xDF9pCuTyYBB5bi6bQ4syoJ3g9WQ0ymaiLzg5KdCXlKLjvc W893SUOqXwnz5DrgnHtJTxOsQfEKIT7DmDSUCayM+6KAU/53yWw5cuba1mrMm8BNir3hdLG61o5r 1zj93/Ltkrp0q+WD6m9QSwECFAAUAAAACACHTuJAfublIPcAAADhAQAAEwAAAAAAAAABACAAAAB3 BAAAW0NvbnRlbnRfVHlwZXNdLnhtbFBLAQIUAAoAAAAAAIdO4kAAAAAAAAAAAAAAAAAGAAAAAAAA AAAAEAAAAFkDAABfcmVscy9QSwECFAAUAAAACACHTuJAihRmPNEAAACUAQAACwAAAAAAAAABACAA AAB9AwAAX3JlbHMvLnJlbHNQSwECFAAKAAAAAACHTuJAAAAAAAAAAAAAAAAABAAAAAAAAAAAABAA AAAWAAAAZHJzL1BLAQIUABQAAAAIAIdO4kD7zDW72gAAAAkBAAAPAAAAAAAAAAEAIAAAADgAAABk cnMvZG93bnJldi54bWxQSwECFAAUAAAACACHTuJADUhPtu4BAACwAwAADgAAAAAAAAABACAAAAA/ AQAAZHJzL2Uyb0RvYy54bWxQSwUGAAAAAAYABgBZAQAAnwUAAAAA ">
                  <v:fill on="f" focussize="0,0"/>
                  <v:stroke on="f"/>
                  <v:imagedata o:title=""/>
                  <o:lock v:ext="edit" aspectratio="f"/>
                  <v:textbox style="layout-flow:vertical;mso-fit-shape-to-text:t;">
                    <w:txbxContent>
                      <w:p>
                        <w:pPr>
                          <w:pStyle w:val="3"/>
                          <w:rPr>
                            <w:rFonts w:asciiTheme="majorEastAsia" w:hAnsiTheme="majorEastAsia" w:eastAsiaTheme="majorEastAsia" w:cstheme="majorBidi"/>
                            <w:b/>
                            <w:sz w:val="28"/>
                            <w:szCs w:val="28"/>
                          </w:rPr>
                        </w:pPr>
                        <w:r>
                          <w:rPr>
                            <w:rFonts w:asciiTheme="majorEastAsia" w:hAnsiTheme="majorEastAsia" w:eastAsiaTheme="majorEastAsia" w:cstheme="minorBidi"/>
                            <w:b/>
                            <w:sz w:val="28"/>
                            <w:szCs w:val="28"/>
                          </w:rPr>
                          <w:fldChar w:fldCharType="begin"/>
                        </w:r>
                        <w:r>
                          <w:rPr>
                            <w:rFonts w:asciiTheme="majorEastAsia" w:hAnsiTheme="majorEastAsia" w:eastAsiaTheme="majorEastAsia"/>
                            <w:b/>
                            <w:sz w:val="28"/>
                            <w:szCs w:val="28"/>
                          </w:rPr>
                          <w:instrText xml:space="preserve">PAGE    \* MERGEFORMAT</w:instrText>
                        </w:r>
                        <w:r>
                          <w:rPr>
                            <w:rFonts w:asciiTheme="majorEastAsia" w:hAnsiTheme="majorEastAsia" w:eastAsiaTheme="majorEastAsia" w:cstheme="minorBidi"/>
                            <w:b/>
                            <w:sz w:val="28"/>
                            <w:szCs w:val="28"/>
                          </w:rPr>
                          <w:fldChar w:fldCharType="separate"/>
                        </w:r>
                        <w:r>
                          <w:rPr>
                            <w:rFonts w:asciiTheme="majorEastAsia" w:hAnsiTheme="majorEastAsia" w:eastAsiaTheme="majorEastAsia" w:cstheme="majorBidi"/>
                            <w:b/>
                            <w:sz w:val="28"/>
                            <w:szCs w:val="28"/>
                            <w:lang w:val="zh-CN"/>
                          </w:rPr>
                          <w:t>-</w:t>
                        </w:r>
                        <w:r>
                          <w:rPr>
                            <w:rFonts w:asciiTheme="majorEastAsia" w:hAnsiTheme="majorEastAsia" w:eastAsiaTheme="majorEastAsia"/>
                            <w:b/>
                            <w:sz w:val="28"/>
                            <w:szCs w:val="28"/>
                          </w:rPr>
                          <w:t xml:space="preserve"> 42 -</w:t>
                        </w:r>
                        <w:r>
                          <w:rPr>
                            <w:rFonts w:asciiTheme="majorEastAsia" w:hAnsiTheme="majorEastAsia" w:eastAsiaTheme="majorEastAsia" w:cstheme="majorBidi"/>
                            <w:b/>
                            <w:sz w:val="28"/>
                            <w:szCs w:val="28"/>
                          </w:rPr>
                          <w:fldChar w:fldCharType="end"/>
                        </w:r>
                      </w:p>
                    </w:txbxContent>
                  </v:textbox>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1" w:edit="readOnly" w:salt="/Lda6gpx+0DrwxOD8uYODA==" w:hash="739SRldx1xFcUMyEkt/yeYxt+Wt8a11WJ2Ysv0FoEArWr7ttdUqDJhnbu9AWZCOhxQsbW6xytbQZ2uXwg84oQA==" w:cryptSpinCount="100000" w:cryptAlgorithmType="typeAny" w:cryptAlgorithmClass="hash" w:cryptProviderType="rsaAES" w:cryptAlgorithmSid="14"/>
  <w:defaultTabStop w:val="420"/>
  <w:evenAndOddHeaders w:val="true"/>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43C"/>
    <w:rsid w:val="000430A6"/>
    <w:rsid w:val="0034455F"/>
    <w:rsid w:val="00647F59"/>
    <w:rsid w:val="009860F1"/>
    <w:rsid w:val="00B72815"/>
    <w:rsid w:val="00B76A3C"/>
    <w:rsid w:val="00BC178C"/>
    <w:rsid w:val="00BE143C"/>
    <w:rsid w:val="00D205ED"/>
    <w:rsid w:val="00E142D1"/>
    <w:rsid w:val="00EB566B"/>
    <w:rsid w:val="1CDA5396"/>
    <w:rsid w:val="1F278494"/>
    <w:rsid w:val="35CE3E7D"/>
    <w:rsid w:val="3A793410"/>
    <w:rsid w:val="4FFF72F5"/>
    <w:rsid w:val="57E54C4F"/>
    <w:rsid w:val="5F7DC16A"/>
    <w:rsid w:val="5FFE9C9E"/>
    <w:rsid w:val="5FFFE7CA"/>
    <w:rsid w:val="662DB532"/>
    <w:rsid w:val="66BF8E4C"/>
    <w:rsid w:val="67FFB3BB"/>
    <w:rsid w:val="6DAF038F"/>
    <w:rsid w:val="6DB72DE2"/>
    <w:rsid w:val="6FBE8ECF"/>
    <w:rsid w:val="718FEC09"/>
    <w:rsid w:val="74F7A915"/>
    <w:rsid w:val="7BFFA87C"/>
    <w:rsid w:val="7F3EDF86"/>
    <w:rsid w:val="7F7750F4"/>
    <w:rsid w:val="7FB80034"/>
    <w:rsid w:val="7FFFEBAE"/>
    <w:rsid w:val="8FFF67B7"/>
    <w:rsid w:val="9FF53100"/>
    <w:rsid w:val="A9B5D352"/>
    <w:rsid w:val="AF5FFB62"/>
    <w:rsid w:val="AFA6240F"/>
    <w:rsid w:val="BEFF5685"/>
    <w:rsid w:val="BFB69973"/>
    <w:rsid w:val="BFCF50D3"/>
    <w:rsid w:val="BFEF9572"/>
    <w:rsid w:val="DE7B4A2C"/>
    <w:rsid w:val="DECA01D4"/>
    <w:rsid w:val="E4F30230"/>
    <w:rsid w:val="EE6C4105"/>
    <w:rsid w:val="EFFE3FFD"/>
    <w:rsid w:val="F3AF543E"/>
    <w:rsid w:val="F3FBF109"/>
    <w:rsid w:val="F5E745EF"/>
    <w:rsid w:val="F77FDDC6"/>
    <w:rsid w:val="F7FFCE0D"/>
    <w:rsid w:val="F9FB4D05"/>
    <w:rsid w:val="FAEECA70"/>
    <w:rsid w:val="FCEF1F43"/>
    <w:rsid w:val="FDE2F5B8"/>
    <w:rsid w:val="FDF7B53D"/>
    <w:rsid w:val="FEED5812"/>
    <w:rsid w:val="FF6FFA95"/>
    <w:rsid w:val="FFBFE1E1"/>
    <w:rsid w:val="FFF56E4A"/>
    <w:rsid w:val="FFF8C57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6"/>
    <w:qFormat/>
    <w:uiPriority w:val="0"/>
    <w:rPr>
      <w:rFonts w:eastAsia="方正小标宋简体"/>
      <w:kern w:val="2"/>
      <w:sz w:val="18"/>
      <w:szCs w:val="18"/>
    </w:r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qFormat/>
    <w:uiPriority w:val="0"/>
  </w:style>
  <w:style w:type="character" w:styleId="9">
    <w:name w:val="FollowedHyperlink"/>
    <w:basedOn w:val="7"/>
    <w:unhideWhenUsed/>
    <w:qFormat/>
    <w:uiPriority w:val="99"/>
    <w:rPr>
      <w:color w:val="800080"/>
      <w:u w:val="single"/>
    </w:rPr>
  </w:style>
  <w:style w:type="character" w:styleId="10">
    <w:name w:val="Hyperlink"/>
    <w:basedOn w:val="7"/>
    <w:unhideWhenUsed/>
    <w:qFormat/>
    <w:uiPriority w:val="99"/>
    <w:rPr>
      <w:color w:val="0000FF"/>
      <w:u w:val="single"/>
    </w:rPr>
  </w:style>
  <w:style w:type="character" w:customStyle="1" w:styleId="11">
    <w:name w:val="页脚 Char"/>
    <w:basedOn w:val="7"/>
    <w:qFormat/>
    <w:uiPriority w:val="99"/>
    <w:rPr>
      <w:rFonts w:hint="eastAsia" w:ascii="方正仿宋简体" w:hAnsi="方正仿宋简体" w:eastAsia="方正仿宋简体" w:cs="方正仿宋简体"/>
      <w:kern w:val="2"/>
      <w:sz w:val="18"/>
      <w:szCs w:val="18"/>
    </w:rPr>
  </w:style>
  <w:style w:type="character" w:customStyle="1" w:styleId="12">
    <w:name w:val="页眉 Char"/>
    <w:basedOn w:val="7"/>
    <w:qFormat/>
    <w:uiPriority w:val="0"/>
    <w:rPr>
      <w:rFonts w:asciiTheme="minorHAnsi" w:hAnsiTheme="minorHAnsi" w:eastAsiaTheme="minorEastAsia" w:cstheme="minorBidi"/>
      <w:kern w:val="2"/>
      <w:sz w:val="18"/>
      <w:szCs w:val="18"/>
    </w:rPr>
  </w:style>
  <w:style w:type="character" w:customStyle="1" w:styleId="13">
    <w:name w:val="页眉 Char1"/>
    <w:basedOn w:val="7"/>
    <w:link w:val="4"/>
    <w:qFormat/>
    <w:uiPriority w:val="99"/>
    <w:rPr>
      <w:sz w:val="18"/>
      <w:szCs w:val="18"/>
    </w:rPr>
  </w:style>
  <w:style w:type="character" w:customStyle="1" w:styleId="14">
    <w:name w:val="页脚 Char1"/>
    <w:basedOn w:val="7"/>
    <w:link w:val="3"/>
    <w:qFormat/>
    <w:uiPriority w:val="99"/>
    <w:rPr>
      <w:sz w:val="18"/>
      <w:szCs w:val="18"/>
    </w:rPr>
  </w:style>
  <w:style w:type="paragraph" w:customStyle="1" w:styleId="15">
    <w:name w:val="xl67"/>
    <w:basedOn w:val="1"/>
    <w:qFormat/>
    <w:uiPriority w:val="0"/>
    <w:pPr>
      <w:widowControl/>
      <w:shd w:val="clear" w:color="000000" w:fill="FFFFFF"/>
      <w:spacing w:before="100" w:beforeAutospacing="1" w:after="100" w:afterAutospacing="1"/>
      <w:jc w:val="left"/>
      <w:textAlignment w:val="center"/>
    </w:pPr>
    <w:rPr>
      <w:rFonts w:ascii="宋体" w:hAnsi="宋体" w:cs="宋体"/>
      <w:sz w:val="24"/>
    </w:rPr>
  </w:style>
  <w:style w:type="paragraph" w:customStyle="1" w:styleId="16">
    <w:name w:val="xl68"/>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sz w:val="24"/>
    </w:rPr>
  </w:style>
  <w:style w:type="paragraph" w:customStyle="1" w:styleId="17">
    <w:name w:val="xl69"/>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b/>
      <w:bCs/>
      <w:sz w:val="24"/>
    </w:rPr>
  </w:style>
  <w:style w:type="paragraph" w:customStyle="1" w:styleId="18">
    <w:name w:val="xl70"/>
    <w:basedOn w:val="1"/>
    <w:qFormat/>
    <w:uiPriority w:val="0"/>
    <w:pPr>
      <w:widowControl/>
      <w:shd w:val="clear" w:color="000000" w:fill="FFFFFF"/>
      <w:spacing w:before="100" w:beforeAutospacing="1" w:after="100" w:afterAutospacing="1"/>
      <w:jc w:val="left"/>
      <w:textAlignment w:val="center"/>
    </w:pPr>
    <w:rPr>
      <w:rFonts w:ascii="宋体" w:hAnsi="宋体" w:cs="宋体"/>
      <w:b/>
      <w:bCs/>
      <w:sz w:val="24"/>
    </w:rPr>
  </w:style>
  <w:style w:type="paragraph" w:customStyle="1" w:styleId="19">
    <w:name w:val="xl71"/>
    <w:basedOn w:val="1"/>
    <w:qFormat/>
    <w:uiPriority w:val="0"/>
    <w:pPr>
      <w:widowControl/>
      <w:shd w:val="clear" w:color="000000" w:fill="FFFFFF"/>
      <w:spacing w:before="100" w:beforeAutospacing="1" w:after="100" w:afterAutospacing="1"/>
      <w:jc w:val="left"/>
      <w:textAlignment w:val="center"/>
    </w:pPr>
    <w:rPr>
      <w:rFonts w:ascii="宋体" w:hAnsi="宋体" w:cs="宋体"/>
      <w:szCs w:val="20"/>
    </w:rPr>
  </w:style>
  <w:style w:type="paragraph" w:customStyle="1" w:styleId="20">
    <w:name w:val="xl72"/>
    <w:basedOn w:val="1"/>
    <w:qFormat/>
    <w:uiPriority w:val="0"/>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21">
    <w:name w:val="xl73"/>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color w:val="000000"/>
      <w:sz w:val="32"/>
      <w:szCs w:val="32"/>
    </w:rPr>
  </w:style>
  <w:style w:type="paragraph" w:customStyle="1" w:styleId="22">
    <w:name w:val="xl74"/>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sz w:val="24"/>
    </w:rPr>
  </w:style>
  <w:style w:type="paragraph" w:customStyle="1" w:styleId="23">
    <w:name w:val="xl75"/>
    <w:basedOn w:val="1"/>
    <w:qFormat/>
    <w:uiPriority w:val="0"/>
    <w:pPr>
      <w:widowControl/>
      <w:shd w:val="clear" w:color="000000" w:fill="FFFFFF"/>
      <w:spacing w:before="100" w:beforeAutospacing="1" w:after="100" w:afterAutospacing="1"/>
      <w:jc w:val="left"/>
      <w:textAlignment w:val="center"/>
    </w:pPr>
    <w:rPr>
      <w:rFonts w:ascii="方正小标宋简体" w:hAnsi="宋体" w:eastAsia="方正小标宋简体" w:cs="宋体"/>
      <w:sz w:val="24"/>
    </w:rPr>
  </w:style>
  <w:style w:type="paragraph" w:customStyle="1" w:styleId="24">
    <w:name w:val="xl76"/>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sz w:val="36"/>
      <w:szCs w:val="36"/>
    </w:rPr>
  </w:style>
  <w:style w:type="paragraph" w:customStyle="1" w:styleId="25">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sz w:val="24"/>
    </w:rPr>
  </w:style>
  <w:style w:type="paragraph" w:customStyle="1" w:styleId="26">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sz w:val="24"/>
    </w:rPr>
  </w:style>
  <w:style w:type="paragraph" w:customStyle="1" w:styleId="27">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sz w:val="24"/>
    </w:rPr>
  </w:style>
  <w:style w:type="paragraph" w:customStyle="1" w:styleId="28">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2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color w:val="000000"/>
      <w:sz w:val="24"/>
    </w:rPr>
  </w:style>
  <w:style w:type="paragraph" w:customStyle="1" w:styleId="30">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color w:val="000000"/>
      <w:sz w:val="24"/>
    </w:rPr>
  </w:style>
  <w:style w:type="paragraph" w:customStyle="1" w:styleId="31">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2"/>
      <w:szCs w:val="22"/>
    </w:rPr>
  </w:style>
  <w:style w:type="paragraph" w:customStyle="1" w:styleId="32">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sz w:val="24"/>
    </w:rPr>
  </w:style>
  <w:style w:type="paragraph" w:customStyle="1" w:styleId="33">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sz w:val="24"/>
    </w:rPr>
  </w:style>
  <w:style w:type="paragraph" w:customStyle="1" w:styleId="34">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4"/>
    </w:rPr>
  </w:style>
  <w:style w:type="paragraph" w:customStyle="1" w:styleId="35">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color w:val="000000"/>
      <w:sz w:val="24"/>
    </w:rPr>
  </w:style>
  <w:style w:type="paragraph" w:customStyle="1" w:styleId="36">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4"/>
    </w:rPr>
  </w:style>
  <w:style w:type="paragraph" w:customStyle="1" w:styleId="37">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3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color w:val="000000"/>
      <w:sz w:val="24"/>
    </w:rPr>
  </w:style>
  <w:style w:type="paragraph" w:customStyle="1" w:styleId="39">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4"/>
    </w:rPr>
  </w:style>
  <w:style w:type="paragraph" w:customStyle="1" w:styleId="40">
    <w:name w:val="xl9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color w:val="000000"/>
      <w:sz w:val="24"/>
    </w:rPr>
  </w:style>
  <w:style w:type="paragraph" w:customStyle="1" w:styleId="41">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42">
    <w:name w:val="xl94"/>
    <w:basedOn w:val="1"/>
    <w:qFormat/>
    <w:uiPriority w:val="0"/>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43">
    <w:name w:val="xl95"/>
    <w:basedOn w:val="1"/>
    <w:qFormat/>
    <w:uiPriority w:val="0"/>
    <w:pPr>
      <w:widowControl/>
      <w:shd w:val="clear" w:color="000000" w:fill="FFFFFF"/>
      <w:spacing w:before="100" w:beforeAutospacing="1" w:after="100" w:afterAutospacing="1"/>
      <w:jc w:val="left"/>
      <w:textAlignment w:val="center"/>
    </w:pPr>
    <w:rPr>
      <w:rFonts w:ascii="宋体" w:hAnsi="宋体" w:cs="宋体"/>
      <w:b/>
      <w:bCs/>
      <w:szCs w:val="20"/>
    </w:rPr>
  </w:style>
  <w:style w:type="paragraph" w:customStyle="1" w:styleId="44">
    <w:name w:val="xl96"/>
    <w:basedOn w:val="1"/>
    <w:qFormat/>
    <w:uiPriority w:val="0"/>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45">
    <w:name w:val="xl97"/>
    <w:basedOn w:val="1"/>
    <w:qFormat/>
    <w:uiPriority w:val="0"/>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46">
    <w:name w:val="xl98"/>
    <w:basedOn w:val="1"/>
    <w:qFormat/>
    <w:uiPriority w:val="0"/>
    <w:pPr>
      <w:widowControl/>
      <w:shd w:val="clear" w:color="000000" w:fill="FFFFFF"/>
      <w:spacing w:before="100" w:beforeAutospacing="1" w:after="100" w:afterAutospacing="1"/>
      <w:jc w:val="center"/>
      <w:textAlignment w:val="center"/>
    </w:pPr>
    <w:rPr>
      <w:rFonts w:ascii="仿宋_GB2312" w:hAnsi="宋体" w:eastAsia="仿宋_GB2312" w:cs="宋体"/>
      <w:color w:val="000000"/>
      <w:szCs w:val="20"/>
    </w:rPr>
  </w:style>
  <w:style w:type="paragraph" w:customStyle="1" w:styleId="47">
    <w:name w:val="xl99"/>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黑体" w:hAnsi="黑体" w:eastAsia="黑体" w:cs="宋体"/>
      <w:sz w:val="24"/>
    </w:rPr>
  </w:style>
  <w:style w:type="paragraph" w:customStyle="1" w:styleId="48">
    <w:name w:val="xl100"/>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2"/>
      <w:szCs w:val="22"/>
    </w:rPr>
  </w:style>
  <w:style w:type="paragraph" w:customStyle="1" w:styleId="49">
    <w:name w:val="xl101"/>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b/>
      <w:bCs/>
      <w:sz w:val="24"/>
    </w:rPr>
  </w:style>
  <w:style w:type="paragraph" w:customStyle="1" w:styleId="50">
    <w:name w:val="xl102"/>
    <w:basedOn w:val="1"/>
    <w:qFormat/>
    <w:uiPriority w:val="0"/>
    <w:pPr>
      <w:widowControl/>
      <w:shd w:val="clear" w:color="000000" w:fill="FFFFFF"/>
      <w:spacing w:before="100" w:beforeAutospacing="1" w:after="100" w:afterAutospacing="1"/>
      <w:jc w:val="center"/>
      <w:textAlignment w:val="center"/>
    </w:pPr>
    <w:rPr>
      <w:rFonts w:ascii="仿宋_GB2312" w:hAnsi="宋体" w:eastAsia="仿宋_GB2312" w:cs="宋体"/>
      <w:color w:val="000000"/>
      <w:szCs w:val="20"/>
    </w:rPr>
  </w:style>
  <w:style w:type="paragraph" w:customStyle="1" w:styleId="51">
    <w:name w:val="xl103"/>
    <w:basedOn w:val="1"/>
    <w:qFormat/>
    <w:uiPriority w:val="0"/>
    <w:pPr>
      <w:widowControl/>
      <w:shd w:val="clear" w:color="000000" w:fill="FFFFFF"/>
      <w:spacing w:before="100" w:beforeAutospacing="1" w:after="100" w:afterAutospacing="1"/>
      <w:jc w:val="center"/>
      <w:textAlignment w:val="center"/>
    </w:pPr>
    <w:rPr>
      <w:rFonts w:ascii="宋体" w:hAnsi="宋体" w:cs="宋体"/>
      <w:sz w:val="22"/>
      <w:szCs w:val="22"/>
    </w:rPr>
  </w:style>
  <w:style w:type="paragraph" w:customStyle="1" w:styleId="52">
    <w:name w:val="xl104"/>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szCs w:val="20"/>
    </w:rPr>
  </w:style>
  <w:style w:type="paragraph" w:customStyle="1" w:styleId="53">
    <w:name w:val="xl105"/>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szCs w:val="20"/>
    </w:rPr>
  </w:style>
  <w:style w:type="paragraph" w:customStyle="1" w:styleId="54">
    <w:name w:val="xl106"/>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szCs w:val="20"/>
    </w:rPr>
  </w:style>
  <w:style w:type="paragraph" w:customStyle="1" w:styleId="55">
    <w:name w:val="xl107"/>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szCs w:val="20"/>
    </w:rPr>
  </w:style>
  <w:style w:type="paragraph" w:customStyle="1" w:styleId="56">
    <w:name w:val="xl108"/>
    <w:basedOn w:val="1"/>
    <w:qFormat/>
    <w:uiPriority w:val="0"/>
    <w:pPr>
      <w:widowControl/>
      <w:shd w:val="clear" w:color="000000" w:fill="FFFFFF"/>
      <w:spacing w:before="100" w:beforeAutospacing="1" w:after="100" w:afterAutospacing="1"/>
      <w:jc w:val="center"/>
      <w:textAlignment w:val="center"/>
    </w:pPr>
    <w:rPr>
      <w:rFonts w:ascii="仿宋" w:hAnsi="仿宋" w:eastAsia="仿宋" w:cs="宋体"/>
      <w:color w:val="000000"/>
      <w:sz w:val="24"/>
    </w:rPr>
  </w:style>
  <w:style w:type="paragraph" w:customStyle="1" w:styleId="57">
    <w:name w:val="xl10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szCs w:val="20"/>
    </w:rPr>
  </w:style>
  <w:style w:type="paragraph" w:customStyle="1" w:styleId="58">
    <w:name w:val="xl11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sz w:val="24"/>
    </w:rPr>
  </w:style>
  <w:style w:type="paragraph" w:customStyle="1" w:styleId="59">
    <w:name w:val="xl111"/>
    <w:basedOn w:val="1"/>
    <w:qFormat/>
    <w:uiPriority w:val="0"/>
    <w:pPr>
      <w:widowControl/>
      <w:shd w:val="clear" w:color="000000" w:fill="FFFFFF"/>
      <w:spacing w:before="100" w:beforeAutospacing="1" w:after="100" w:afterAutospacing="1"/>
      <w:jc w:val="left"/>
      <w:textAlignment w:val="center"/>
    </w:pPr>
    <w:rPr>
      <w:rFonts w:ascii="方正小标宋简体" w:hAnsi="宋体" w:eastAsia="方正小标宋简体" w:cs="宋体"/>
      <w:szCs w:val="20"/>
    </w:rPr>
  </w:style>
  <w:style w:type="paragraph" w:customStyle="1" w:styleId="60">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61">
    <w:name w:val="xl1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2"/>
      <w:szCs w:val="22"/>
    </w:rPr>
  </w:style>
  <w:style w:type="paragraph" w:customStyle="1" w:styleId="62">
    <w:name w:val="xl11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color w:val="000000"/>
      <w:sz w:val="24"/>
    </w:rPr>
  </w:style>
  <w:style w:type="paragraph" w:customStyle="1" w:styleId="63">
    <w:name w:val="xl115"/>
    <w:basedOn w:val="1"/>
    <w:qFormat/>
    <w:uiPriority w:val="0"/>
    <w:pPr>
      <w:widowControl/>
      <w:shd w:val="clear" w:color="000000" w:fill="FFFFFF"/>
      <w:spacing w:before="100" w:beforeAutospacing="1" w:after="100" w:afterAutospacing="1"/>
      <w:jc w:val="center"/>
      <w:textAlignment w:val="center"/>
    </w:pPr>
    <w:rPr>
      <w:rFonts w:ascii="仿宋" w:hAnsi="仿宋" w:eastAsia="仿宋" w:cs="宋体"/>
      <w:sz w:val="24"/>
    </w:rPr>
  </w:style>
  <w:style w:type="paragraph" w:customStyle="1" w:styleId="64">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szCs w:val="20"/>
    </w:rPr>
  </w:style>
  <w:style w:type="paragraph" w:customStyle="1" w:styleId="65">
    <w:name w:val="xl117"/>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sz w:val="36"/>
      <w:szCs w:val="36"/>
    </w:rPr>
  </w:style>
  <w:style w:type="paragraph" w:customStyle="1" w:styleId="66">
    <w:name w:val="xl118"/>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b/>
      <w:bCs/>
      <w:color w:val="000000"/>
      <w:sz w:val="32"/>
      <w:szCs w:val="32"/>
    </w:rPr>
  </w:style>
  <w:style w:type="paragraph" w:customStyle="1" w:styleId="67">
    <w:name w:val="xl119"/>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b/>
      <w:bCs/>
      <w:sz w:val="24"/>
    </w:rPr>
  </w:style>
  <w:style w:type="paragraph" w:customStyle="1" w:styleId="68">
    <w:name w:val="xl120"/>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b/>
      <w:bCs/>
      <w:sz w:val="44"/>
      <w:szCs w:val="44"/>
    </w:rPr>
  </w:style>
  <w:style w:type="paragraph" w:customStyle="1" w:styleId="69">
    <w:name w:val="xl121"/>
    <w:basedOn w:val="1"/>
    <w:qFormat/>
    <w:uiPriority w:val="0"/>
    <w:pPr>
      <w:widowControl/>
      <w:shd w:val="clear" w:color="000000" w:fill="FFFFFF"/>
      <w:spacing w:before="100" w:beforeAutospacing="1" w:after="100" w:afterAutospacing="1"/>
      <w:jc w:val="left"/>
      <w:textAlignment w:val="center"/>
    </w:pPr>
    <w:rPr>
      <w:rFonts w:ascii="方正小标宋简体" w:hAnsi="宋体" w:eastAsia="方正小标宋简体" w:cs="宋体"/>
      <w:b/>
      <w:bCs/>
      <w:sz w:val="24"/>
    </w:rPr>
  </w:style>
  <w:style w:type="paragraph" w:customStyle="1" w:styleId="70">
    <w:name w:val="xl122"/>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b/>
      <w:bCs/>
      <w:sz w:val="36"/>
      <w:szCs w:val="36"/>
    </w:rPr>
  </w:style>
  <w:style w:type="paragraph" w:customStyle="1" w:styleId="71">
    <w:name w:val="xl12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b/>
      <w:bCs/>
      <w:sz w:val="24"/>
    </w:rPr>
  </w:style>
  <w:style w:type="paragraph" w:customStyle="1" w:styleId="72">
    <w:name w:val="xl12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4"/>
    </w:rPr>
  </w:style>
  <w:style w:type="paragraph" w:customStyle="1" w:styleId="73">
    <w:name w:val="xl12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color w:val="000000"/>
      <w:sz w:val="24"/>
    </w:rPr>
  </w:style>
  <w:style w:type="paragraph" w:customStyle="1" w:styleId="74">
    <w:name w:val="xl12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color w:val="000000"/>
      <w:sz w:val="24"/>
    </w:rPr>
  </w:style>
  <w:style w:type="paragraph" w:customStyle="1" w:styleId="75">
    <w:name w:val="xl12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2"/>
      <w:szCs w:val="22"/>
    </w:rPr>
  </w:style>
  <w:style w:type="paragraph" w:customStyle="1" w:styleId="76">
    <w:name w:val="xl12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sz w:val="24"/>
    </w:rPr>
  </w:style>
  <w:style w:type="paragraph" w:customStyle="1" w:styleId="77">
    <w:name w:val="xl12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sz w:val="24"/>
    </w:rPr>
  </w:style>
  <w:style w:type="paragraph" w:customStyle="1" w:styleId="78">
    <w:name w:val="xl13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color w:val="000000"/>
      <w:sz w:val="24"/>
    </w:rPr>
  </w:style>
  <w:style w:type="paragraph" w:customStyle="1" w:styleId="79">
    <w:name w:val="xl13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b/>
      <w:bCs/>
      <w:color w:val="000000"/>
      <w:sz w:val="24"/>
    </w:rPr>
  </w:style>
  <w:style w:type="paragraph" w:customStyle="1" w:styleId="80">
    <w:name w:val="xl13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color w:val="000000"/>
      <w:sz w:val="24"/>
    </w:rPr>
  </w:style>
  <w:style w:type="paragraph" w:customStyle="1" w:styleId="81">
    <w:name w:val="xl13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4"/>
    </w:rPr>
  </w:style>
  <w:style w:type="paragraph" w:customStyle="1" w:styleId="82">
    <w:name w:val="xl13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color w:val="000000"/>
      <w:sz w:val="24"/>
    </w:rPr>
  </w:style>
  <w:style w:type="paragraph" w:customStyle="1" w:styleId="83">
    <w:name w:val="xl13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color w:val="000000"/>
      <w:sz w:val="24"/>
    </w:rPr>
  </w:style>
  <w:style w:type="paragraph" w:customStyle="1" w:styleId="84">
    <w:name w:val="xl13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b/>
      <w:bCs/>
      <w:color w:val="000000"/>
      <w:sz w:val="24"/>
    </w:rPr>
  </w:style>
  <w:style w:type="paragraph" w:customStyle="1" w:styleId="85">
    <w:name w:val="xl13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4"/>
    </w:rPr>
  </w:style>
  <w:style w:type="character" w:customStyle="1" w:styleId="86">
    <w:name w:val="批注框文本 Char"/>
    <w:basedOn w:val="7"/>
    <w:link w:val="2"/>
    <w:qFormat/>
    <w:uiPriority w:val="0"/>
    <w:rPr>
      <w:rFonts w:eastAsia="方正小标宋简体"/>
      <w:kern w:val="2"/>
      <w:sz w:val="18"/>
      <w:szCs w:val="18"/>
    </w:rPr>
  </w:style>
  <w:style w:type="paragraph" w:customStyle="1" w:styleId="87">
    <w:name w:val="_Style 13"/>
    <w:basedOn w:val="1"/>
    <w:semiHidden/>
    <w:qFormat/>
    <w:uiPriority w:val="0"/>
    <w:rPr>
      <w:b/>
      <w:kern w:val="2"/>
      <w:sz w:val="32"/>
      <w:szCs w:val="30"/>
    </w:rPr>
  </w:style>
  <w:style w:type="paragraph" w:customStyle="1" w:styleId="88">
    <w:name w:val="Char Char"/>
    <w:basedOn w:val="1"/>
    <w:semiHidden/>
    <w:qFormat/>
    <w:uiPriority w:val="0"/>
    <w:rPr>
      <w:kern w:val="2"/>
      <w:sz w:val="30"/>
      <w:szCs w:val="30"/>
    </w:rPr>
  </w:style>
  <w:style w:type="paragraph" w:customStyle="1" w:styleId="89">
    <w:name w:val="font5"/>
    <w:basedOn w:val="1"/>
    <w:qFormat/>
    <w:uiPriority w:val="0"/>
    <w:pPr>
      <w:widowControl/>
      <w:spacing w:before="100" w:beforeAutospacing="1" w:after="100" w:afterAutospacing="1"/>
      <w:jc w:val="left"/>
    </w:pPr>
    <w:rPr>
      <w:b/>
      <w:bCs/>
      <w:sz w:val="24"/>
    </w:rPr>
  </w:style>
  <w:style w:type="paragraph" w:customStyle="1" w:styleId="90">
    <w:name w:val="font6"/>
    <w:basedOn w:val="1"/>
    <w:qFormat/>
    <w:uiPriority w:val="0"/>
    <w:pPr>
      <w:widowControl/>
      <w:spacing w:before="100" w:beforeAutospacing="1" w:after="100" w:afterAutospacing="1"/>
      <w:jc w:val="left"/>
    </w:pPr>
    <w:rPr>
      <w:rFonts w:ascii="方正黑体简体" w:hAnsi="宋体" w:eastAsia="方正黑体简体" w:cs="宋体"/>
      <w:b/>
      <w:bCs/>
      <w:sz w:val="24"/>
    </w:rPr>
  </w:style>
  <w:style w:type="paragraph" w:customStyle="1" w:styleId="91">
    <w:name w:val="font7"/>
    <w:basedOn w:val="1"/>
    <w:qFormat/>
    <w:uiPriority w:val="0"/>
    <w:pPr>
      <w:widowControl/>
      <w:spacing w:before="100" w:beforeAutospacing="1" w:after="100" w:afterAutospacing="1"/>
      <w:jc w:val="left"/>
    </w:pPr>
    <w:rPr>
      <w:rFonts w:ascii="方正仿宋简体" w:hAnsi="宋体" w:eastAsia="方正仿宋简体" w:cs="宋体"/>
      <w:b/>
      <w:bCs/>
      <w:sz w:val="24"/>
    </w:rPr>
  </w:style>
  <w:style w:type="paragraph" w:customStyle="1" w:styleId="92">
    <w:name w:val="font8"/>
    <w:basedOn w:val="1"/>
    <w:qFormat/>
    <w:uiPriority w:val="0"/>
    <w:pPr>
      <w:widowControl/>
      <w:spacing w:before="100" w:beforeAutospacing="1" w:after="100" w:afterAutospacing="1"/>
      <w:jc w:val="left"/>
    </w:pPr>
    <w:rPr>
      <w:b/>
      <w:bCs/>
      <w:color w:val="000000"/>
      <w:sz w:val="24"/>
    </w:rPr>
  </w:style>
  <w:style w:type="paragraph" w:customStyle="1" w:styleId="93">
    <w:name w:val="font9"/>
    <w:basedOn w:val="1"/>
    <w:qFormat/>
    <w:uiPriority w:val="0"/>
    <w:pPr>
      <w:widowControl/>
      <w:spacing w:before="100" w:beforeAutospacing="1" w:after="100" w:afterAutospacing="1"/>
      <w:jc w:val="left"/>
    </w:pPr>
    <w:rPr>
      <w:rFonts w:ascii="方正仿宋简体" w:hAnsi="宋体" w:eastAsia="方正仿宋简体" w:cs="宋体"/>
      <w:b/>
      <w:bCs/>
      <w:color w:val="000000"/>
      <w:sz w:val="24"/>
    </w:rPr>
  </w:style>
  <w:style w:type="paragraph" w:customStyle="1" w:styleId="94">
    <w:name w:val="xl65"/>
    <w:basedOn w:val="1"/>
    <w:qFormat/>
    <w:uiPriority w:val="0"/>
    <w:pPr>
      <w:widowControl/>
      <w:spacing w:before="100" w:beforeAutospacing="1" w:after="100" w:afterAutospacing="1"/>
      <w:jc w:val="left"/>
      <w:textAlignment w:val="center"/>
    </w:pPr>
    <w:rPr>
      <w:b/>
      <w:bCs/>
      <w:sz w:val="36"/>
      <w:szCs w:val="36"/>
    </w:rPr>
  </w:style>
  <w:style w:type="paragraph" w:customStyle="1" w:styleId="95">
    <w:name w:val="xl66"/>
    <w:basedOn w:val="1"/>
    <w:qFormat/>
    <w:uiPriority w:val="0"/>
    <w:pPr>
      <w:widowControl/>
      <w:spacing w:before="100" w:beforeAutospacing="1" w:after="100" w:afterAutospacing="1"/>
      <w:jc w:val="left"/>
      <w:textAlignment w:val="center"/>
    </w:pPr>
    <w:rPr>
      <w:b/>
      <w:bCs/>
      <w:color w:val="FF0000"/>
      <w:sz w:val="36"/>
      <w:szCs w:val="36"/>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10" Target="footer4.xml" Type="http://schemas.openxmlformats.org/officeDocument/2006/relationships/footer"/>
<Relationship Id="rId11" Target="footer5.xml" Type="http://schemas.openxmlformats.org/officeDocument/2006/relationships/footer"/>
<Relationship Id="rId12" Target="theme/theme1.xml" Type="http://schemas.openxmlformats.org/officeDocument/2006/relationships/theme"/>
<Relationship Id="rId13" Target="../customXml/item1.xml" Type="http://schemas.openxmlformats.org/officeDocument/2006/relationships/customXml"/>
<Relationship Id="rId14" Target="fontTable.xml" Type="http://schemas.openxmlformats.org/officeDocument/2006/relationships/fontTable"/>
<Relationship Id="rId2" Target="settings.xml" Type="http://schemas.openxmlformats.org/officeDocument/2006/relationships/settings"/>
<Relationship Id="rId3" Target="header1.xml" Type="http://schemas.openxmlformats.org/officeDocument/2006/relationships/header"/>
<Relationship Id="rId4" Target="header2.xml" Type="http://schemas.openxmlformats.org/officeDocument/2006/relationships/header"/>
<Relationship Id="rId5" Target="footer1.xml" Type="http://schemas.openxmlformats.org/officeDocument/2006/relationships/footer"/>
<Relationship Id="rId6" Target="footer2.xml" Type="http://schemas.openxmlformats.org/officeDocument/2006/relationships/footer"/>
<Relationship Id="rId7" Target="footer3.xml" Type="http://schemas.openxmlformats.org/officeDocument/2006/relationships/footer"/>
<Relationship Id="rId8" Target="header3.xml" Type="http://schemas.openxmlformats.org/officeDocument/2006/relationships/header"/>
<Relationship Id="rId9" Target="header4.xml" Type="http://schemas.openxmlformats.org/officeDocument/2006/relationships/header"/>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42</Pages>
  <Words>26460</Words>
  <Characters>1686</Characters>
  <Lines>14</Lines>
  <Paragraphs>56</Paragraphs>
  <TotalTime>1</TotalTime>
  <ScaleCrop>false</ScaleCrop>
  <LinksUpToDate>false</LinksUpToDate>
  <CharactersWithSpaces>28090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2020-01-01T18:46:00Z</dcterms:created>
  <dc:creator>nizy</dc:creator>
  <cp:lastModifiedBy>user</cp:lastModifiedBy>
  <cp:lastPrinted>2023-10-23T18:42:00Z</cp:lastPrinted>
  <dcterms:modified xsi:type="dcterms:W3CDTF">2023-10-30T16:56:56Z</dcterms:modified>
  <dc:title>济宁市人民政府办公室文件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AFD6EC171A094DA1A43189D669131492</vt:lpwstr>
  </property>
</Properties>
</file>