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ascii="方正小标宋简体" w:hAnsi="方正小标宋简体" w:eastAsia="方正小标宋简体" w:cs="方正小标宋简体"/>
          <w:color w:val="FF0000"/>
          <w:sz w:val="72"/>
          <w:szCs w:val="72"/>
        </w:rPr>
      </w:pPr>
      <w:r>
        <w:rPr>
          <w:color w:val="FF0000"/>
          <w:sz w:val="72"/>
        </w:rPr>
        <w:pict>
          <v:line id="_x0000_s1026" o:spid="_x0000_s1026" o:spt="20" style="position:absolute;left:0pt;margin-left:-19.25pt;margin-top:56.75pt;height:0.05pt;width:476.2pt;z-index:251657216;mso-width-relative:page;mso-height-relative:page;" stroked="t" coordsize="21600,21600">
            <v:path arrowok="t"/>
            <v:fill focussize="0,0"/>
            <v:stroke weight="4.5pt" color="#FF0000" linestyle="thickThin"/>
            <v:imagedata o:title=""/>
            <o:lock v:ext="edit"/>
          </v:line>
        </w:pict>
      </w:r>
      <w:r>
        <w:rPr>
          <w:rFonts w:hint="eastAsia" w:ascii="方正小标宋简体" w:hAnsi="方正小标宋简体" w:eastAsia="方正小标宋简体" w:cs="方正小标宋简体"/>
          <w:color w:val="FF0000"/>
          <w:sz w:val="72"/>
          <w:szCs w:val="72"/>
        </w:rPr>
        <w:t>济宁市住房公积金管理中心</w:t>
      </w:r>
    </w:p>
    <w:p>
      <w:pPr>
        <w:spacing w:line="60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90" w:lineRule="exact"/>
        <w:ind w:right="-105" w:rightChars="-50"/>
        <w:jc w:val="center"/>
        <w:rPr>
          <w:rFonts w:hint="eastAsia" w:ascii="方正小标宋简体" w:hAnsi="Times New Roman" w:eastAsia="方正小标宋简体" w:cs="Times New Roman"/>
          <w:b/>
          <w:color w:val="000000" w:themeColor="text1"/>
          <w:kern w:val="0"/>
          <w:sz w:val="44"/>
          <w:szCs w:val="44"/>
        </w:rPr>
      </w:pPr>
      <w:r>
        <w:rPr>
          <w:rFonts w:hint="eastAsia" w:ascii="方正小标宋简体" w:hAnsi="Times New Roman" w:eastAsia="方正小标宋简体" w:cs="Times New Roman"/>
          <w:b/>
          <w:color w:val="000000" w:themeColor="text1"/>
          <w:kern w:val="0"/>
          <w:sz w:val="44"/>
          <w:szCs w:val="44"/>
        </w:rPr>
        <w:t>济宁市住房公积金管理中心</w:t>
      </w:r>
    </w:p>
    <w:p>
      <w:pPr>
        <w:spacing w:line="590" w:lineRule="exact"/>
        <w:ind w:right="-105" w:rightChars="-50"/>
        <w:jc w:val="center"/>
        <w:rPr>
          <w:rFonts w:hint="eastAsia" w:ascii="方正小标宋简体" w:hAnsi="Times New Roman" w:eastAsia="方正小标宋简体" w:cs="Times New Roman"/>
          <w:b/>
          <w:color w:val="000000" w:themeColor="text1"/>
          <w:kern w:val="0"/>
          <w:sz w:val="44"/>
          <w:szCs w:val="44"/>
        </w:rPr>
      </w:pPr>
      <w:r>
        <w:rPr>
          <w:rFonts w:hint="eastAsia" w:ascii="方正小标宋简体" w:hAnsi="Times New Roman" w:eastAsia="方正小标宋简体" w:cs="Times New Roman"/>
          <w:b/>
          <w:color w:val="000000" w:themeColor="text1"/>
          <w:kern w:val="0"/>
          <w:sz w:val="44"/>
          <w:szCs w:val="44"/>
        </w:rPr>
        <w:t>202</w:t>
      </w:r>
      <w:r>
        <w:rPr>
          <w:rFonts w:hint="eastAsia" w:ascii="方正小标宋简体" w:eastAsia="方正小标宋简体" w:cs="Times New Roman"/>
          <w:b/>
          <w:color w:val="000000" w:themeColor="text1"/>
          <w:kern w:val="0"/>
          <w:sz w:val="44"/>
          <w:szCs w:val="44"/>
          <w:lang w:val="en-US" w:eastAsia="zh-CN"/>
        </w:rPr>
        <w:t>2</w:t>
      </w:r>
      <w:r>
        <w:rPr>
          <w:rFonts w:hint="eastAsia" w:ascii="方正小标宋简体" w:hAnsi="Times New Roman" w:eastAsia="方正小标宋简体" w:cs="Times New Roman"/>
          <w:b/>
          <w:color w:val="000000" w:themeColor="text1"/>
          <w:kern w:val="0"/>
          <w:sz w:val="44"/>
          <w:szCs w:val="44"/>
        </w:rPr>
        <w:t>年政府信息公开</w:t>
      </w:r>
      <w:r>
        <w:rPr>
          <w:rFonts w:hint="eastAsia" w:ascii="方正小标宋简体" w:hAnsi="Times New Roman" w:eastAsia="方正小标宋简体" w:cs="Times New Roman"/>
          <w:b/>
          <w:color w:val="000000" w:themeColor="text1"/>
          <w:kern w:val="0"/>
          <w:sz w:val="44"/>
          <w:szCs w:val="44"/>
          <w:lang w:eastAsia="zh-CN"/>
        </w:rPr>
        <w:t>工作</w:t>
      </w:r>
      <w:r>
        <w:rPr>
          <w:rFonts w:hint="eastAsia" w:ascii="方正小标宋简体" w:hAnsi="Times New Roman" w:eastAsia="方正小标宋简体" w:cs="Times New Roman"/>
          <w:b/>
          <w:color w:val="000000" w:themeColor="text1"/>
          <w:kern w:val="0"/>
          <w:sz w:val="44"/>
          <w:szCs w:val="44"/>
        </w:rPr>
        <w:t>年度报告</w:t>
      </w:r>
    </w:p>
    <w:p>
      <w:pPr>
        <w:spacing w:line="590" w:lineRule="exact"/>
        <w:ind w:right="-105" w:rightChars="-50" w:firstLine="642" w:firstLineChars="200"/>
        <w:rPr>
          <w:rFonts w:hint="eastAsia" w:ascii="方正仿宋简体" w:eastAsia="方正仿宋简体"/>
          <w:b/>
          <w:color w:val="000000" w:themeColor="text1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0" w:rightChars="0" w:firstLine="642" w:firstLineChars="200"/>
        <w:textAlignment w:val="auto"/>
        <w:rPr>
          <w:rFonts w:ascii="方正仿宋简体" w:eastAsia="方正仿宋简体"/>
          <w:b/>
          <w:color w:val="000000" w:themeColor="text1"/>
          <w:sz w:val="32"/>
          <w:szCs w:val="32"/>
        </w:rPr>
      </w:pPr>
      <w:r>
        <w:rPr>
          <w:rFonts w:hint="eastAsia" w:ascii="方正仿宋简体" w:eastAsia="方正仿宋简体"/>
          <w:b/>
          <w:color w:val="000000" w:themeColor="text1"/>
          <w:sz w:val="32"/>
          <w:szCs w:val="32"/>
        </w:rPr>
        <w:t>本报告由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eastAsia="zh-CN"/>
        </w:rPr>
        <w:t>济宁市住房公积金管理中心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</w:rPr>
        <w:t>按照《中华人民共和国政府信息公开条例》（以下简称《条例》）和《中华人民共和国政府信息公开工作年度报告格式》（国办公开办函〔2021〕30号）要求编制。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0" w:rightChars="0" w:firstLine="642" w:firstLineChars="200"/>
        <w:textAlignment w:val="auto"/>
        <w:rPr>
          <w:rFonts w:ascii="方正仿宋简体" w:eastAsia="方正仿宋简体"/>
          <w:b/>
          <w:color w:val="000000" w:themeColor="text1"/>
          <w:sz w:val="32"/>
          <w:szCs w:val="32"/>
        </w:rPr>
      </w:pPr>
      <w:r>
        <w:rPr>
          <w:rFonts w:hint="eastAsia" w:ascii="方正仿宋简体" w:eastAsia="方正仿宋简体"/>
          <w:b/>
          <w:color w:val="000000" w:themeColor="text1"/>
          <w:sz w:val="32"/>
          <w:szCs w:val="32"/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2" w:firstLineChars="200"/>
        <w:jc w:val="left"/>
        <w:textAlignment w:val="auto"/>
        <w:rPr>
          <w:rFonts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方正仿宋简体" w:eastAsia="方正仿宋简体"/>
          <w:b/>
          <w:color w:val="000000" w:themeColor="text1"/>
          <w:sz w:val="32"/>
          <w:szCs w:val="32"/>
        </w:rPr>
        <w:t>本报告所列数据的统计期限自202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</w:rPr>
        <w:t>2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</w:rPr>
        <w:t>年1月1日起至202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</w:rPr>
        <w:t>2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</w:rPr>
        <w:t>年12月31日止。本报告电子版可在“中国·济宁”政府门户网站（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</w:rPr>
        <w:t>http://www.jining.gov.cn/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</w:rPr>
        <w:t>）查阅或下载。如对本报告有疑问，请与济宁市住房公积金管理中心联系（地址：济宁市洸河路133号，联系电话：0537-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</w:rPr>
        <w:t>2609800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</w:rPr>
        <w:t>）。</w:t>
      </w:r>
    </w:p>
    <w:p>
      <w:pPr>
        <w:spacing w:line="590" w:lineRule="exact"/>
        <w:ind w:right="-105" w:rightChars="-50" w:firstLine="642" w:firstLineChars="200"/>
        <w:rPr>
          <w:rFonts w:hint="eastAsia" w:ascii="方正黑体简体" w:eastAsia="方正黑体简体"/>
          <w:b/>
          <w:color w:val="000000" w:themeColor="text1"/>
          <w:sz w:val="32"/>
          <w:szCs w:val="32"/>
        </w:rPr>
      </w:pPr>
      <w:r>
        <w:rPr>
          <w:rFonts w:hint="eastAsia" w:ascii="方正黑体简体" w:eastAsia="方正黑体简体"/>
          <w:b/>
          <w:color w:val="000000" w:themeColor="text1"/>
          <w:sz w:val="32"/>
          <w:szCs w:val="32"/>
        </w:rPr>
        <w:t>一、总体情况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2" w:firstLineChars="200"/>
        <w:jc w:val="both"/>
        <w:textAlignment w:val="auto"/>
        <w:rPr>
          <w:rFonts w:hint="eastAsia" w:ascii="方正仿宋简体" w:eastAsia="方正仿宋简体"/>
          <w:b/>
          <w:color w:val="000000" w:themeColor="text1"/>
          <w:sz w:val="32"/>
          <w:szCs w:val="32"/>
          <w:lang w:eastAsia="zh-CN"/>
        </w:rPr>
      </w:pPr>
      <w:r>
        <w:rPr>
          <w:rFonts w:hint="eastAsia" w:ascii="方正仿宋简体" w:eastAsia="方正仿宋简体"/>
          <w:b/>
          <w:color w:val="000000" w:themeColor="text1"/>
          <w:sz w:val="32"/>
          <w:szCs w:val="32"/>
        </w:rPr>
        <w:pict>
          <v:line id="_x0000_s1028" o:spid="_x0000_s1028" o:spt="20" style="position:absolute;left:0pt;margin-left:-11pt;margin-top:90.9pt;height:0.05pt;width:476.2pt;z-index:251662336;mso-width-relative:page;mso-height-relative:page;" stroked="t" coordsize="21600,21600">
            <v:path arrowok="t"/>
            <v:fill focussize="0,0"/>
            <v:stroke weight="4.5pt" color="#FF0000" linestyle="thinThick"/>
            <v:imagedata o:title=""/>
            <o:lock v:ext="edit"/>
          </v:line>
        </w:pic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</w:rPr>
        <w:t>202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</w:rPr>
        <w:t>2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</w:rPr>
        <w:t>年，</w:t>
      </w:r>
      <w:r>
        <w:rPr>
          <w:rFonts w:hint="eastAsia" w:ascii="方正仿宋简体" w:hAnsi="Times New Roman" w:eastAsia="方正仿宋简体"/>
          <w:b/>
          <w:sz w:val="32"/>
          <w:szCs w:val="32"/>
          <w:lang w:eastAsia="zh-CN"/>
        </w:rPr>
        <w:t>中心</w:t>
      </w:r>
      <w:r>
        <w:rPr>
          <w:rFonts w:hint="eastAsia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  <w:lang w:val="en-US" w:eastAsia="zh-CN"/>
        </w:rPr>
        <w:t>在市委市政府的坚强领导下，在市政务公开办公室的悉心指导下，</w:t>
      </w:r>
      <w:r>
        <w:rPr>
          <w:rFonts w:hint="eastAsia" w:ascii="方正仿宋简体" w:hAnsi="Times New Roman" w:eastAsia="方正仿宋简体"/>
          <w:b/>
          <w:sz w:val="32"/>
          <w:szCs w:val="32"/>
          <w:lang w:val="en-US" w:eastAsia="zh-CN"/>
        </w:rPr>
        <w:t>坚持强化党建引领，提升服务效能，紧紧围绕市政府政务信息公开工作要求，加大主动公开力度，加强队伍建设，加强政策解读，提高工作的透明度，增进人民群众的获得感。</w:t>
      </w:r>
    </w:p>
    <w:p>
      <w:pPr>
        <w:spacing w:line="590" w:lineRule="exact"/>
        <w:ind w:right="-105" w:rightChars="-50" w:firstLine="642" w:firstLineChars="200"/>
        <w:rPr>
          <w:rFonts w:hint="default" w:ascii="方正楷体简体" w:eastAsia="方正楷体简体"/>
          <w:b/>
          <w:color w:val="000000" w:themeColor="text1"/>
          <w:sz w:val="32"/>
          <w:szCs w:val="32"/>
          <w:lang w:val="en" w:eastAsia="zh-CN"/>
        </w:rPr>
      </w:pPr>
      <w:r>
        <w:rPr>
          <w:rFonts w:hint="eastAsia" w:ascii="方正楷体简体" w:eastAsia="方正楷体简体"/>
          <w:b/>
          <w:color w:val="000000" w:themeColor="text1"/>
          <w:sz w:val="32"/>
          <w:szCs w:val="32"/>
        </w:rPr>
        <w:t>（一）主动公开</w:t>
      </w:r>
      <w:r>
        <w:rPr>
          <w:rFonts w:hint="eastAsia" w:ascii="方正楷体简体" w:eastAsia="方正楷体简体"/>
          <w:b/>
          <w:color w:val="000000" w:themeColor="text1"/>
          <w:sz w:val="32"/>
          <w:szCs w:val="32"/>
          <w:lang w:eastAsia="zh-CN"/>
        </w:rPr>
        <w:t>力度加大加深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2" w:firstLineChars="200"/>
        <w:jc w:val="left"/>
        <w:textAlignment w:val="auto"/>
        <w:rPr>
          <w:rFonts w:hint="eastAsia" w:ascii="方正仿宋简体" w:hAnsi="Times New Roman" w:eastAsia="方正仿宋简体"/>
          <w:b/>
          <w:sz w:val="32"/>
          <w:szCs w:val="32"/>
          <w:lang w:val="en-US" w:eastAsia="zh-CN"/>
        </w:rPr>
      </w:pP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</w:rPr>
        <w:t>一是通过报纸、中心网站、中心微信公众号及多家媒体进行</w:t>
      </w:r>
      <w:r>
        <w:rPr>
          <w:rFonts w:hint="eastAsia" w:ascii="方正仿宋简体" w:hAnsi="Times New Roman" w:eastAsia="方正仿宋简体"/>
          <w:b/>
          <w:sz w:val="32"/>
          <w:szCs w:val="32"/>
          <w:lang w:val="en-US" w:eastAsia="zh-CN"/>
        </w:rPr>
        <w:t>工作进展、服务举措、政策法规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</w:rPr>
        <w:t>类信息公开，截止12月31日，通过市政府网站、中心门户网站共发布各类信息251条，微信公众号发布各类信息39条，通过各媒体发布新闻稿件</w:t>
      </w:r>
      <w:r>
        <w:rPr>
          <w:rFonts w:hint="default" w:ascii="方正仿宋简体" w:eastAsia="方正仿宋简体"/>
          <w:b/>
          <w:color w:val="000000" w:themeColor="text1"/>
          <w:sz w:val="32"/>
          <w:szCs w:val="32"/>
          <w:lang w:val="en" w:eastAsia="zh-CN"/>
        </w:rPr>
        <w:t>3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</w:rPr>
        <w:t>1条。二是上半年3次进入电台直播间进行业务宣传、政策解读。三是于5月26日主持召开了“金银携手 惠民助企 共促房地产市场平稳健康发展”新闻发布会，起到了良好的宣传效果。于11月29日</w:t>
      </w:r>
      <w:r>
        <w:rPr>
          <w:rFonts w:hint="eastAsia" w:ascii="方正仿宋简体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</w:rPr>
        <w:t>高质量组织召开淮海经济区、鲁南经济圈和省厅现场会三个会议，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</w:rPr>
        <w:t>展示了中心工作成绩、树立了单位良好形象。</w:t>
      </w:r>
    </w:p>
    <w:p>
      <w:pPr>
        <w:spacing w:line="240" w:lineRule="auto"/>
        <w:ind w:right="-105" w:rightChars="-50"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4572000" cy="2493645"/>
            <wp:effectExtent l="0" t="0" r="0" b="1905"/>
            <wp:docPr id="1" name="图片 1" descr="截图录屏_选择区域_20230119091810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截图录屏_选择区域_20230119091810"/>
                    <pic:cNvPicPr>
                      <a:picLocks noChangeAspect="true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493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590" w:lineRule="exact"/>
        <w:ind w:right="-105" w:rightChars="-50" w:firstLine="642" w:firstLineChars="200"/>
        <w:rPr>
          <w:rFonts w:hint="eastAsia" w:ascii="方正楷体简体" w:eastAsia="方正楷体简体"/>
          <w:b/>
          <w:color w:val="000000" w:themeColor="text1"/>
          <w:sz w:val="32"/>
          <w:szCs w:val="32"/>
        </w:rPr>
      </w:pPr>
      <w:r>
        <w:rPr>
          <w:rFonts w:hint="eastAsia" w:ascii="方正楷体简体" w:eastAsia="方正楷体简体"/>
          <w:b/>
          <w:color w:val="000000" w:themeColor="text1"/>
          <w:sz w:val="32"/>
          <w:szCs w:val="32"/>
        </w:rPr>
        <w:t>（二）依申请公开情况</w:t>
      </w:r>
    </w:p>
    <w:p>
      <w:pPr>
        <w:spacing w:line="590" w:lineRule="exact"/>
        <w:ind w:right="-105" w:rightChars="-50" w:firstLine="642" w:firstLineChars="200"/>
        <w:rPr>
          <w:rFonts w:hint="default" w:ascii="方正仿宋简体" w:eastAsia="方正仿宋简体"/>
          <w:b/>
          <w:color w:val="000000" w:themeColor="text1"/>
          <w:sz w:val="32"/>
          <w:szCs w:val="32"/>
          <w:lang w:val="en-US" w:eastAsia="zh-CN"/>
        </w:rPr>
      </w:pP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</w:rPr>
        <w:t>2022年中心未收到依申请公开件。</w:t>
      </w:r>
    </w:p>
    <w:p>
      <w:pPr>
        <w:spacing w:line="590" w:lineRule="exact"/>
        <w:ind w:right="-105" w:rightChars="-50" w:firstLine="642" w:firstLineChars="200"/>
        <w:rPr>
          <w:rFonts w:hint="eastAsia" w:ascii="方正楷体简体" w:eastAsia="方正楷体简体"/>
          <w:b/>
          <w:color w:val="000000" w:themeColor="text1"/>
          <w:sz w:val="32"/>
          <w:szCs w:val="32"/>
        </w:rPr>
      </w:pPr>
      <w:r>
        <w:rPr>
          <w:rFonts w:hint="eastAsia" w:ascii="方正楷体简体" w:eastAsia="方正楷体简体"/>
          <w:b/>
          <w:color w:val="000000" w:themeColor="text1"/>
          <w:sz w:val="32"/>
          <w:szCs w:val="32"/>
        </w:rPr>
        <w:t>（三）</w:t>
      </w:r>
      <w:r>
        <w:rPr>
          <w:rFonts w:hint="eastAsia" w:ascii="方正楷体简体" w:eastAsia="方正楷体简体"/>
          <w:b/>
          <w:color w:val="000000" w:themeColor="text1"/>
          <w:sz w:val="32"/>
          <w:szCs w:val="32"/>
          <w:lang w:eastAsia="zh-CN"/>
        </w:rPr>
        <w:t>进一步规范</w:t>
      </w:r>
      <w:r>
        <w:rPr>
          <w:rFonts w:hint="eastAsia" w:ascii="方正楷体简体" w:eastAsia="方正楷体简体"/>
          <w:b/>
          <w:color w:val="000000" w:themeColor="text1"/>
          <w:sz w:val="32"/>
          <w:szCs w:val="32"/>
        </w:rPr>
        <w:t>政府信息管理</w:t>
      </w:r>
    </w:p>
    <w:p>
      <w:pPr>
        <w:widowControl/>
        <w:spacing w:line="576" w:lineRule="exact"/>
        <w:ind w:firstLine="642" w:firstLineChars="200"/>
        <w:jc w:val="left"/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一是严把信息公开保密审查关。严格按照《中华人民共和国保</w:t>
      </w:r>
      <w:r>
        <w:rPr>
          <w:rFonts w:hint="eastAsia" w:eastAsia="方正仿宋简体" w:cs="Times New Roman"/>
          <w:b/>
          <w:bCs/>
          <w:sz w:val="32"/>
          <w:szCs w:val="32"/>
          <w:lang w:val="en-US" w:eastAsia="zh-CN"/>
        </w:rPr>
        <w:t>守国家秘密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法》（以下简称《保密法》）和《条例》等法律、法规的规定</w:t>
      </w:r>
      <w:r>
        <w:rPr>
          <w:rFonts w:hint="eastAsia" w:eastAsia="方正仿宋简体" w:cs="Times New Roman"/>
          <w:b/>
          <w:bCs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依据“先审查、后公开，谁审查、谁负责，谁公开、谁负责”的原则，对拟公开的信息做好审查。</w:t>
      </w:r>
      <w:r>
        <w:rPr>
          <w:rFonts w:hint="eastAsia" w:eastAsia="方正仿宋简体" w:cs="Times New Roman"/>
          <w:b/>
          <w:bCs/>
          <w:sz w:val="32"/>
          <w:szCs w:val="32"/>
          <w:lang w:val="en-US" w:eastAsia="zh-CN"/>
        </w:rPr>
        <w:t>二是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严把信息公开</w:t>
      </w:r>
      <w:r>
        <w:rPr>
          <w:rFonts w:hint="eastAsia" w:eastAsia="方正仿宋简体" w:cs="Times New Roman"/>
          <w:b/>
          <w:bCs/>
          <w:sz w:val="32"/>
          <w:szCs w:val="32"/>
          <w:lang w:val="en-US" w:eastAsia="zh-CN"/>
        </w:rPr>
        <w:t>文字内容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关</w:t>
      </w:r>
      <w:r>
        <w:rPr>
          <w:rFonts w:hint="eastAsia" w:eastAsia="方正仿宋简体" w:cs="Times New Roman"/>
          <w:b/>
          <w:bCs/>
          <w:sz w:val="32"/>
          <w:szCs w:val="32"/>
          <w:lang w:val="en-US" w:eastAsia="zh-CN"/>
        </w:rPr>
        <w:t>。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实行</w:t>
      </w:r>
      <w:r>
        <w:rPr>
          <w:rFonts w:hint="eastAsia" w:eastAsia="方正仿宋简体" w:cs="Times New Roman"/>
          <w:b/>
          <w:bCs/>
          <w:sz w:val="32"/>
          <w:szCs w:val="32"/>
          <w:lang w:val="en-US" w:eastAsia="zh-CN"/>
        </w:rPr>
        <w:t>拟公开信息部门负责人、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信息发布人员</w:t>
      </w:r>
      <w:r>
        <w:rPr>
          <w:rFonts w:hint="eastAsia" w:eastAsia="方正仿宋简体" w:cs="Times New Roman"/>
          <w:b/>
          <w:bCs/>
          <w:sz w:val="32"/>
          <w:szCs w:val="32"/>
          <w:lang w:val="en-US" w:eastAsia="zh-CN"/>
        </w:rPr>
        <w:t>、信息公开部门负责人、信息公开部门分管领导四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级联审，对发布的信息，从标点、语句到标题、内容进行严格审核，确保发布的信息内容全面、语言表述严谨、标点使用准确、信息发布规范。</w:t>
      </w:r>
    </w:p>
    <w:p>
      <w:pPr>
        <w:spacing w:line="590" w:lineRule="exact"/>
        <w:ind w:right="-105" w:rightChars="-50" w:firstLine="642" w:firstLineChars="200"/>
        <w:rPr>
          <w:rFonts w:ascii="方正楷体简体" w:eastAsia="方正楷体简体"/>
          <w:b/>
          <w:color w:val="000000" w:themeColor="text1"/>
          <w:sz w:val="32"/>
          <w:szCs w:val="32"/>
        </w:rPr>
      </w:pPr>
      <w:r>
        <w:rPr>
          <w:rFonts w:hint="eastAsia" w:ascii="方正楷体简体" w:eastAsia="方正楷体简体"/>
          <w:b/>
          <w:color w:val="000000" w:themeColor="text1"/>
          <w:sz w:val="32"/>
          <w:szCs w:val="32"/>
        </w:rPr>
        <w:t>（四）</w:t>
      </w:r>
      <w:r>
        <w:rPr>
          <w:rFonts w:hint="eastAsia" w:ascii="方正楷体简体" w:eastAsia="方正楷体简体"/>
          <w:b/>
          <w:color w:val="000000" w:themeColor="text1"/>
          <w:sz w:val="32"/>
          <w:szCs w:val="32"/>
          <w:lang w:eastAsia="zh-CN"/>
        </w:rPr>
        <w:t>丰富</w:t>
      </w:r>
      <w:r>
        <w:rPr>
          <w:rFonts w:hint="eastAsia" w:ascii="方正楷体简体" w:eastAsia="方正楷体简体"/>
          <w:b/>
          <w:color w:val="000000" w:themeColor="text1"/>
          <w:sz w:val="32"/>
          <w:szCs w:val="32"/>
        </w:rPr>
        <w:t>政府信息公开平台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hint="eastAsia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eastAsia" w:eastAsia="方正仿宋简体" w:cs="Times New Roman"/>
          <w:b/>
          <w:bCs/>
          <w:sz w:val="32"/>
          <w:szCs w:val="32"/>
          <w:lang w:val="en-US" w:eastAsia="zh-CN"/>
        </w:rPr>
        <w:t>一是进一步优化网站栏目设置，设立信息公开、新闻中心、业务指南、政策法规、便民服务、“1+4+N”单位文化等公开专栏。本着高效、快捷、便民的原则，优化政务公开平台。二是</w:t>
      </w:r>
      <w:r>
        <w:rPr>
          <w:rFonts w:hint="eastAsia" w:ascii="方正仿宋简体" w:hAnsi="Times New Roman" w:eastAsia="方正仿宋简体" w:cs="Times New Roman"/>
          <w:b/>
          <w:sz w:val="32"/>
          <w:szCs w:val="32"/>
          <w:lang w:val="en-US" w:eastAsia="zh-CN"/>
        </w:rPr>
        <w:t>6月底单位建成了占地近200平米的新时代文化数字展厅，集中展示单位工作实绩。三是搭建载体，组建队伍。以45周岁以下青年干部为主体，组建了政策宣传队，组织团员青年、党员干部走上街道、社区、企业园区宣传住房公积金政策。</w:t>
      </w:r>
      <w:bookmarkStart w:id="0" w:name="_GoBack"/>
      <w:bookmarkEnd w:id="0"/>
    </w:p>
    <w:p>
      <w:pPr>
        <w:spacing w:line="590" w:lineRule="exact"/>
        <w:ind w:right="-105" w:rightChars="-50" w:firstLine="642" w:firstLineChars="200"/>
        <w:rPr>
          <w:rFonts w:hint="eastAsia" w:ascii="方正楷体简体" w:eastAsia="方正楷体简体"/>
          <w:b/>
          <w:color w:val="000000" w:themeColor="text1"/>
          <w:sz w:val="32"/>
          <w:szCs w:val="32"/>
          <w:lang w:eastAsia="zh-CN"/>
        </w:rPr>
      </w:pPr>
      <w:r>
        <w:rPr>
          <w:rFonts w:hint="eastAsia" w:ascii="方正楷体简体" w:eastAsia="方正楷体简体"/>
          <w:b/>
          <w:color w:val="000000" w:themeColor="text1"/>
          <w:sz w:val="32"/>
          <w:szCs w:val="32"/>
        </w:rPr>
        <w:t>（五）</w:t>
      </w:r>
      <w:r>
        <w:rPr>
          <w:rFonts w:hint="eastAsia" w:ascii="方正楷体简体" w:eastAsia="方正楷体简体"/>
          <w:b/>
          <w:color w:val="000000" w:themeColor="text1"/>
          <w:sz w:val="32"/>
          <w:szCs w:val="32"/>
          <w:lang w:eastAsia="zh-CN"/>
        </w:rPr>
        <w:t>以</w:t>
      </w:r>
      <w:r>
        <w:rPr>
          <w:rFonts w:hint="eastAsia" w:ascii="方正楷体简体" w:eastAsia="方正楷体简体"/>
          <w:b/>
          <w:color w:val="000000" w:themeColor="text1"/>
          <w:sz w:val="32"/>
          <w:szCs w:val="32"/>
        </w:rPr>
        <w:t>监督保障</w:t>
      </w:r>
      <w:r>
        <w:rPr>
          <w:rFonts w:hint="eastAsia" w:ascii="方正楷体简体" w:eastAsia="方正楷体简体"/>
          <w:b/>
          <w:color w:val="000000" w:themeColor="text1"/>
          <w:sz w:val="32"/>
          <w:szCs w:val="32"/>
          <w:lang w:eastAsia="zh-CN"/>
        </w:rPr>
        <w:t>促工作落实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2" w:firstLineChars="200"/>
        <w:jc w:val="left"/>
        <w:textAlignment w:val="auto"/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方正仿宋简体" w:hAnsi="Times New Roman" w:eastAsia="方正仿宋简体"/>
          <w:b/>
          <w:sz w:val="32"/>
          <w:szCs w:val="32"/>
          <w:lang w:val="en-US" w:eastAsia="zh-CN"/>
        </w:rPr>
        <w:t>进一步健全政务公开长效机制，坚持“公开为常态、不公开为例外”的工作原则，加强政务公开队伍建设，提高政务公开意识，以政务公开促落实、促规范、促服务。为确保政务公开各项工作落到实处，各科室、分支机构均明确了政务公开工作人员，定期上报需公开内容，接受政务公开工作培训。持续加强组织领导，强化制度执行，将政务公开工作纳入工作考核，与</w:t>
      </w: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中心</w:t>
      </w:r>
      <w:r>
        <w:rPr>
          <w:rFonts w:hint="eastAsia" w:ascii="方正仿宋简体" w:hAnsi="Times New Roman" w:eastAsia="方正仿宋简体"/>
          <w:b/>
          <w:sz w:val="32"/>
          <w:szCs w:val="32"/>
          <w:lang w:val="en-US" w:eastAsia="zh-CN"/>
        </w:rPr>
        <w:t>业务工作同部署、同落实、同督考。</w:t>
      </w:r>
    </w:p>
    <w:p>
      <w:pPr>
        <w:spacing w:line="590" w:lineRule="exact"/>
        <w:ind w:right="-105" w:rightChars="-50" w:firstLine="642" w:firstLineChars="200"/>
        <w:rPr>
          <w:rFonts w:ascii="方正黑体简体" w:eastAsia="方正黑体简体"/>
          <w:b/>
          <w:color w:val="000000" w:themeColor="text1"/>
          <w:sz w:val="32"/>
          <w:szCs w:val="32"/>
        </w:rPr>
      </w:pPr>
      <w:r>
        <w:rPr>
          <w:rFonts w:hint="eastAsia" w:ascii="方正黑体简体" w:eastAsia="方正黑体简体"/>
          <w:b/>
          <w:color w:val="000000" w:themeColor="text1"/>
          <w:sz w:val="32"/>
          <w:szCs w:val="32"/>
        </w:rPr>
        <w:t>二、主动公开政府信息情况</w:t>
      </w:r>
    </w:p>
    <w:tbl>
      <w:tblPr>
        <w:tblStyle w:val="8"/>
        <w:tblW w:w="87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133"/>
        <w:gridCol w:w="2216"/>
        <w:gridCol w:w="19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黑体简体" w:eastAsia="方正黑体简体"/>
                <w:b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第二十条第（一）项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2133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本年制发件数</w:t>
            </w:r>
          </w:p>
        </w:tc>
        <w:tc>
          <w:tcPr>
            <w:tcW w:w="221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本年废止件数</w:t>
            </w:r>
          </w:p>
        </w:tc>
        <w:tc>
          <w:tcPr>
            <w:tcW w:w="1989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现行有效件数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规章</w:t>
            </w:r>
          </w:p>
        </w:tc>
        <w:tc>
          <w:tcPr>
            <w:tcW w:w="2133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行政规范性文件</w:t>
            </w:r>
          </w:p>
        </w:tc>
        <w:tc>
          <w:tcPr>
            <w:tcW w:w="2133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4"/>
                <w:szCs w:val="24"/>
                <w:lang w:val="en-US" w:eastAsia="zh-CN" w:bidi="ar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第二十条第（五）项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行政许可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第二十条第（六）项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行政处罚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行政强制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第二十条第（八）项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本年收费金额（单位：万元）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行政事业性收费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spacing w:before="62" w:beforeLines="10" w:after="62" w:afterLines="10" w:line="600" w:lineRule="exact"/>
        <w:ind w:firstLine="642" w:firstLineChars="200"/>
        <w:rPr>
          <w:rFonts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三、收到和处理政府信息公开申请情况</w:t>
      </w:r>
    </w:p>
    <w:tbl>
      <w:tblPr>
        <w:tblStyle w:val="8"/>
        <w:tblW w:w="88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2"/>
        <w:gridCol w:w="2878"/>
        <w:gridCol w:w="791"/>
        <w:gridCol w:w="599"/>
        <w:gridCol w:w="590"/>
        <w:gridCol w:w="598"/>
        <w:gridCol w:w="571"/>
        <w:gridCol w:w="559"/>
        <w:gridCol w:w="5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restart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楷体" w:eastAsia="方正黑体简体" w:cs="楷体"/>
                <w:b/>
                <w:sz w:val="21"/>
                <w:szCs w:val="21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229" w:type="dxa"/>
            <w:gridSpan w:val="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自然人</w:t>
            </w:r>
          </w:p>
        </w:tc>
        <w:tc>
          <w:tcPr>
            <w:tcW w:w="2917" w:type="dxa"/>
            <w:gridSpan w:val="5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法人或其他组织</w:t>
            </w:r>
          </w:p>
        </w:tc>
        <w:tc>
          <w:tcPr>
            <w:tcW w:w="521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商业</w:t>
            </w:r>
          </w:p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企业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科研</w:t>
            </w:r>
          </w:p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机构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社会公益组织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法律服务机构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其他</w:t>
            </w:r>
          </w:p>
        </w:tc>
        <w:tc>
          <w:tcPr>
            <w:tcW w:w="521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一、本年新收政府信息公开申请数量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二、上年结转政府信息公开申请数量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三、本年度办理结果</w:t>
            </w: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（一）予以公开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（二）部分公开</w:t>
            </w:r>
            <w:r>
              <w:rPr>
                <w:rFonts w:hint="eastAsia" w:ascii="方正仿宋简体" w:hAnsi="楷体" w:eastAsia="方正仿宋简体" w:cs="楷体"/>
                <w:b/>
                <w:sz w:val="21"/>
                <w:szCs w:val="21"/>
                <w:lang w:bidi="ar"/>
              </w:rPr>
              <w:t>（区分处理的，只计这一情形，不计其他情形）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（三）不予公开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1.属于国家秘密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2.其他法律行政法规禁止公开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3.危及“三安全一稳定”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4.保护第三方合法权益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5.属于三类内部事务信息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6.属于四类过程性信息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7.属于行政执法案卷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8.属于行政查询事项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（四）无法提供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1.本机关不掌握相关政府信息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2.没有现成信息需要另行制作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3.补正后申请内容仍不明确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（五）不予处理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1.信访举报投诉类申请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2.重复申请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3.要求提供公开出版物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4.无正当理由大量反复申请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5.要求行政机关确认或重新出具已获取信息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（六）其他处理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3.其他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（七）总计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四、结转下年度继续办理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</w:tbl>
    <w:p>
      <w:pPr>
        <w:spacing w:line="590" w:lineRule="exact"/>
        <w:ind w:right="-105" w:rightChars="-50" w:firstLine="642" w:firstLineChars="200"/>
        <w:rPr>
          <w:rFonts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四、政府信息公开行政复议、行政诉讼情况</w:t>
      </w:r>
    </w:p>
    <w:tbl>
      <w:tblPr>
        <w:tblStyle w:val="8"/>
        <w:tblW w:w="8810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621"/>
        <w:gridCol w:w="600"/>
        <w:gridCol w:w="591"/>
        <w:gridCol w:w="461"/>
        <w:gridCol w:w="649"/>
        <w:gridCol w:w="649"/>
        <w:gridCol w:w="650"/>
        <w:gridCol w:w="636"/>
        <w:gridCol w:w="426"/>
        <w:gridCol w:w="650"/>
        <w:gridCol w:w="650"/>
        <w:gridCol w:w="650"/>
        <w:gridCol w:w="555"/>
        <w:gridCol w:w="407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行政复议</w:t>
            </w:r>
          </w:p>
        </w:tc>
        <w:tc>
          <w:tcPr>
            <w:tcW w:w="5922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结果维持</w:t>
            </w:r>
          </w:p>
        </w:tc>
        <w:tc>
          <w:tcPr>
            <w:tcW w:w="621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hAnsi="宋体" w:eastAsia="方正黑体简体" w:cs="宋体"/>
                <w:b/>
                <w:sz w:val="21"/>
                <w:szCs w:val="21"/>
                <w:lang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其他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9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尚未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30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未经复议直接起诉</w:t>
            </w:r>
          </w:p>
        </w:tc>
        <w:tc>
          <w:tcPr>
            <w:tcW w:w="291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2" w:leftChars="-20" w:right="-42" w:rightChars="-20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62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2" w:leftChars="-20" w:right="-42" w:rightChars="-20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2" w:leftChars="-20" w:right="-42" w:rightChars="-20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59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2" w:leftChars="-20" w:right="-42" w:rightChars="-20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4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2" w:leftChars="-20" w:right="-42" w:rightChars="-20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其他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尚未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其他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尚未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eastAsia" w:ascii="方正黑体简体" w:hAnsi="Times New Roman" w:eastAsia="方正黑体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eastAsia" w:ascii="方正黑体简体" w:hAnsi="Times New Roman" w:eastAsia="方正黑体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eastAsia" w:ascii="方正黑体简体" w:hAnsi="Times New Roman" w:eastAsia="方正黑体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eastAsia" w:ascii="方正黑体简体" w:hAnsi="Times New Roman" w:eastAsia="方正黑体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eastAsia" w:ascii="方正黑体简体" w:hAnsi="Times New Roman" w:eastAsia="方正黑体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eastAsia" w:ascii="方正黑体简体" w:hAnsi="Times New Roman" w:eastAsia="方正黑体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eastAsia" w:ascii="方正黑体简体" w:hAnsi="Times New Roman" w:eastAsia="方正黑体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eastAsia" w:ascii="方正黑体简体" w:hAnsi="Times New Roman" w:eastAsia="方正黑体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6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eastAsia" w:ascii="方正黑体简体" w:hAnsi="Times New Roman" w:eastAsia="方正黑体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2" w:leftChars="-20" w:right="-42" w:rightChars="-20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-105" w:rightChars="-50" w:firstLine="642" w:firstLineChars="200"/>
        <w:textAlignment w:val="auto"/>
        <w:rPr>
          <w:rFonts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五、存在的主要问题及改进情况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firstLine="642" w:firstLineChars="200"/>
        <w:textAlignment w:val="auto"/>
        <w:rPr>
          <w:rFonts w:hint="eastAsia" w:ascii="方正仿宋简体" w:hAnsi="Times New Roman" w:eastAsia="方正仿宋简体" w:cs="Times New Roman"/>
          <w:b/>
          <w:color w:val="000000" w:themeColor="text1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简体" w:hAnsi="Times New Roman" w:eastAsia="方正仿宋简体" w:cs="Times New Roman"/>
          <w:b/>
          <w:color w:val="000000" w:themeColor="text1"/>
          <w:kern w:val="2"/>
          <w:sz w:val="32"/>
          <w:szCs w:val="32"/>
          <w:lang w:val="en-US" w:eastAsia="zh-CN" w:bidi="ar-SA"/>
        </w:rPr>
        <w:t>2022年，我中心政府信息公开工作虽然取得了一定成绩，但与公众的需求还有一定的差距，还面临着一些困难和问题，主要有：一是信息公开形式和载体还不够丰富；二是对部分政策解读生动性不够，解读形式不够丰富，解读内容需要深入细化。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firstLine="642" w:firstLineChars="200"/>
        <w:textAlignment w:val="auto"/>
        <w:rPr>
          <w:rFonts w:hint="eastAsia" w:ascii="方正仿宋简体" w:hAnsi="Times New Roman" w:eastAsia="方正仿宋简体" w:cs="Times New Roman"/>
          <w:b/>
          <w:color w:val="000000" w:themeColor="text1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简体" w:hAnsi="Times New Roman" w:eastAsia="方正仿宋简体" w:cs="Times New Roman"/>
          <w:b/>
          <w:color w:val="000000" w:themeColor="text1"/>
          <w:kern w:val="2"/>
          <w:sz w:val="32"/>
          <w:szCs w:val="32"/>
          <w:lang w:val="en-US" w:eastAsia="zh-CN" w:bidi="ar-SA"/>
        </w:rPr>
        <w:t>针对存在的问题，下一步中心将做好以下工作：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2" w:firstLineChars="200"/>
        <w:jc w:val="left"/>
        <w:textAlignment w:val="auto"/>
        <w:rPr>
          <w:rFonts w:hint="eastAsia" w:ascii="方正仿宋简体" w:eastAsia="方正仿宋简体" w:cs="Times New Roman"/>
          <w:b/>
          <w:color w:val="000000" w:themeColor="text1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简体" w:hAnsi="Times New Roman" w:eastAsia="方正仿宋简体" w:cs="Times New Roman"/>
          <w:b/>
          <w:color w:val="000000" w:themeColor="text1"/>
          <w:kern w:val="2"/>
          <w:sz w:val="32"/>
          <w:szCs w:val="32"/>
          <w:lang w:val="en-US" w:eastAsia="zh-CN" w:bidi="ar-SA"/>
        </w:rPr>
        <w:t>一是不断丰富信息公开形式和公开载体，加大公开力度，完善主动公开信息内容。通过开展“送政策上门、送服务上门”活动，</w:t>
      </w:r>
      <w:r>
        <w:rPr>
          <w:rFonts w:hint="eastAsia" w:ascii="方正仿宋简体" w:eastAsia="方正仿宋简体" w:cs="Times New Roman"/>
          <w:b/>
          <w:color w:val="000000" w:themeColor="text1"/>
          <w:kern w:val="2"/>
          <w:sz w:val="32"/>
          <w:szCs w:val="32"/>
          <w:lang w:val="en-US" w:eastAsia="zh-CN" w:bidi="ar-SA"/>
        </w:rPr>
        <w:t>面对面解疑答惑，</w:t>
      </w:r>
      <w:r>
        <w:rPr>
          <w:rFonts w:hint="eastAsia" w:ascii="方正仿宋简体" w:hAnsi="Times New Roman" w:eastAsia="方正仿宋简体" w:cs="Times New Roman"/>
          <w:b/>
          <w:color w:val="000000" w:themeColor="text1"/>
          <w:kern w:val="2"/>
          <w:sz w:val="32"/>
          <w:szCs w:val="32"/>
          <w:lang w:val="en-US" w:eastAsia="zh-CN" w:bidi="ar-SA"/>
        </w:rPr>
        <w:t>提高缴存单位和职工对住房公积金制度的认知感</w:t>
      </w:r>
      <w:r>
        <w:rPr>
          <w:rFonts w:hint="eastAsia" w:ascii="方正仿宋简体" w:eastAsia="方正仿宋简体" w:cs="Times New Roman"/>
          <w:b/>
          <w:color w:val="000000" w:themeColor="text1"/>
          <w:kern w:val="2"/>
          <w:sz w:val="32"/>
          <w:szCs w:val="32"/>
          <w:lang w:val="en-US" w:eastAsia="zh-CN" w:bidi="ar-SA"/>
        </w:rPr>
        <w:t>。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firstLine="642" w:firstLineChars="200"/>
        <w:textAlignment w:val="auto"/>
        <w:rPr>
          <w:rFonts w:hint="eastAsia" w:ascii="方正仿宋简体" w:hAnsi="Times New Roman" w:eastAsia="方正仿宋简体" w:cs="Times New Roman"/>
          <w:b/>
          <w:color w:val="000000" w:themeColor="text1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简体" w:hAnsi="Times New Roman" w:eastAsia="方正仿宋简体" w:cs="Times New Roman"/>
          <w:b/>
          <w:color w:val="000000" w:themeColor="text1"/>
          <w:kern w:val="2"/>
          <w:sz w:val="32"/>
          <w:szCs w:val="32"/>
          <w:lang w:val="en-US" w:eastAsia="zh-CN" w:bidi="ar-SA"/>
        </w:rPr>
        <w:t>二是进一步加强政策解读工作，重点做好涉及群众切身利益特别是提取、贷款等方面政策措施的宣传解读工作，要及时回应群众关切，传递权威信息。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-105" w:rightChars="-50" w:firstLine="642" w:firstLineChars="200"/>
        <w:textAlignment w:val="auto"/>
        <w:rPr>
          <w:rFonts w:hint="eastAsia"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六、其他需要报告的事项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2" w:firstLineChars="200"/>
        <w:jc w:val="left"/>
        <w:textAlignment w:val="auto"/>
        <w:rPr>
          <w:rFonts w:hint="eastAsia" w:ascii="方正仿宋简体" w:hAnsi="Times New Roman" w:eastAsia="方正仿宋简体" w:cs="Times New Roman"/>
          <w:b/>
          <w:color w:val="000000" w:themeColor="text1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简体" w:hAnsi="Calibri" w:eastAsia="方正仿宋简体" w:cs="Times New Roman"/>
          <w:b/>
          <w:color w:val="000000" w:themeColor="text1"/>
          <w:kern w:val="2"/>
          <w:sz w:val="32"/>
          <w:szCs w:val="32"/>
          <w:lang w:val="en-US" w:eastAsia="zh-CN" w:bidi="ar-SA"/>
        </w:rPr>
        <w:t>2022年，中心认真贯彻落实国家、省、市政务公开要点要求，及时将重点任务分解至各科室、分支机构，督促各部门及时上报公开信息，认真全面依法做好政务公开工作。依据《政府信息公开信息处理费管理办法》，本中心依申请公开不收费，2022</w:t>
      </w:r>
      <w:r>
        <w:rPr>
          <w:rFonts w:hint="eastAsia" w:ascii="方正仿宋简体" w:eastAsia="方正仿宋简体" w:cs="Times New Roman"/>
          <w:b/>
          <w:sz w:val="32"/>
          <w:szCs w:val="32"/>
          <w:lang w:val="en-US" w:eastAsia="zh-CN"/>
        </w:rPr>
        <w:t>未产生</w:t>
      </w:r>
      <w:r>
        <w:rPr>
          <w:rFonts w:hint="eastAsia" w:ascii="方正仿宋简体" w:hAnsi="Times New Roman" w:eastAsia="方正仿宋简体" w:cs="Times New Roman"/>
          <w:b/>
          <w:sz w:val="32"/>
          <w:szCs w:val="32"/>
          <w:lang w:val="en-US" w:eastAsia="zh-CN"/>
        </w:rPr>
        <w:t>收取信息处理费</w:t>
      </w:r>
      <w:r>
        <w:rPr>
          <w:rFonts w:hint="eastAsia" w:ascii="方正仿宋简体" w:eastAsia="方正仿宋简体" w:cs="Times New Roman"/>
          <w:b/>
          <w:sz w:val="32"/>
          <w:szCs w:val="32"/>
          <w:lang w:val="en-US" w:eastAsia="zh-CN"/>
        </w:rPr>
        <w:t>的情况</w:t>
      </w:r>
      <w:r>
        <w:rPr>
          <w:rFonts w:hint="eastAsia" w:ascii="方正仿宋简体" w:hAnsi="Calibri" w:eastAsia="方正仿宋简体" w:cs="Times New Roman"/>
          <w:b/>
          <w:color w:val="000000" w:themeColor="text1"/>
          <w:kern w:val="2"/>
          <w:sz w:val="32"/>
          <w:szCs w:val="32"/>
          <w:lang w:val="en-US" w:eastAsia="zh-CN" w:bidi="ar-SA"/>
        </w:rPr>
        <w:t>。2022年度中心共收到两个政协委员提案，分别是《关于进一步完善我市住房公积金政策的建议》和《关于提高多孩家庭公积金贷款优惠的建议》，目前均已答复，提案人</w:t>
      </w:r>
      <w:r>
        <w:rPr>
          <w:rFonts w:hint="eastAsia" w:ascii="方正仿宋简体" w:hAnsi="Times New Roman" w:eastAsia="方正仿宋简体" w:cs="Times New Roman"/>
          <w:b/>
          <w:color w:val="000000" w:themeColor="text1"/>
          <w:kern w:val="2"/>
          <w:sz w:val="32"/>
          <w:szCs w:val="32"/>
          <w:lang w:val="en-US" w:eastAsia="zh-CN" w:bidi="ar-SA"/>
        </w:rPr>
        <w:t>对办理结果满意。202</w:t>
      </w:r>
      <w:r>
        <w:rPr>
          <w:rFonts w:hint="eastAsia" w:ascii="方正仿宋简体" w:eastAsia="方正仿宋简体" w:cs="Times New Roman"/>
          <w:b/>
          <w:color w:val="000000" w:themeColor="text1"/>
          <w:kern w:val="2"/>
          <w:sz w:val="32"/>
          <w:szCs w:val="32"/>
          <w:lang w:val="en-US" w:eastAsia="zh-CN" w:bidi="ar-SA"/>
        </w:rPr>
        <w:t>2</w:t>
      </w:r>
      <w:r>
        <w:rPr>
          <w:rFonts w:hint="eastAsia" w:ascii="方正仿宋简体" w:hAnsi="Times New Roman" w:eastAsia="方正仿宋简体" w:cs="Times New Roman"/>
          <w:b/>
          <w:color w:val="000000" w:themeColor="text1"/>
          <w:kern w:val="2"/>
          <w:sz w:val="32"/>
          <w:szCs w:val="32"/>
          <w:lang w:val="en-US" w:eastAsia="zh-CN" w:bidi="ar-SA"/>
        </w:rPr>
        <w:t>年度未收到</w:t>
      </w:r>
      <w:r>
        <w:rPr>
          <w:rFonts w:hint="eastAsia" w:ascii="方正仿宋简体" w:eastAsia="方正仿宋简体" w:cs="Times New Roman"/>
          <w:b/>
          <w:color w:val="000000" w:themeColor="text1"/>
          <w:kern w:val="2"/>
          <w:sz w:val="32"/>
          <w:szCs w:val="32"/>
          <w:lang w:val="en-US" w:eastAsia="zh-CN" w:bidi="ar-SA"/>
        </w:rPr>
        <w:t>人大代表建议</w:t>
      </w:r>
      <w:r>
        <w:rPr>
          <w:rFonts w:hint="eastAsia" w:ascii="方正仿宋简体" w:hAnsi="Times New Roman" w:eastAsia="方正仿宋简体" w:cs="Times New Roman"/>
          <w:b/>
          <w:color w:val="000000" w:themeColor="text1"/>
          <w:kern w:val="2"/>
          <w:sz w:val="32"/>
          <w:szCs w:val="32"/>
          <w:lang w:val="en-US" w:eastAsia="zh-CN" w:bidi="ar-SA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/>
        <w:textAlignment w:val="auto"/>
        <w:rPr>
          <w:rFonts w:hint="eastAsia" w:ascii="方正仿宋简体" w:hAnsi="Times New Roman" w:eastAsia="方正仿宋简体" w:cs="Times New Roman"/>
          <w:b/>
          <w:sz w:val="32"/>
          <w:szCs w:val="32"/>
          <w:lang w:val="en-US" w:eastAsia="zh-CN"/>
        </w:rPr>
      </w:pPr>
      <w:r>
        <w:rPr>
          <w:rFonts w:hint="eastAsia" w:ascii="方正仿宋简体" w:hAnsi="Yu Mincho Light" w:eastAsia="方正仿宋简体" w:cs="仿宋_GB2312"/>
          <w:b/>
          <w:sz w:val="32"/>
          <w:szCs w:val="32"/>
        </w:rPr>
        <w:t>202</w:t>
      </w:r>
      <w:r>
        <w:rPr>
          <w:rFonts w:hint="eastAsia" w:ascii="方正仿宋简体" w:hAnsi="Yu Mincho Light" w:eastAsia="方正仿宋简体" w:cs="仿宋_GB2312"/>
          <w:b/>
          <w:sz w:val="32"/>
          <w:szCs w:val="32"/>
          <w:lang w:val="en-US" w:eastAsia="zh-CN"/>
        </w:rPr>
        <w:t>2</w:t>
      </w:r>
      <w:r>
        <w:rPr>
          <w:rFonts w:hint="eastAsia" w:ascii="方正仿宋简体" w:hAnsi="Yu Mincho Light" w:eastAsia="方正仿宋简体" w:cs="仿宋_GB2312"/>
          <w:b/>
          <w:sz w:val="32"/>
          <w:szCs w:val="32"/>
        </w:rPr>
        <w:t>年度本部门</w:t>
      </w:r>
      <w:r>
        <w:rPr>
          <w:rFonts w:hint="eastAsia" w:ascii="方正仿宋简体" w:hAnsi="Yu Mincho Light" w:eastAsia="方正仿宋简体" w:cs="仿宋_GB2312"/>
          <w:b/>
          <w:sz w:val="32"/>
          <w:szCs w:val="32"/>
          <w:lang w:eastAsia="zh-CN"/>
        </w:rPr>
        <w:t>以图文并茂、通俗易懂的形式发布了多条政策解读文件。我中心在政务公开专区建设方面积极创新，</w:t>
      </w:r>
      <w:r>
        <w:rPr>
          <w:rFonts w:hint="eastAsia" w:ascii="方正仿宋简体" w:hAnsi="Times New Roman" w:eastAsia="方正仿宋简体" w:cs="Times New Roman"/>
          <w:b/>
          <w:sz w:val="32"/>
          <w:szCs w:val="32"/>
          <w:lang w:val="en-US" w:eastAsia="zh-CN"/>
        </w:rPr>
        <w:t>建成了占地近200平米，涵盖党建引领、文化培元、聚力赋能、数说成果、砥砺前行五个篇章的新时代文化数字展厅，集中展示单位工作实绩。</w:t>
      </w:r>
    </w:p>
    <w:p>
      <w:pPr>
        <w:spacing w:line="576" w:lineRule="exact"/>
        <w:ind w:firstLine="640" w:firstLineChars="200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</w:p>
    <w:p>
      <w:pPr>
        <w:spacing w:line="576" w:lineRule="exact"/>
        <w:ind w:firstLine="640" w:firstLineChars="200"/>
        <w:rPr>
          <w:rFonts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                    </w:t>
      </w:r>
      <w:r>
        <w:rPr>
          <w:rFonts w:hint="eastAsia" w:ascii="方正仿宋简体" w:hAnsi="Calibri" w:eastAsia="方正仿宋简体" w:cs="Times New Roman"/>
          <w:b/>
          <w:color w:val="000000" w:themeColor="text1"/>
          <w:kern w:val="2"/>
          <w:sz w:val="32"/>
          <w:szCs w:val="32"/>
          <w:lang w:val="en-US" w:eastAsia="zh-CN" w:bidi="ar-SA"/>
        </w:rPr>
        <w:t xml:space="preserve"> 济宁市住房公积金管理中心</w:t>
      </w:r>
    </w:p>
    <w:p>
      <w:pPr>
        <w:spacing w:line="576" w:lineRule="exact"/>
        <w:ind w:firstLine="640" w:firstLineChars="200"/>
        <w:rPr>
          <w:rFonts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                         </w:t>
      </w:r>
      <w:r>
        <w:rPr>
          <w:rFonts w:hint="eastAsia" w:ascii="方正仿宋简体" w:hAnsi="Calibri" w:eastAsia="方正仿宋简体" w:cs="Times New Roman"/>
          <w:b/>
          <w:color w:val="000000" w:themeColor="text1"/>
          <w:kern w:val="2"/>
          <w:sz w:val="32"/>
          <w:szCs w:val="32"/>
          <w:lang w:val="en-US" w:eastAsia="zh-CN" w:bidi="ar-SA"/>
        </w:rPr>
        <w:t>2023年1月</w:t>
      </w:r>
      <w:r>
        <w:rPr>
          <w:rFonts w:hint="default" w:ascii="方正仿宋简体" w:hAnsi="Calibri" w:eastAsia="方正仿宋简体" w:cs="Times New Roman"/>
          <w:b/>
          <w:color w:val="000000" w:themeColor="text1"/>
          <w:kern w:val="2"/>
          <w:sz w:val="32"/>
          <w:szCs w:val="32"/>
          <w:lang w:val="en" w:eastAsia="zh-CN" w:bidi="ar-SA"/>
        </w:rPr>
        <w:t>2</w:t>
      </w:r>
      <w:r>
        <w:rPr>
          <w:rFonts w:hint="eastAsia" w:ascii="方正仿宋简体" w:hAnsi="Calibri" w:eastAsia="方正仿宋简体" w:cs="Times New Roman"/>
          <w:b/>
          <w:color w:val="000000" w:themeColor="text1"/>
          <w:kern w:val="2"/>
          <w:sz w:val="32"/>
          <w:szCs w:val="32"/>
          <w:lang w:val="en-US" w:eastAsia="zh-CN" w:bidi="ar-SA"/>
        </w:rPr>
        <w:t>9日</w:t>
      </w:r>
    </w:p>
    <w:p>
      <w:pPr>
        <w:spacing w:line="600" w:lineRule="exact"/>
        <w:rPr>
          <w:rFonts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17" w:right="1531" w:bottom="1417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Yu Mincho Light">
    <w:altName w:val="方正书宋_GBK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72A27"/>
    <w:rsid w:val="00172A27"/>
    <w:rsid w:val="001B2098"/>
    <w:rsid w:val="0044316C"/>
    <w:rsid w:val="004544DF"/>
    <w:rsid w:val="00491960"/>
    <w:rsid w:val="005237DC"/>
    <w:rsid w:val="005C7EDD"/>
    <w:rsid w:val="005D38DA"/>
    <w:rsid w:val="00950F2E"/>
    <w:rsid w:val="00A11E50"/>
    <w:rsid w:val="00A839D5"/>
    <w:rsid w:val="00C654C5"/>
    <w:rsid w:val="00D93D70"/>
    <w:rsid w:val="0E757CFF"/>
    <w:rsid w:val="16DFEC19"/>
    <w:rsid w:val="17C59877"/>
    <w:rsid w:val="17F9C742"/>
    <w:rsid w:val="1BF7CB7B"/>
    <w:rsid w:val="1D9AED25"/>
    <w:rsid w:val="1DDF0817"/>
    <w:rsid w:val="1FDDB556"/>
    <w:rsid w:val="24377C6C"/>
    <w:rsid w:val="25F98FC9"/>
    <w:rsid w:val="3BFDDADE"/>
    <w:rsid w:val="3E53CA76"/>
    <w:rsid w:val="3E7F6D24"/>
    <w:rsid w:val="3EFEB671"/>
    <w:rsid w:val="3EFFB063"/>
    <w:rsid w:val="3F3C2EE9"/>
    <w:rsid w:val="3F67B564"/>
    <w:rsid w:val="3F7B474F"/>
    <w:rsid w:val="3F7EB65E"/>
    <w:rsid w:val="3F96D535"/>
    <w:rsid w:val="3F9B1B62"/>
    <w:rsid w:val="3FB53A77"/>
    <w:rsid w:val="3FF71AFE"/>
    <w:rsid w:val="3FFD0A85"/>
    <w:rsid w:val="3FFD5A15"/>
    <w:rsid w:val="3FFDA3DB"/>
    <w:rsid w:val="48CEFA3C"/>
    <w:rsid w:val="4D4AD7AB"/>
    <w:rsid w:val="4E684E73"/>
    <w:rsid w:val="4FE334AE"/>
    <w:rsid w:val="55FBD72F"/>
    <w:rsid w:val="565A8DC5"/>
    <w:rsid w:val="59DBCB9A"/>
    <w:rsid w:val="59FC534D"/>
    <w:rsid w:val="5A77EDFF"/>
    <w:rsid w:val="5CBF2E0C"/>
    <w:rsid w:val="5EFA22FD"/>
    <w:rsid w:val="5EFE64B3"/>
    <w:rsid w:val="5FA31D08"/>
    <w:rsid w:val="5FED3C9C"/>
    <w:rsid w:val="5FFC2BA0"/>
    <w:rsid w:val="5FFF5763"/>
    <w:rsid w:val="5FFF977D"/>
    <w:rsid w:val="66C90C3F"/>
    <w:rsid w:val="67F1A8F7"/>
    <w:rsid w:val="684FC6E4"/>
    <w:rsid w:val="6B5A42B8"/>
    <w:rsid w:val="6BFE0581"/>
    <w:rsid w:val="6EFF63BB"/>
    <w:rsid w:val="6FAF2395"/>
    <w:rsid w:val="6FAF77DD"/>
    <w:rsid w:val="6FF36BD8"/>
    <w:rsid w:val="6FFDE101"/>
    <w:rsid w:val="777F2B5C"/>
    <w:rsid w:val="777F4596"/>
    <w:rsid w:val="77CDD7E3"/>
    <w:rsid w:val="77FD316A"/>
    <w:rsid w:val="783FCC21"/>
    <w:rsid w:val="79F74271"/>
    <w:rsid w:val="7A5FF987"/>
    <w:rsid w:val="7AEBA585"/>
    <w:rsid w:val="7B79E88C"/>
    <w:rsid w:val="7BDA3F77"/>
    <w:rsid w:val="7BFBF647"/>
    <w:rsid w:val="7CDBF945"/>
    <w:rsid w:val="7D3F99C5"/>
    <w:rsid w:val="7DB720DE"/>
    <w:rsid w:val="7DBE141B"/>
    <w:rsid w:val="7DFFAF79"/>
    <w:rsid w:val="7E5950DB"/>
    <w:rsid w:val="7E7759AB"/>
    <w:rsid w:val="7EDEC783"/>
    <w:rsid w:val="7F4D5E76"/>
    <w:rsid w:val="7F5AAF19"/>
    <w:rsid w:val="7F5D1C12"/>
    <w:rsid w:val="7F9616D3"/>
    <w:rsid w:val="7FBD2D49"/>
    <w:rsid w:val="7FBFB36E"/>
    <w:rsid w:val="7FEE4873"/>
    <w:rsid w:val="7FF534EC"/>
    <w:rsid w:val="7FF67A42"/>
    <w:rsid w:val="7FFFD183"/>
    <w:rsid w:val="82DB766C"/>
    <w:rsid w:val="97FF25F8"/>
    <w:rsid w:val="9CCF9615"/>
    <w:rsid w:val="AF54718F"/>
    <w:rsid w:val="AFBF54A8"/>
    <w:rsid w:val="AFFE9DC8"/>
    <w:rsid w:val="B5572430"/>
    <w:rsid w:val="B57F314B"/>
    <w:rsid w:val="B76724DE"/>
    <w:rsid w:val="B93D9F7E"/>
    <w:rsid w:val="BAFFDF30"/>
    <w:rsid w:val="BC614D12"/>
    <w:rsid w:val="BDEC054A"/>
    <w:rsid w:val="BE3D824E"/>
    <w:rsid w:val="BF57F61E"/>
    <w:rsid w:val="BF7F5E76"/>
    <w:rsid w:val="BFF32753"/>
    <w:rsid w:val="BFFFFC74"/>
    <w:rsid w:val="CBFF5B9E"/>
    <w:rsid w:val="CCCB13FF"/>
    <w:rsid w:val="CFBDC6E7"/>
    <w:rsid w:val="D3ED93FE"/>
    <w:rsid w:val="D3FEE33A"/>
    <w:rsid w:val="D438704D"/>
    <w:rsid w:val="D71FFBFA"/>
    <w:rsid w:val="D7ACDDA4"/>
    <w:rsid w:val="D7BD38BD"/>
    <w:rsid w:val="DBD23C55"/>
    <w:rsid w:val="DDB1CA62"/>
    <w:rsid w:val="DDCE6CD1"/>
    <w:rsid w:val="DDFB8B84"/>
    <w:rsid w:val="DE622378"/>
    <w:rsid w:val="DEF7EAD3"/>
    <w:rsid w:val="DF7F4C30"/>
    <w:rsid w:val="DFDD3C88"/>
    <w:rsid w:val="DFF2C479"/>
    <w:rsid w:val="E3F74BC6"/>
    <w:rsid w:val="E67F51BB"/>
    <w:rsid w:val="E7FF2C03"/>
    <w:rsid w:val="E7FF3B69"/>
    <w:rsid w:val="E8FFB28D"/>
    <w:rsid w:val="EB7AA7BD"/>
    <w:rsid w:val="EBA7BED9"/>
    <w:rsid w:val="EBDF3B65"/>
    <w:rsid w:val="EBEFD3DF"/>
    <w:rsid w:val="EBFFEBD6"/>
    <w:rsid w:val="ECFF7280"/>
    <w:rsid w:val="EF5B9D70"/>
    <w:rsid w:val="EFDB917D"/>
    <w:rsid w:val="EFFBEE79"/>
    <w:rsid w:val="EFFC02BB"/>
    <w:rsid w:val="F4FF715B"/>
    <w:rsid w:val="F5E50778"/>
    <w:rsid w:val="F5EDDF9D"/>
    <w:rsid w:val="F5FEBAA6"/>
    <w:rsid w:val="F7BE5A4C"/>
    <w:rsid w:val="F7E5061D"/>
    <w:rsid w:val="F7F34FAF"/>
    <w:rsid w:val="F96F5148"/>
    <w:rsid w:val="FADB567F"/>
    <w:rsid w:val="FB7E2904"/>
    <w:rsid w:val="FBDF5ECE"/>
    <w:rsid w:val="FC573370"/>
    <w:rsid w:val="FCFF5462"/>
    <w:rsid w:val="FD6FC755"/>
    <w:rsid w:val="FDB0AC22"/>
    <w:rsid w:val="FDDF8808"/>
    <w:rsid w:val="FDEE80BF"/>
    <w:rsid w:val="FDF70AD2"/>
    <w:rsid w:val="FDFF420B"/>
    <w:rsid w:val="FE7FC90E"/>
    <w:rsid w:val="FEBF1367"/>
    <w:rsid w:val="FEDBC220"/>
    <w:rsid w:val="FEE69DFD"/>
    <w:rsid w:val="FEF5A61D"/>
    <w:rsid w:val="FF460500"/>
    <w:rsid w:val="FF5E42A1"/>
    <w:rsid w:val="FF77B95D"/>
    <w:rsid w:val="FF79BC8B"/>
    <w:rsid w:val="FF8546D7"/>
    <w:rsid w:val="FFADD0F8"/>
    <w:rsid w:val="FFD41E21"/>
    <w:rsid w:val="FFDFC842"/>
    <w:rsid w:val="FFEB36E5"/>
    <w:rsid w:val="FFF7E801"/>
    <w:rsid w:val="FFFCB2D8"/>
    <w:rsid w:val="FFFF5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name="header"/>
    <w:lsdException w:qFormat="1" w:uiPriority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link w:val="13"/>
    <w:qFormat/>
    <w:uiPriority w:val="99"/>
    <w:pPr>
      <w:spacing w:beforeAutospacing="1" w:afterAutospacing="1"/>
      <w:jc w:val="left"/>
      <w:outlineLvl w:val="0"/>
    </w:pPr>
    <w:rPr>
      <w:rFonts w:ascii="宋体" w:hAnsi="宋体" w:cs="宋体"/>
      <w:b/>
      <w:bCs/>
      <w:kern w:val="44"/>
      <w:sz w:val="48"/>
      <w:szCs w:val="4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next w:val="2"/>
    <w:qFormat/>
    <w:uiPriority w:val="0"/>
    <w:pPr>
      <w:spacing w:after="120"/>
      <w:ind w:left="420" w:leftChars="200"/>
    </w:pPr>
  </w:style>
  <w:style w:type="paragraph" w:styleId="5">
    <w:name w:val="footer"/>
    <w:basedOn w:val="1"/>
    <w:link w:val="12"/>
    <w:semiHidden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semiHidden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ascii="Calibri" w:hAnsi="Calibri"/>
      <w:kern w:val="0"/>
      <w:sz w:val="24"/>
    </w:rPr>
  </w:style>
  <w:style w:type="character" w:styleId="10">
    <w:name w:val="Strong"/>
    <w:basedOn w:val="9"/>
    <w:qFormat/>
    <w:uiPriority w:val="22"/>
    <w:rPr>
      <w:b/>
    </w:rPr>
  </w:style>
  <w:style w:type="character" w:customStyle="1" w:styleId="11">
    <w:name w:val="页眉 Char"/>
    <w:basedOn w:val="9"/>
    <w:link w:val="6"/>
    <w:semiHidden/>
    <w:qFormat/>
    <w:uiPriority w:val="0"/>
    <w:rPr>
      <w:kern w:val="2"/>
      <w:sz w:val="18"/>
      <w:szCs w:val="18"/>
    </w:rPr>
  </w:style>
  <w:style w:type="character" w:customStyle="1" w:styleId="12">
    <w:name w:val="页脚 Char"/>
    <w:basedOn w:val="9"/>
    <w:link w:val="5"/>
    <w:semiHidden/>
    <w:qFormat/>
    <w:uiPriority w:val="0"/>
    <w:rPr>
      <w:kern w:val="2"/>
      <w:sz w:val="18"/>
      <w:szCs w:val="18"/>
    </w:rPr>
  </w:style>
  <w:style w:type="character" w:customStyle="1" w:styleId="13">
    <w:name w:val="标题 1 Char"/>
    <w:basedOn w:val="9"/>
    <w:link w:val="4"/>
    <w:qFormat/>
    <w:uiPriority w:val="99"/>
    <w:rPr>
      <w:rFonts w:ascii="宋体" w:hAnsi="宋体" w:cs="宋体"/>
      <w:b/>
      <w:bCs/>
      <w:kern w:val="44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721</Words>
  <Characters>4115</Characters>
  <Lines>34</Lines>
  <Paragraphs>9</Paragraphs>
  <TotalTime>49</TotalTime>
  <ScaleCrop>false</ScaleCrop>
  <LinksUpToDate>false</LinksUpToDate>
  <CharactersWithSpaces>4827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2019-08-16T08:25:00Z</dcterms:created>
  <dc:creator>Administrator</dc:creator>
  <cp:lastModifiedBy>thtf</cp:lastModifiedBy>
  <cp:lastPrinted>2023-01-23T00:36:00Z</cp:lastPrinted>
  <dcterms:modified xsi:type="dcterms:W3CDTF">2023-04-25T16:43:59Z</dcterms:modified>
  <dc:title>济宁市住房公积金管理中心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