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JNCR-2022-0160001</w:t>
      </w:r>
    </w:p>
    <w:p>
      <w:pPr>
        <w:jc w:val="left"/>
        <w:rPr>
          <w:rFonts w:ascii="方正黑体简体" w:hAnsi="方正黑体简体" w:eastAsia="方正黑体简体" w:cs="方正黑体简体"/>
          <w:b/>
          <w:bCs/>
          <w:szCs w:val="32"/>
        </w:rPr>
      </w:pP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r>
        <w:rPr>
          <w:rFonts w:ascii="Times New Roman" w:hAnsi="方正小标宋简体" w:eastAsia="方正小标宋简体"/>
          <w:b/>
          <w:bCs/>
          <w:sz w:val="44"/>
          <w:szCs w:val="44"/>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153035</wp:posOffset>
                </wp:positionV>
                <wp:extent cx="5819775" cy="1743075"/>
                <wp:effectExtent l="0" t="0" r="0" b="0"/>
                <wp:wrapNone/>
                <wp:docPr id="2" name="Text Box 2"/>
                <wp:cNvGraphicFramePr/>
                <a:graphic xmlns:a="http://schemas.openxmlformats.org/drawingml/2006/main">
                  <a:graphicData uri="http://schemas.microsoft.com/office/word/2010/wordprocessingShape">
                    <wps:wsp>
                      <wps:cNvSpPr txBox="true">
                        <a:spLocks noChangeArrowheads="true"/>
                      </wps:cNvSpPr>
                      <wps:spPr bwMode="auto">
                        <a:xfrm>
                          <a:off x="0" y="0"/>
                          <a:ext cx="5819775" cy="1743075"/>
                        </a:xfrm>
                        <a:prstGeom prst="rect">
                          <a:avLst/>
                        </a:prstGeom>
                        <a:noFill/>
                        <a:ln>
                          <a:noFill/>
                        </a:ln>
                        <a:effectLst/>
                      </wps:spPr>
                      <wps:txbx>
                        <w:txbxContent>
                          <w:p>
                            <w:pPr>
                              <w:rPr>
                                <w:rFonts w:ascii="方正小标宋简体" w:eastAsia="方正小标宋简体"/>
                                <w:color w:val="FF0000"/>
                                <w:spacing w:val="-20"/>
                                <w:w w:val="50"/>
                                <w:sz w:val="144"/>
                                <w:szCs w:val="144"/>
                              </w:rPr>
                            </w:pPr>
                            <w:r>
                              <w:rPr>
                                <w:rFonts w:hint="eastAsia" w:ascii="方正小标宋简体" w:eastAsia="方正小标宋简体"/>
                                <w:color w:val="FF0000"/>
                                <w:spacing w:val="-20"/>
                                <w:w w:val="50"/>
                                <w:sz w:val="144"/>
                                <w:szCs w:val="144"/>
                              </w:rPr>
                              <w:t>济宁市住房和城乡建设局文件</w:t>
                            </w:r>
                          </w:p>
                        </w:txbxContent>
                      </wps:txbx>
                      <wps:bodyPr rot="0" vert="horz" wrap="square" lIns="91440" tIns="45720" rIns="91440" bIns="45720" anchor="t" anchorCtr="false" upright="true">
                        <a:noAutofit/>
                      </wps:bodyPr>
                    </wps:wsp>
                  </a:graphicData>
                </a:graphic>
              </wp:anchor>
            </w:drawing>
          </mc:Choice>
          <mc:Fallback>
            <w:pict>
              <v:shape id="Text Box 2" o:spid="_x0000_s1026" o:spt="202" type="#_x0000_t202" style="position:absolute;left:0pt;margin-left:-10.5pt;margin-top:12.05pt;height:137.25pt;width:458.25pt;z-index:251659264;mso-width-relative:page;mso-height-relative:page;" filled="f" stroked="f" coordsize="21600,21600" o:gfxdata="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1Q1h6dgAAAAKAQAADwAAAAAAAAABACAA&#10;AAA4AAAAZHJzL2Rvd25yZXYueG1sUEsBAhQAFAAAAAgAh07iQPJtzJH3AQAA4gMAAA4AAAAAAAAA&#10;AQAgAAAAPQEAAGRycy9lMm9Eb2MueG1sUEsFBgAAAAAGAAYAWQEAAKYFAAAAAA==&#10;">
                <v:fill on="f" focussize="0,0"/>
                <v:stroke on="f"/>
                <v:imagedata o:title=""/>
                <o:lock v:ext="edit" aspectratio="f"/>
                <v:textbox>
                  <w:txbxContent>
                    <w:p>
                      <w:pPr>
                        <w:rPr>
                          <w:rFonts w:ascii="方正小标宋简体" w:eastAsia="方正小标宋简体"/>
                          <w:color w:val="FF0000"/>
                          <w:spacing w:val="-20"/>
                          <w:w w:val="50"/>
                          <w:sz w:val="144"/>
                          <w:szCs w:val="144"/>
                        </w:rPr>
                      </w:pPr>
                      <w:r>
                        <w:rPr>
                          <w:rFonts w:hint="eastAsia" w:ascii="方正小标宋简体" w:eastAsia="方正小标宋简体"/>
                          <w:color w:val="FF0000"/>
                          <w:spacing w:val="-20"/>
                          <w:w w:val="50"/>
                          <w:sz w:val="144"/>
                          <w:szCs w:val="144"/>
                        </w:rPr>
                        <w:t>济宁市住房和城乡建设局文件</w:t>
                      </w:r>
                    </w:p>
                  </w:txbxContent>
                </v:textbox>
              </v:shape>
            </w:pict>
          </mc:Fallback>
        </mc:AlternateContent>
      </w: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p>
    <w:p>
      <w:pPr>
        <w:adjustRightInd w:val="0"/>
        <w:snapToGrid w:val="0"/>
        <w:spacing w:line="700" w:lineRule="exact"/>
        <w:ind w:left="218" w:leftChars="104" w:right="482" w:firstLine="94" w:firstLineChars="45"/>
        <w:jc w:val="center"/>
        <w:rPr>
          <w:rFonts w:ascii="仿宋" w:hAnsi="仿宋"/>
          <w:b/>
          <w:bCs/>
          <w:szCs w:val="32"/>
        </w:rPr>
      </w:pPr>
    </w:p>
    <w:p>
      <w:pPr>
        <w:jc w:val="center"/>
        <w:rPr>
          <w:rFonts w:ascii="方正仿宋简体" w:hAnsi="仿宋" w:eastAsia="方正仿宋简体" w:cs="Times New Roman"/>
          <w:b/>
          <w:sz w:val="32"/>
          <w:szCs w:val="32"/>
        </w:rPr>
      </w:pPr>
      <w:r>
        <w:rPr>
          <w:rFonts w:hint="eastAsia" w:ascii="方正仿宋简体" w:hAnsi="仿宋" w:eastAsia="方正仿宋简体" w:cs="Times New Roman"/>
          <w:b/>
          <w:sz w:val="32"/>
          <w:szCs w:val="32"/>
        </w:rPr>
        <w:t>济建</w:t>
      </w:r>
      <w:r>
        <w:rPr>
          <w:rFonts w:hint="eastAsia" w:ascii="方正仿宋简体" w:hAnsi="仿宋" w:eastAsia="方正仿宋简体" w:cs="Times New Roman"/>
          <w:b/>
          <w:sz w:val="32"/>
          <w:szCs w:val="32"/>
          <w:lang w:eastAsia="zh-CN"/>
        </w:rPr>
        <w:t>物字</w:t>
      </w:r>
      <w:r>
        <w:rPr>
          <w:rFonts w:hint="eastAsia" w:ascii="方正仿宋简体" w:hAnsi="仿宋" w:eastAsia="方正仿宋简体" w:cs="Times New Roman"/>
          <w:b/>
          <w:sz w:val="32"/>
          <w:szCs w:val="32"/>
        </w:rPr>
        <w:t>〔2022〕</w:t>
      </w:r>
      <w:r>
        <w:rPr>
          <w:rFonts w:hint="eastAsia" w:ascii="方正仿宋简体" w:hAnsi="仿宋" w:eastAsia="方正仿宋简体" w:cs="Times New Roman"/>
          <w:b/>
          <w:sz w:val="32"/>
          <w:szCs w:val="32"/>
          <w:lang w:val="en-US" w:eastAsia="zh-CN"/>
        </w:rPr>
        <w:t>6</w:t>
      </w:r>
      <w:r>
        <w:rPr>
          <w:rFonts w:hint="eastAsia" w:ascii="方正仿宋简体" w:hAnsi="仿宋" w:eastAsia="方正仿宋简体" w:cs="Times New Roman"/>
          <w:b/>
          <w:sz w:val="32"/>
          <w:szCs w:val="32"/>
        </w:rPr>
        <w:t>号</w:t>
      </w:r>
    </w:p>
    <w:p>
      <w:pPr>
        <w:adjustRightInd w:val="0"/>
        <w:snapToGrid w:val="0"/>
        <w:spacing w:line="700" w:lineRule="exact"/>
        <w:ind w:left="218" w:leftChars="104" w:right="482" w:firstLine="198" w:firstLineChars="45"/>
        <w:jc w:val="center"/>
        <w:rPr>
          <w:rFonts w:ascii="Times New Roman" w:hAnsi="方正小标宋简体" w:eastAsia="方正小标宋简体"/>
          <w:b/>
          <w:bCs/>
          <w:sz w:val="44"/>
          <w:szCs w:val="44"/>
        </w:rPr>
      </w:pPr>
      <w:r>
        <w:rPr>
          <w:rFonts w:ascii="Times New Roman" w:hAnsi="方正小标宋简体" w:eastAsia="方正小标宋简体"/>
          <w:b/>
          <w:bCs/>
          <w:sz w:val="44"/>
          <w:szCs w:val="44"/>
        </w:rPr>
        <mc:AlternateContent>
          <mc:Choice Requires="wps">
            <w:drawing>
              <wp:anchor distT="0" distB="0" distL="114300" distR="114300" simplePos="0" relativeHeight="251660288" behindDoc="0" locked="0" layoutInCell="1" allowOverlap="1">
                <wp:simplePos x="0" y="0"/>
                <wp:positionH relativeFrom="column">
                  <wp:posOffset>-58420</wp:posOffset>
                </wp:positionH>
                <wp:positionV relativeFrom="paragraph">
                  <wp:posOffset>102870</wp:posOffset>
                </wp:positionV>
                <wp:extent cx="5638800" cy="9525"/>
                <wp:effectExtent l="0" t="0" r="0" b="0"/>
                <wp:wrapNone/>
                <wp:docPr id="3" name="AutoShape 3"/>
                <wp:cNvGraphicFramePr/>
                <a:graphic xmlns:a="http://schemas.openxmlformats.org/drawingml/2006/main">
                  <a:graphicData uri="http://schemas.microsoft.com/office/word/2010/wordprocessingShape">
                    <wps:wsp>
                      <wps:cNvCnPr>
                        <a:cxnSpLocks noChangeShapeType="true"/>
                      </wps:cNvCnPr>
                      <wps:spPr bwMode="auto">
                        <a:xfrm>
                          <a:off x="0" y="0"/>
                          <a:ext cx="5638800" cy="9525"/>
                        </a:xfrm>
                        <a:prstGeom prst="straightConnector1">
                          <a:avLst/>
                        </a:prstGeom>
                        <a:noFill/>
                        <a:ln w="12700">
                          <a:solidFill>
                            <a:srgbClr val="FF0000"/>
                          </a:solidFill>
                          <a:round/>
                        </a:ln>
                        <a:effectLst/>
                      </wps:spPr>
                      <wps:bodyPr/>
                    </wps:wsp>
                  </a:graphicData>
                </a:graphic>
              </wp:anchor>
            </w:drawing>
          </mc:Choice>
          <mc:Fallback>
            <w:pict>
              <v:shape id="AutoShape 3" o:spid="_x0000_s1026" o:spt="32" type="#_x0000_t32" style="position:absolute;left:0pt;margin-left:-4.6pt;margin-top:8.1pt;height:0.75pt;width:444pt;z-index:251660288;mso-width-relative:page;mso-height-relative:page;" filled="f" stroked="t" coordsize="21600,21600" o:gfxdata="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UFzlmtMAAAAIAQAADwAAAAAAAAAB&#10;ACAAAAA4AAAAZHJzL2Rvd25yZXYueG1sUEsBAhQAFAAAAAgAh07iQPgSe3vGAQAAeQMAAA4AAAAA&#10;AAAAAQAgAAAAOAEAAGRycy9lMm9Eb2MueG1sUEsFBgAAAAAGAAYAWQEAAHAFAAAAAA==&#10;">
                <v:fill on="f" focussize="0,0"/>
                <v:stroke weight="1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ascii="方正小标宋简体" w:hAnsi="文星仿宋" w:eastAsia="方正小标宋简体" w:cs="方正小标宋简体"/>
          <w:b/>
          <w:color w:val="000000"/>
          <w:sz w:val="44"/>
          <w:szCs w:val="44"/>
        </w:rPr>
      </w:pPr>
      <w:r>
        <w:rPr>
          <w:rFonts w:ascii="Times New Roman" w:hAnsi="方正小标宋简体" w:eastAsia="方正小标宋简体"/>
          <w:b/>
          <w:bCs/>
          <w:sz w:val="44"/>
          <w:szCs w:val="44"/>
        </w:rPr>
        <w:t>济宁市住房和城乡建设局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 w:eastAsia="方正小标宋简体" w:cs="宋体"/>
          <w:b/>
          <w:bCs/>
          <w:color w:val="auto"/>
          <w:kern w:val="0"/>
          <w:sz w:val="44"/>
          <w:szCs w:val="44"/>
        </w:rPr>
      </w:pPr>
      <w:bookmarkStart w:id="0" w:name="BKsubject"/>
      <w:r>
        <w:rPr>
          <w:rFonts w:hint="eastAsia" w:ascii="方正小标宋简体" w:hAnsi="文星仿宋" w:eastAsia="方正小标宋简体" w:cs="方正小标宋简体"/>
          <w:b/>
          <w:sz w:val="44"/>
          <w:szCs w:val="44"/>
          <w:lang w:bidi="ar"/>
        </w:rPr>
        <w:t>关于印发《</w:t>
      </w:r>
      <w:r>
        <w:rPr>
          <w:rFonts w:hint="eastAsia" w:ascii="方正小标宋简体" w:hAnsi="仿宋" w:eastAsia="方正小标宋简体" w:cs="宋体"/>
          <w:b/>
          <w:bCs/>
          <w:color w:val="auto"/>
          <w:kern w:val="0"/>
          <w:sz w:val="44"/>
          <w:szCs w:val="44"/>
        </w:rPr>
        <w:t>济宁市物业服务企业信用信息</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文星仿宋" w:eastAsia="方正小标宋简体" w:cs="方正小标宋简体"/>
          <w:b/>
          <w:sz w:val="44"/>
          <w:szCs w:val="44"/>
        </w:rPr>
      </w:pPr>
      <w:r>
        <w:rPr>
          <w:rFonts w:hint="eastAsia" w:ascii="方正小标宋简体" w:hAnsi="仿宋" w:eastAsia="方正小标宋简体" w:cs="宋体"/>
          <w:b/>
          <w:bCs/>
          <w:color w:val="auto"/>
          <w:kern w:val="0"/>
          <w:sz w:val="44"/>
          <w:szCs w:val="44"/>
        </w:rPr>
        <w:t>管理办法</w:t>
      </w:r>
      <w:r>
        <w:rPr>
          <w:rFonts w:hint="eastAsia" w:ascii="方正小标宋简体" w:hAnsi="文星仿宋" w:eastAsia="方正小标宋简体" w:cs="方正小标宋简体"/>
          <w:b/>
          <w:sz w:val="44"/>
          <w:szCs w:val="44"/>
          <w:lang w:bidi="ar"/>
        </w:rPr>
        <w:t>》的通知</w:t>
      </w:r>
      <w:bookmarkEnd w:id="0"/>
    </w:p>
    <w:p>
      <w:pPr>
        <w:keepNext w:val="0"/>
        <w:keepLines w:val="0"/>
        <w:pageBreakBefore w:val="0"/>
        <w:widowControl w:val="0"/>
        <w:kinsoku/>
        <w:overflowPunct/>
        <w:topLinePunct w:val="0"/>
        <w:autoSpaceDE/>
        <w:autoSpaceDN/>
        <w:bidi w:val="0"/>
        <w:adjustRightInd/>
        <w:snapToGrid/>
        <w:spacing w:line="560" w:lineRule="exact"/>
        <w:textAlignment w:val="auto"/>
        <w:rPr>
          <w:rFonts w:ascii="方正仿宋简体" w:hAnsi="文星仿宋" w:eastAsia="方正仿宋简体" w:cs="方正仿宋简体"/>
          <w:b/>
        </w:rPr>
      </w:pPr>
      <w:bookmarkStart w:id="2" w:name="_GoBack"/>
      <w:bookmarkEnd w:id="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简体" w:hAnsi="文星仿宋" w:eastAsia="方正仿宋简体" w:cs="方正仿宋简体"/>
          <w:b/>
        </w:rPr>
      </w:pPr>
      <w:r>
        <w:rPr>
          <w:rFonts w:hint="eastAsia" w:ascii="方正仿宋简体" w:hAnsi="仿宋" w:eastAsia="方正仿宋简体" w:cs="Times New Roman"/>
          <w:b/>
          <w:sz w:val="32"/>
          <w:szCs w:val="32"/>
        </w:rPr>
        <w:t>市住房保障和房地产发展事务中心，各县（市、区）住房和城乡建设局，济宁高新区城乡建设和交通局、太白湖新区建设局、济宁经济技术开发区城乡建设和交通局，汶上县住房保障和房地产发展中心，济宁市物业管理服务协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方正仿宋简体" w:hAnsi="方正仿宋简体" w:eastAsia="方正仿宋简体" w:cs="方正仿宋简体"/>
          <w:b/>
          <w:sz w:val="32"/>
        </w:rPr>
      </w:pPr>
      <w:r>
        <w:rPr>
          <w:rFonts w:hint="eastAsia" w:ascii="方正仿宋简体" w:hAnsi="方正仿宋简体" w:eastAsia="方正仿宋简体" w:cs="方正仿宋简体"/>
          <w:b/>
          <w:sz w:val="32"/>
        </w:rPr>
        <w:t>现将《济宁市物业服务企业信用信息管理办法</w:t>
      </w:r>
      <w:r>
        <w:rPr>
          <w:rFonts w:ascii="方正仿宋简体" w:hAnsi="方正仿宋简体" w:eastAsia="方正仿宋简体" w:cs="方正仿宋简体"/>
          <w:b/>
          <w:sz w:val="32"/>
        </w:rPr>
        <w:t>》印发给你们，请</w:t>
      </w:r>
      <w:r>
        <w:rPr>
          <w:rFonts w:hint="eastAsia" w:ascii="方正仿宋简体" w:hAnsi="方正仿宋简体" w:eastAsia="方正仿宋简体" w:cs="方正仿宋简体"/>
          <w:b/>
          <w:sz w:val="32"/>
        </w:rPr>
        <w:t>结合实际，</w:t>
      </w:r>
      <w:r>
        <w:rPr>
          <w:rFonts w:ascii="方正仿宋简体" w:hAnsi="方正仿宋简体" w:eastAsia="方正仿宋简体" w:cs="方正仿宋简体"/>
          <w:b/>
          <w:sz w:val="32"/>
        </w:rPr>
        <w:t>认真贯彻执行。</w:t>
      </w:r>
    </w:p>
    <w:p>
      <w:pPr>
        <w:keepNext w:val="0"/>
        <w:keepLines w:val="0"/>
        <w:pageBreakBefore w:val="0"/>
        <w:widowControl w:val="0"/>
        <w:kinsoku/>
        <w:overflowPunct/>
        <w:topLinePunct w:val="0"/>
        <w:autoSpaceDE/>
        <w:autoSpaceDN/>
        <w:bidi w:val="0"/>
        <w:adjustRightInd/>
        <w:snapToGrid/>
        <w:spacing w:line="560" w:lineRule="exact"/>
        <w:ind w:firstLine="642" w:firstLineChars="200"/>
        <w:textAlignment w:val="auto"/>
        <w:rPr>
          <w:rFonts w:ascii="方正仿宋简体" w:hAnsi="文星仿宋" w:eastAsia="方正仿宋简体" w:cs="方正仿宋简体"/>
          <w:b/>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934" w:rightChars="445" w:firstLine="642" w:firstLineChars="200"/>
        <w:jc w:val="right"/>
        <w:textAlignment w:val="auto"/>
        <w:rPr>
          <w:rFonts w:ascii="方正仿宋简体" w:hAnsi="文星仿宋" w:eastAsia="方正仿宋简体" w:cs="方正仿宋简体"/>
          <w:b/>
        </w:rPr>
      </w:pPr>
      <w:r>
        <w:rPr>
          <w:rFonts w:hint="eastAsia" w:ascii="方正仿宋简体" w:hAnsi="仿宋" w:eastAsia="方正仿宋简体"/>
          <w:b/>
          <w:sz w:val="32"/>
          <w:szCs w:val="32"/>
          <w:lang w:val="en-US" w:eastAsia="zh-CN"/>
        </w:rPr>
        <w:t xml:space="preserve">  </w:t>
      </w:r>
      <w:r>
        <w:rPr>
          <w:rFonts w:hint="eastAsia" w:ascii="方正仿宋简体" w:hAnsi="仿宋" w:eastAsia="方正仿宋简体"/>
          <w:b/>
          <w:sz w:val="32"/>
          <w:szCs w:val="32"/>
        </w:rPr>
        <w:t>济宁市住房和城乡建设局</w:t>
      </w:r>
      <w:r>
        <w:rPr>
          <w:rFonts w:hint="eastAsia" w:ascii="方正仿宋简体" w:hAnsi="文星仿宋" w:eastAsia="方正仿宋简体" w:cs="方正仿宋简体"/>
          <w:b/>
          <w:sz w:val="32"/>
          <w:szCs w:val="32"/>
          <w:lang w:bidi="ar"/>
        </w:rPr>
        <w:t xml:space="preserve"> </w:t>
      </w:r>
    </w:p>
    <w:p>
      <w:pPr>
        <w:keepNext w:val="0"/>
        <w:keepLines w:val="0"/>
        <w:pageBreakBefore w:val="0"/>
        <w:widowControl w:val="0"/>
        <w:kinsoku/>
        <w:overflowPunct/>
        <w:topLinePunct w:val="0"/>
        <w:autoSpaceDE/>
        <w:autoSpaceDN/>
        <w:bidi w:val="0"/>
        <w:adjustRightInd/>
        <w:snapToGrid/>
        <w:spacing w:line="560" w:lineRule="exact"/>
        <w:ind w:right="1592" w:rightChars="758"/>
        <w:jc w:val="right"/>
        <w:textAlignment w:val="auto"/>
        <w:rPr>
          <w:rFonts w:hint="eastAsia" w:ascii="方正小标宋简体" w:hAnsi="仿宋" w:eastAsia="方正小标宋简体" w:cs="宋体"/>
          <w:b/>
          <w:bCs/>
          <w:color w:val="auto"/>
          <w:kern w:val="0"/>
          <w:sz w:val="44"/>
          <w:szCs w:val="44"/>
        </w:rPr>
      </w:pPr>
      <w:r>
        <w:rPr>
          <w:rFonts w:hint="eastAsia" w:ascii="方正仿宋简体" w:hAnsi="文星仿宋" w:eastAsia="方正仿宋简体" w:cs="方正仿宋简体"/>
          <w:b/>
          <w:sz w:val="32"/>
          <w:szCs w:val="32"/>
          <w:lang w:bidi="ar"/>
        </w:rPr>
        <w:t>2022年</w:t>
      </w:r>
      <w:r>
        <w:rPr>
          <w:rFonts w:hint="eastAsia" w:ascii="方正仿宋简体" w:hAnsi="文星仿宋" w:eastAsia="方正仿宋简体" w:cs="方正仿宋简体"/>
          <w:b/>
          <w:sz w:val="32"/>
          <w:szCs w:val="32"/>
          <w:lang w:val="en-US" w:eastAsia="zh-CN" w:bidi="ar"/>
        </w:rPr>
        <w:t>5</w:t>
      </w:r>
      <w:r>
        <w:rPr>
          <w:rFonts w:hint="eastAsia" w:ascii="方正仿宋简体" w:hAnsi="文星仿宋" w:eastAsia="方正仿宋简体" w:cs="方正仿宋简体"/>
          <w:b/>
          <w:sz w:val="32"/>
          <w:szCs w:val="32"/>
          <w:lang w:bidi="ar"/>
        </w:rPr>
        <w:t>月</w:t>
      </w:r>
      <w:r>
        <w:rPr>
          <w:rFonts w:hint="eastAsia" w:ascii="方正仿宋简体" w:hAnsi="文星仿宋" w:eastAsia="方正仿宋简体" w:cs="方正仿宋简体"/>
          <w:b/>
          <w:sz w:val="32"/>
          <w:szCs w:val="32"/>
          <w:lang w:val="en-US" w:eastAsia="zh-CN" w:bidi="ar"/>
        </w:rPr>
        <w:t>25</w:t>
      </w:r>
      <w:r>
        <w:rPr>
          <w:rFonts w:hint="eastAsia" w:ascii="方正仿宋简体" w:hAnsi="文星仿宋" w:eastAsia="方正仿宋简体" w:cs="方正仿宋简体"/>
          <w:b/>
          <w:sz w:val="32"/>
          <w:szCs w:val="32"/>
          <w:lang w:bidi="ar"/>
        </w:rPr>
        <w:t>日</w:t>
      </w:r>
      <w:r>
        <w:rPr>
          <w:rFonts w:hint="eastAsia" w:ascii="方正小标宋简体" w:hAnsi="仿宋" w:eastAsia="方正小标宋简体" w:cs="宋体"/>
          <w:b/>
          <w:bCs/>
          <w:color w:val="auto"/>
          <w:kern w:val="0"/>
          <w:sz w:val="44"/>
          <w:szCs w:val="44"/>
        </w:rPr>
        <w:br w:type="page"/>
      </w:r>
    </w:p>
    <w:p>
      <w:pPr>
        <w:pStyle w:val="8"/>
        <w:rPr>
          <w:rFonts w:hint="eastAsia"/>
        </w:rPr>
      </w:pPr>
    </w:p>
    <w:p>
      <w:pPr>
        <w:pStyle w:val="8"/>
        <w:rPr>
          <w:rFonts w:hint="eastAsia"/>
        </w:rPr>
      </w:pPr>
    </w:p>
    <w:p>
      <w:pPr>
        <w:widowControl/>
        <w:spacing w:line="600" w:lineRule="exact"/>
        <w:jc w:val="center"/>
        <w:rPr>
          <w:rFonts w:hint="eastAsia" w:ascii="方正小标宋简体" w:hAnsi="仿宋" w:eastAsia="方正小标宋简体" w:cs="宋体"/>
          <w:b/>
          <w:bCs/>
          <w:strike/>
          <w:dstrike w:val="0"/>
          <w:color w:val="auto"/>
          <w:kern w:val="0"/>
          <w:sz w:val="44"/>
          <w:szCs w:val="44"/>
          <w:lang w:eastAsia="zh-CN"/>
        </w:rPr>
      </w:pPr>
      <w:r>
        <w:rPr>
          <w:rFonts w:hint="eastAsia" w:ascii="方正小标宋简体" w:hAnsi="仿宋" w:eastAsia="方正小标宋简体" w:cs="宋体"/>
          <w:b/>
          <w:bCs/>
          <w:color w:val="auto"/>
          <w:kern w:val="0"/>
          <w:sz w:val="44"/>
          <w:szCs w:val="44"/>
        </w:rPr>
        <w:t>济宁市物业服务企业信用信息管理办法</w:t>
      </w:r>
    </w:p>
    <w:p>
      <w:pPr>
        <w:keepNext w:val="0"/>
        <w:keepLines w:val="0"/>
        <w:pageBreakBefore w:val="0"/>
        <w:widowControl/>
        <w:kinsoku/>
        <w:wordWrap/>
        <w:overflowPunct/>
        <w:topLinePunct w:val="0"/>
        <w:autoSpaceDE/>
        <w:autoSpaceDN/>
        <w:bidi w:val="0"/>
        <w:adjustRightInd/>
        <w:snapToGrid/>
        <w:spacing w:line="600" w:lineRule="exact"/>
        <w:ind w:firstLine="408"/>
        <w:textAlignment w:val="auto"/>
        <w:rPr>
          <w:rFonts w:ascii="仿宋_GB2312" w:hAnsi="微软雅黑" w:eastAsia="仿宋_GB2312"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第一章　总　则</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第一条</w:t>
      </w:r>
      <w:r>
        <w:rPr>
          <w:rFonts w:hint="eastAsia" w:ascii="方正仿宋简体" w:hAnsi="方正仿宋简体" w:eastAsia="方正仿宋简体" w:cs="宋体"/>
          <w:b/>
          <w:bCs/>
          <w:color w:val="auto"/>
          <w:kern w:val="0"/>
          <w:sz w:val="32"/>
          <w:szCs w:val="32"/>
        </w:rPr>
        <w:t>　为推进我市物业服务行业信用体系建设，构建以信用为基础的新型监管机制，促进物业服务企业诚信自律，根据《企业信息公示暂行条例》《山东省物业管理条例》《山东省公共信用信息管理办法》《山东省物业服务企业信用信息管理办法》等有关法规政策规定，结合我市实际，制定本办法。</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第二条</w:t>
      </w:r>
      <w:r>
        <w:rPr>
          <w:rFonts w:hint="eastAsia" w:ascii="方正仿宋简体" w:hAnsi="方正仿宋简体" w:eastAsia="方正仿宋简体" w:cs="宋体"/>
          <w:b/>
          <w:bCs/>
          <w:color w:val="auto"/>
          <w:kern w:val="0"/>
          <w:sz w:val="32"/>
          <w:szCs w:val="32"/>
        </w:rPr>
        <w:t>　本办法所称信用信息，是指物业服务企业在我市行政区域内开展物业服务活动过程中产生的，反映其信用状况的数据和资料。</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第三条</w:t>
      </w:r>
      <w:r>
        <w:rPr>
          <w:rFonts w:hint="eastAsia" w:ascii="方正仿宋简体" w:hAnsi="方正仿宋简体" w:eastAsia="方正仿宋简体" w:cs="宋体"/>
          <w:b/>
          <w:bCs/>
          <w:color w:val="auto"/>
          <w:kern w:val="0"/>
          <w:sz w:val="32"/>
          <w:szCs w:val="32"/>
        </w:rPr>
        <w:t>　在我市行政区域内从事物业服务活动的企业，按照本办法规定实施信用信息管理。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一般以独立法人为单位实施信用信息管理。物业服务企业有分支机构的，统一纳入设立该分支机构的企业管理；外地物业服务企业在我市设立分支机构的，以分支机构为单位实施信用信息管理。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企业跨县（市、区）</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lang w:val="en-US" w:eastAsia="zh-CN"/>
        </w:rPr>
        <w:t>含功能区，下同</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经营的，由企业工商注册地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物业主管部门负责企业信用信息的管理工作。在工商注册地之外的物业服务项目，由项目所在地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物业主管部门负责项目信息管理工作，并通过济宁市物业服务企业信用信息管理系统（以下简称“市物业信用系统”）推送到企业工商注册地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第四条</w:t>
      </w:r>
      <w:r>
        <w:rPr>
          <w:rFonts w:hint="eastAsia" w:ascii="方正仿宋简体" w:hAnsi="方正仿宋简体" w:eastAsia="方正仿宋简体" w:cs="宋体"/>
          <w:b/>
          <w:bCs/>
          <w:color w:val="auto"/>
          <w:kern w:val="0"/>
          <w:sz w:val="32"/>
          <w:szCs w:val="32"/>
        </w:rPr>
        <w:t>　市物业信用系统实现物业服务企业信用信息的归集、推送、公示，以及生成物业服务企业信用等级、出具信用报告等功能。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黑体" w:hAnsi="黑体" w:eastAsia="方正黑体简体" w:cs="宋体"/>
          <w:b/>
          <w:bCs/>
          <w:color w:val="auto"/>
          <w:kern w:val="0"/>
          <w:sz w:val="32"/>
          <w:szCs w:val="32"/>
        </w:rPr>
        <w:t>第五条</w:t>
      </w:r>
      <w:r>
        <w:rPr>
          <w:rFonts w:hint="eastAsia" w:ascii="方正仿宋简体" w:hAnsi="方正仿宋简体" w:eastAsia="方正仿宋简体" w:cs="宋体"/>
          <w:b/>
          <w:bCs/>
          <w:color w:val="auto"/>
          <w:kern w:val="0"/>
          <w:sz w:val="32"/>
          <w:szCs w:val="32"/>
        </w:rPr>
        <w:t>　</w:t>
      </w:r>
      <w:r>
        <w:rPr>
          <w:rFonts w:hint="eastAsia" w:ascii="方正仿宋简体" w:hAnsi="方正仿宋简体" w:eastAsia="方正仿宋简体" w:cs="宋体"/>
          <w:b/>
          <w:bCs/>
          <w:color w:val="auto"/>
          <w:kern w:val="0"/>
          <w:sz w:val="32"/>
          <w:szCs w:val="32"/>
          <w:lang w:val="en-US" w:eastAsia="zh-CN"/>
        </w:rPr>
        <w:t>济宁</w:t>
      </w:r>
      <w:r>
        <w:rPr>
          <w:rFonts w:hint="eastAsia" w:ascii="方正仿宋简体" w:hAnsi="方正仿宋简体" w:eastAsia="方正仿宋简体" w:cs="宋体"/>
          <w:b/>
          <w:bCs/>
          <w:color w:val="auto"/>
          <w:kern w:val="0"/>
          <w:sz w:val="32"/>
          <w:szCs w:val="32"/>
        </w:rPr>
        <w:t>市住房</w:t>
      </w:r>
      <w:r>
        <w:rPr>
          <w:rFonts w:hint="eastAsia" w:ascii="方正仿宋简体" w:hAnsi="方正仿宋简体" w:eastAsia="方正仿宋简体" w:cs="宋体"/>
          <w:b/>
          <w:bCs/>
          <w:color w:val="auto"/>
          <w:kern w:val="0"/>
          <w:sz w:val="32"/>
          <w:szCs w:val="32"/>
          <w:lang w:val="en-US" w:eastAsia="zh-CN"/>
        </w:rPr>
        <w:t>和</w:t>
      </w:r>
      <w:r>
        <w:rPr>
          <w:rFonts w:hint="eastAsia" w:ascii="方正仿宋简体" w:hAnsi="方正仿宋简体" w:eastAsia="方正仿宋简体" w:cs="宋体"/>
          <w:b/>
          <w:bCs/>
          <w:color w:val="auto"/>
          <w:kern w:val="0"/>
          <w:sz w:val="32"/>
          <w:szCs w:val="32"/>
        </w:rPr>
        <w:t>城乡建设局负责</w:t>
      </w:r>
      <w:r>
        <w:rPr>
          <w:rFonts w:hint="eastAsia" w:ascii="方正仿宋简体" w:hAnsi="方正仿宋简体" w:eastAsia="方正仿宋简体" w:cs="宋体"/>
          <w:b/>
          <w:bCs/>
          <w:color w:val="auto"/>
          <w:kern w:val="0"/>
          <w:sz w:val="32"/>
          <w:szCs w:val="32"/>
          <w:lang w:eastAsia="zh-CN"/>
        </w:rPr>
        <w:t>拟定全市物业服务行业发展政策、规章制度并监督实施。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lang w:val="en-US" w:eastAsia="zh-CN"/>
        </w:rPr>
        <w:t>济宁</w:t>
      </w:r>
      <w:r>
        <w:rPr>
          <w:rFonts w:hint="eastAsia" w:ascii="方正仿宋简体" w:hAnsi="方正仿宋简体" w:eastAsia="方正仿宋简体" w:cs="宋体"/>
          <w:b/>
          <w:bCs/>
          <w:color w:val="auto"/>
          <w:kern w:val="0"/>
          <w:sz w:val="32"/>
          <w:szCs w:val="32"/>
          <w:lang w:eastAsia="zh-CN"/>
        </w:rPr>
        <w:t>市住房保障和房地产发展事务中心负责承担</w:t>
      </w:r>
      <w:r>
        <w:rPr>
          <w:rFonts w:hint="eastAsia" w:ascii="方正仿宋简体" w:hAnsi="方正仿宋简体" w:eastAsia="方正仿宋简体" w:cs="宋体"/>
          <w:b/>
          <w:bCs/>
          <w:color w:val="auto"/>
          <w:kern w:val="0"/>
          <w:sz w:val="32"/>
          <w:szCs w:val="32"/>
          <w:lang w:val="en-US" w:eastAsia="zh-CN"/>
        </w:rPr>
        <w:t>全市</w:t>
      </w:r>
      <w:r>
        <w:rPr>
          <w:rFonts w:hint="eastAsia" w:ascii="方正仿宋简体" w:hAnsi="方正仿宋简体" w:eastAsia="方正仿宋简体" w:cs="宋体"/>
          <w:b/>
          <w:bCs/>
          <w:color w:val="auto"/>
          <w:kern w:val="0"/>
          <w:sz w:val="32"/>
          <w:szCs w:val="32"/>
          <w:lang w:eastAsia="zh-CN"/>
        </w:rPr>
        <w:t>物业服务</w:t>
      </w:r>
      <w:r>
        <w:rPr>
          <w:rFonts w:hint="eastAsia" w:ascii="方正仿宋简体" w:hAnsi="方正仿宋简体" w:eastAsia="方正仿宋简体" w:cs="宋体"/>
          <w:b/>
          <w:bCs/>
          <w:color w:val="auto"/>
          <w:kern w:val="0"/>
          <w:sz w:val="32"/>
          <w:szCs w:val="32"/>
          <w:lang w:val="en-US" w:eastAsia="zh-CN"/>
        </w:rPr>
        <w:t>市场监督管理相关事务性工作，</w:t>
      </w:r>
      <w:r>
        <w:rPr>
          <w:rFonts w:hint="eastAsia" w:ascii="方正仿宋简体" w:hAnsi="方正仿宋简体" w:eastAsia="方正仿宋简体" w:cs="宋体"/>
          <w:b/>
          <w:bCs/>
          <w:color w:val="auto"/>
          <w:kern w:val="0"/>
          <w:sz w:val="32"/>
          <w:szCs w:val="32"/>
          <w:lang w:eastAsia="zh-CN"/>
        </w:rPr>
        <w:t>参与制定物业服务企业信用评价办法，承担</w:t>
      </w:r>
      <w:r>
        <w:rPr>
          <w:rFonts w:hint="eastAsia" w:ascii="方正仿宋简体" w:hAnsi="方正仿宋简体" w:eastAsia="方正仿宋简体" w:cs="宋体"/>
          <w:b/>
          <w:bCs/>
          <w:color w:val="auto"/>
          <w:kern w:val="0"/>
          <w:sz w:val="32"/>
          <w:szCs w:val="32"/>
          <w:lang w:val="en-US" w:eastAsia="zh-CN"/>
        </w:rPr>
        <w:t>全市物业服务企业的信用评价事务性工作和</w:t>
      </w:r>
      <w:r>
        <w:rPr>
          <w:rFonts w:hint="eastAsia" w:ascii="方正仿宋简体" w:hAnsi="方正仿宋简体" w:eastAsia="方正仿宋简体" w:cs="宋体"/>
          <w:b/>
          <w:bCs/>
          <w:color w:val="auto"/>
          <w:kern w:val="0"/>
          <w:sz w:val="32"/>
          <w:szCs w:val="32"/>
        </w:rPr>
        <w:t>市物业信用系统</w:t>
      </w:r>
      <w:r>
        <w:rPr>
          <w:rFonts w:hint="eastAsia" w:ascii="方正仿宋简体" w:hAnsi="方正仿宋简体" w:eastAsia="方正仿宋简体" w:cs="宋体"/>
          <w:b/>
          <w:bCs/>
          <w:color w:val="auto"/>
          <w:kern w:val="0"/>
          <w:sz w:val="32"/>
          <w:szCs w:val="32"/>
          <w:lang w:eastAsia="zh-CN"/>
        </w:rPr>
        <w:t>建设、管理、维护工作。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县</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lang w:val="en-US" w:eastAsia="zh-CN"/>
        </w:rPr>
        <w:t>市、区</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物业主管部门负责本行政区域内物业服务企业信用信息的归集、推送、审核、认定、使用和日常维护等管理工作。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街道办事处（乡镇人民政府）、社区居民委员会（社区环境和物业管理委员会）按照各自职责，负责本辖区内物业服务企业和物业服务项目有关信用信息的归集、推送、评分等工作。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物业服务行业协会应加强行业自律管理，负责行业自律信息的归集、推送，并可接受物业主管部门的委托，负责编写行</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业信用报告等工作。</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仿宋_GB2312" w:hAnsi="仿宋" w:eastAsia="仿宋_GB2312"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第二章　信用信息的归集、认定和发布</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lang w:val="en-US" w:eastAsia="zh-CN"/>
        </w:rPr>
        <w:t>第六条</w:t>
      </w:r>
      <w:r>
        <w:rPr>
          <w:rFonts w:hint="eastAsia" w:ascii="方正仿宋简体" w:hAnsi="方正仿宋简体" w:eastAsia="方正仿宋简体" w:cs="宋体"/>
          <w:b/>
          <w:bCs/>
          <w:color w:val="auto"/>
          <w:kern w:val="0"/>
          <w:sz w:val="32"/>
          <w:szCs w:val="32"/>
        </w:rPr>
        <w:t>　信用信息，主要包括企业基础信用信息（甲类）、项目绩效信用信息（乙类）和企业不良信用信息（丙类）三类。</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楷体简体" w:hAnsi="方正楷体简体" w:eastAsia="方正楷体简体" w:cs="方正楷体简体"/>
          <w:b/>
          <w:bCs/>
          <w:color w:val="auto"/>
          <w:kern w:val="0"/>
          <w:sz w:val="32"/>
          <w:szCs w:val="32"/>
        </w:rPr>
        <w:t>（一）企业基础信用信息（甲类）。</w:t>
      </w:r>
      <w:r>
        <w:rPr>
          <w:rFonts w:hint="eastAsia" w:ascii="方正仿宋简体" w:hAnsi="方正仿宋简体" w:eastAsia="方正仿宋简体" w:cs="宋体"/>
          <w:b/>
          <w:bCs/>
          <w:color w:val="auto"/>
          <w:kern w:val="0"/>
          <w:sz w:val="32"/>
          <w:szCs w:val="32"/>
        </w:rPr>
        <w:t>主要包括企业员工信息、企业优良信用信息等反映物业服务企业基本状况及物业服务水平的信息。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楷体简体" w:hAnsi="方正楷体简体" w:eastAsia="方正楷体简体" w:cs="方正楷体简体"/>
          <w:b/>
          <w:bCs/>
          <w:color w:val="auto"/>
          <w:kern w:val="0"/>
          <w:sz w:val="32"/>
          <w:szCs w:val="32"/>
        </w:rPr>
        <w:t>（二）项目绩效信用信息（乙类）。</w:t>
      </w:r>
      <w:r>
        <w:rPr>
          <w:rFonts w:hint="eastAsia" w:ascii="方正仿宋简体" w:hAnsi="方正仿宋简体" w:eastAsia="方正仿宋简体" w:cs="宋体"/>
          <w:b/>
          <w:bCs/>
          <w:color w:val="auto"/>
          <w:kern w:val="0"/>
          <w:sz w:val="32"/>
          <w:szCs w:val="32"/>
        </w:rPr>
        <w:t>主要包括物业服务企业在物业服务项目管理工作中接受各级考评检查，处理群众信访投诉，配合物业主管部门、街道（乡镇）、社区监督及日常工作的信息。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楷体简体" w:hAnsi="方正楷体简体" w:eastAsia="方正楷体简体" w:cs="方正楷体简体"/>
          <w:b/>
          <w:bCs/>
          <w:color w:val="auto"/>
          <w:kern w:val="0"/>
          <w:sz w:val="32"/>
          <w:szCs w:val="32"/>
        </w:rPr>
        <w:t>（三）企业不良信用信息（丙类）。</w:t>
      </w:r>
      <w:r>
        <w:rPr>
          <w:rFonts w:hint="eastAsia" w:ascii="方正仿宋简体" w:hAnsi="方正仿宋简体" w:eastAsia="方正仿宋简体" w:cs="宋体"/>
          <w:b/>
          <w:bCs/>
          <w:color w:val="auto"/>
          <w:kern w:val="0"/>
          <w:sz w:val="32"/>
          <w:szCs w:val="32"/>
        </w:rPr>
        <w:t>主要包括物业服务企业在从事物业服务活动中拒不配合物业主管部门</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lang w:val="en-US" w:eastAsia="zh-CN"/>
        </w:rPr>
        <w:t>其他相关行业主管部门</w:t>
      </w:r>
      <w:r>
        <w:rPr>
          <w:rFonts w:hint="eastAsia" w:ascii="方正仿宋简体" w:hAnsi="方正仿宋简体" w:eastAsia="方正仿宋简体" w:cs="宋体"/>
          <w:b/>
          <w:bCs/>
          <w:color w:val="auto"/>
          <w:kern w:val="0"/>
          <w:sz w:val="32"/>
          <w:szCs w:val="32"/>
        </w:rPr>
        <w:t>和街道（乡镇）、社区监管，违反法律法规政策规定，破坏市场秩序等对其信用状况构成负面影响的信息。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信用信息的具体内容，在市物业信用系统中设置。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eastAsia="zh-CN"/>
        </w:rPr>
        <w:t>七</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物业服务企业的信用信息，一般由信息产生地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物业主管部门负责归集、认定。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企业注册信息、从业人员信息，由企业工商注册地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物业主管部门负责归集、认定；外市物业服务企业未在我市设立分支机构的，由该企业在我市承接的首个物业服务项目所在地</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物业主管部门负责归集、认定。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八</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企业基础信用信息（甲类）归集。企业基础信用信息（甲类）实行动态管理，基础信用信息产生或变更的，物业服务企业应当于30日内通过市物业信用系统填报变更信用信息。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新设立的物业服务企业，应当自签订物业服务合同之日起30个工作日内，在市物业信用系统及时、完整、准确填报企业基础信息等有关信用信息。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物业主管部门、街道办事处（乡镇人民政府）、社区居民委员会（社区环境和物业管理委员会）也可以根据自行掌握、行业协会推送以及信息共享获取的信用信息，直接录入市物业信用系统。</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lang w:val="en-US" w:eastAsia="zh-CN"/>
        </w:rPr>
        <w:t>第九条</w:t>
      </w:r>
      <w:r>
        <w:rPr>
          <w:rFonts w:hint="eastAsia" w:ascii="方正仿宋简体" w:hAnsi="方正仿宋简体" w:eastAsia="方正仿宋简体" w:cs="宋体"/>
          <w:b/>
          <w:bCs/>
          <w:color w:val="auto"/>
          <w:kern w:val="0"/>
          <w:sz w:val="32"/>
          <w:szCs w:val="32"/>
        </w:rPr>
        <w:t>　项目绩效信用信息（乙类）归集。</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物业主管部门、街道办事处（乡镇人民政府）、社区居民委员会（社区环境和物业管理委员会）应在物业服务项目的日常监督管理信用信息产生15个工作日内通过市物业信用系统录入。</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方正仿宋简体" w:hAnsi="方正仿宋简体" w:eastAsia="方正仿宋简体" w:cs="宋体"/>
          <w:b/>
          <w:bCs/>
          <w:color w:val="auto"/>
          <w:kern w:val="0"/>
          <w:sz w:val="32"/>
          <w:szCs w:val="32"/>
        </w:rPr>
        <w:t>原则上只对实行全委托管理的住宅项目归集绩效信用信息。其他项目确需归集的，由</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物业主管部门或街道办事处（乡镇人民政府）认定后实施归集。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建立项目绩效信用信息（乙类）修复制度。鼓励物业服务企业对该类别存在的问题积极进行整改，在项目绩效信息的记分周期内，已经改正并消除原有不良影响的，当事物业服务企业可以向扣除项目绩效分值的</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物业主管部门、街道办事处（乡镇人民政府）或社区居民委员会（社区环境和物业管理委员会）提出申请，经核实后，返还相应扣分分值。</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val="en-US" w:eastAsia="zh-CN"/>
        </w:rPr>
      </w:pPr>
      <w:r>
        <w:rPr>
          <w:rFonts w:hint="eastAsia" w:ascii="黑体" w:hAnsi="黑体" w:eastAsia="方正黑体简体" w:cs="宋体"/>
          <w:b/>
          <w:bCs/>
          <w:color w:val="auto"/>
          <w:kern w:val="0"/>
          <w:sz w:val="32"/>
          <w:szCs w:val="32"/>
        </w:rPr>
        <w:t>第十条</w:t>
      </w:r>
      <w:r>
        <w:rPr>
          <w:rFonts w:hint="eastAsia" w:ascii="方正仿宋简体" w:hAnsi="方正仿宋简体" w:eastAsia="方正仿宋简体" w:cs="宋体"/>
          <w:b/>
          <w:bCs/>
          <w:color w:val="auto"/>
          <w:kern w:val="0"/>
          <w:sz w:val="32"/>
          <w:szCs w:val="32"/>
        </w:rPr>
        <w:t>　企业不良信用信息（丙类）归集。</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应于企业不良信用信息产生15个工作日内，将自行掌握或其他单位主动推送的信用信息，录入市物业信用系统，并通过市物业信用系统通知相关物业服务企业，确认不良信用信息情况。需要与其他单位通过共享方式获取的信息，尚未实现实时共享的，共享频次原则上不低于每季度一次。鼓励物业服务企业主动录入企业不良信用信息。</w:t>
      </w:r>
      <w:r>
        <w:rPr>
          <w:rFonts w:hint="eastAsia" w:ascii="方正仿宋简体" w:hAnsi="方正仿宋简体" w:eastAsia="方正仿宋简体" w:cs="宋体"/>
          <w:b/>
          <w:bCs/>
          <w:color w:val="auto"/>
          <w:kern w:val="0"/>
          <w:sz w:val="32"/>
          <w:szCs w:val="32"/>
          <w:lang w:eastAsia="zh-CN"/>
        </w:rPr>
        <w:t>依据行政处罚决定书、人民法院或仲裁机构等出具的生效法律文书等产生的不良信用信息，县（市、区）物业主管部门不需通知物业服务企业，可直接认定。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物业服务企业对不良信用信息有异议的，应在收到通知后15个工作日内向</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物业主管部门提交书面异议申请，并提供相应证据，逾期视为认可。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物业主管部门在收到异议申请后，应于15个工作日内作出是否采纳的决定，并通过市物业信用系统及时告知物业服务企业。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一</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因企业实际情况发生变化，或者认定企业基础信用信息（甲类）、企业不良信用信息（丙类）所依据的行政决定、判决、裁定等被撤销或者变更等情形，导致信用信息发生变化的，</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物业主管部门核实后应当及时变更或删除信用信息。</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二</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物业服务企业信用信息公布期限</w:t>
      </w:r>
      <w:r>
        <w:rPr>
          <w:rFonts w:hint="eastAsia" w:ascii="方正仿宋简体" w:hAnsi="方正仿宋简体" w:eastAsia="方正仿宋简体" w:cs="宋体"/>
          <w:b/>
          <w:bCs/>
          <w:color w:val="auto"/>
          <w:kern w:val="0"/>
          <w:sz w:val="32"/>
          <w:szCs w:val="32"/>
          <w:lang w:eastAsia="zh-CN"/>
        </w:rPr>
        <w:t>如下：</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（一）企业基础信用信息（甲类）中表彰奖励类信息公开期限为三年，自信息产生之日起计算</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物业服务企业未注销前，其他依法可以公开的企业基础信用信息（甲类）长期公布</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（二）企业不良信用信息（丙类）公示期限为</w:t>
      </w:r>
      <w:r>
        <w:rPr>
          <w:rFonts w:hint="eastAsia" w:ascii="方正仿宋简体" w:hAnsi="方正仿宋简体" w:eastAsia="方正仿宋简体" w:cs="宋体"/>
          <w:b/>
          <w:bCs/>
          <w:color w:val="auto"/>
          <w:kern w:val="0"/>
          <w:sz w:val="32"/>
          <w:szCs w:val="32"/>
          <w:lang w:eastAsia="zh-CN"/>
        </w:rPr>
        <w:t>五</w:t>
      </w:r>
      <w:r>
        <w:rPr>
          <w:rFonts w:hint="eastAsia" w:ascii="方正仿宋简体" w:hAnsi="方正仿宋简体" w:eastAsia="方正仿宋简体" w:cs="宋体"/>
          <w:b/>
          <w:bCs/>
          <w:color w:val="auto"/>
          <w:kern w:val="0"/>
          <w:sz w:val="32"/>
          <w:szCs w:val="32"/>
        </w:rPr>
        <w:t>年，自处罚执行完毕或失信行为整改完成之日起计算</w:t>
      </w:r>
      <w:r>
        <w:rPr>
          <w:rFonts w:hint="eastAsia" w:ascii="方正仿宋简体" w:hAnsi="方正仿宋简体" w:eastAsia="方正仿宋简体" w:cs="宋体"/>
          <w:b/>
          <w:bCs/>
          <w:color w:val="auto"/>
          <w:kern w:val="0"/>
          <w:sz w:val="32"/>
          <w:szCs w:val="32"/>
          <w:lang w:eastAsia="zh-CN"/>
        </w:rPr>
        <w:t>，</w:t>
      </w:r>
      <w:r>
        <w:rPr>
          <w:rFonts w:hint="eastAsia" w:ascii="方正仿宋简体" w:hAnsi="方正仿宋简体" w:eastAsia="方正仿宋简体" w:cs="宋体"/>
          <w:b/>
          <w:bCs/>
          <w:color w:val="auto"/>
          <w:kern w:val="0"/>
          <w:sz w:val="32"/>
          <w:szCs w:val="32"/>
        </w:rPr>
        <w:t>企业完成信用修复的，公示期限按有关规定缩短</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（三）法律、法规、规章另有规定的，从其规定。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三</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物业主管部门应当加强与自然资源和规划、城管执法、公安、</w:t>
      </w:r>
      <w:r>
        <w:rPr>
          <w:rFonts w:hint="eastAsia" w:ascii="方正仿宋简体" w:hAnsi="方正仿宋简体" w:eastAsia="方正仿宋简体" w:cs="宋体"/>
          <w:b/>
          <w:bCs/>
          <w:color w:val="auto"/>
          <w:kern w:val="0"/>
          <w:sz w:val="32"/>
          <w:szCs w:val="32"/>
          <w:lang w:eastAsia="zh-CN"/>
        </w:rPr>
        <w:t>审计、</w:t>
      </w:r>
      <w:r>
        <w:rPr>
          <w:rFonts w:hint="eastAsia" w:ascii="方正仿宋简体" w:hAnsi="方正仿宋简体" w:eastAsia="方正仿宋简体" w:cs="宋体"/>
          <w:b/>
          <w:bCs/>
          <w:color w:val="auto"/>
          <w:kern w:val="0"/>
          <w:sz w:val="32"/>
          <w:szCs w:val="32"/>
        </w:rPr>
        <w:t>市场监管、应急管理、</w:t>
      </w:r>
      <w:r>
        <w:rPr>
          <w:rFonts w:hint="eastAsia" w:ascii="方正仿宋简体" w:hAnsi="方正仿宋简体" w:eastAsia="方正仿宋简体" w:cs="宋体"/>
          <w:b/>
          <w:bCs/>
          <w:color w:val="auto"/>
          <w:kern w:val="0"/>
          <w:sz w:val="32"/>
          <w:szCs w:val="32"/>
          <w:lang w:eastAsia="zh-CN"/>
        </w:rPr>
        <w:t>消防、</w:t>
      </w:r>
      <w:r>
        <w:rPr>
          <w:rFonts w:hint="eastAsia" w:ascii="方正仿宋简体" w:hAnsi="方正仿宋简体" w:eastAsia="方正仿宋简体" w:cs="宋体"/>
          <w:b/>
          <w:bCs/>
          <w:color w:val="auto"/>
          <w:kern w:val="0"/>
          <w:sz w:val="32"/>
          <w:szCs w:val="32"/>
        </w:rPr>
        <w:t>法院、税务、人民银行、金融机构、行业协会等相关部门单位以及街道办事处（乡镇人民政府）、社区居民委员会（社区环境和物业管理委员会）之间的互联互动，依法共享本辖区内物业服务企业的信用信息，</w:t>
      </w:r>
      <w:r>
        <w:rPr>
          <w:rFonts w:hint="eastAsia" w:ascii="方正仿宋简体" w:hAnsi="方正仿宋简体" w:eastAsia="方正仿宋简体" w:cs="宋体"/>
          <w:b/>
          <w:bCs/>
          <w:color w:val="auto"/>
          <w:kern w:val="0"/>
          <w:sz w:val="32"/>
          <w:szCs w:val="32"/>
          <w:lang w:eastAsia="zh-CN"/>
        </w:rPr>
        <w:t>实</w:t>
      </w:r>
      <w:r>
        <w:rPr>
          <w:rFonts w:hint="eastAsia" w:ascii="方正仿宋简体" w:hAnsi="方正仿宋简体" w:eastAsia="方正仿宋简体" w:cs="宋体"/>
          <w:b/>
          <w:bCs/>
          <w:color w:val="auto"/>
          <w:kern w:val="0"/>
          <w:sz w:val="32"/>
          <w:szCs w:val="32"/>
        </w:rPr>
        <w:t>行失信联合惩戒制度。物业主管部门</w:t>
      </w:r>
      <w:r>
        <w:rPr>
          <w:rFonts w:ascii="方正仿宋简体" w:hAnsi="方正仿宋简体" w:eastAsia="方正仿宋简体" w:cs="宋体"/>
          <w:b/>
          <w:bCs/>
          <w:color w:val="auto"/>
          <w:kern w:val="0"/>
          <w:sz w:val="32"/>
          <w:szCs w:val="32"/>
        </w:rPr>
        <w:t>能够通过共享获取或核验的信用信息，不得要求物业服务企业重复提交。</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第三章　信用评级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黑体" w:hAnsi="黑体" w:eastAsia="方正黑体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四</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物业服务企业信用信息分值，按照《济宁市物</w:t>
      </w:r>
    </w:p>
    <w:p>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业服务企业信用信息评分标准》（</w:t>
      </w:r>
      <w:r>
        <w:rPr>
          <w:rFonts w:hint="eastAsia" w:ascii="方正仿宋简体" w:hAnsi="方正仿宋简体" w:eastAsia="方正仿宋简体" w:cs="宋体"/>
          <w:b/>
          <w:bCs/>
          <w:color w:val="auto"/>
          <w:kern w:val="0"/>
          <w:sz w:val="32"/>
          <w:szCs w:val="32"/>
          <w:lang w:val="en-US" w:eastAsia="zh-CN"/>
        </w:rPr>
        <w:t>见</w:t>
      </w:r>
      <w:r>
        <w:rPr>
          <w:rFonts w:hint="eastAsia" w:ascii="方正仿宋简体" w:hAnsi="方正仿宋简体" w:eastAsia="方正仿宋简体" w:cs="宋体"/>
          <w:b/>
          <w:bCs/>
          <w:color w:val="auto"/>
          <w:kern w:val="0"/>
          <w:sz w:val="32"/>
          <w:szCs w:val="32"/>
        </w:rPr>
        <w:t>附件）计算</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lang w:val="en-US" w:eastAsia="zh-CN"/>
        </w:rPr>
        <w:t>济宁</w:t>
      </w:r>
      <w:r>
        <w:rPr>
          <w:rFonts w:hint="eastAsia" w:ascii="方正仿宋简体" w:hAnsi="方正仿宋简体" w:eastAsia="方正仿宋简体" w:cs="宋体"/>
          <w:b/>
          <w:bCs/>
          <w:color w:val="auto"/>
          <w:kern w:val="0"/>
          <w:sz w:val="32"/>
          <w:szCs w:val="32"/>
        </w:rPr>
        <w:t>市住房</w:t>
      </w:r>
      <w:r>
        <w:rPr>
          <w:rFonts w:hint="eastAsia" w:ascii="方正仿宋简体" w:hAnsi="方正仿宋简体" w:eastAsia="方正仿宋简体" w:cs="宋体"/>
          <w:b/>
          <w:bCs/>
          <w:color w:val="auto"/>
          <w:kern w:val="0"/>
          <w:sz w:val="32"/>
          <w:szCs w:val="32"/>
          <w:lang w:val="en-US" w:eastAsia="zh-CN"/>
        </w:rPr>
        <w:t>和</w:t>
      </w:r>
      <w:r>
        <w:rPr>
          <w:rFonts w:hint="eastAsia" w:ascii="方正仿宋简体" w:hAnsi="方正仿宋简体" w:eastAsia="方正仿宋简体" w:cs="宋体"/>
          <w:b/>
          <w:bCs/>
          <w:color w:val="auto"/>
          <w:kern w:val="0"/>
          <w:sz w:val="32"/>
          <w:szCs w:val="32"/>
        </w:rPr>
        <w:t>城乡建设局可根据国家和省政策导向、行业发展需要等，对《济宁市物业服务企业信用信息评分标准》进行合理调整。</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黑体" w:hAnsi="黑体" w:eastAsia="方正黑体简体" w:cs="宋体"/>
          <w:b/>
          <w:bCs/>
          <w:color w:val="auto"/>
          <w:kern w:val="0"/>
          <w:sz w:val="32"/>
          <w:szCs w:val="32"/>
          <w:u w:val="none"/>
        </w:rPr>
        <w:t>第十</w:t>
      </w:r>
      <w:r>
        <w:rPr>
          <w:rFonts w:hint="eastAsia" w:ascii="黑体" w:hAnsi="黑体" w:eastAsia="方正黑体简体" w:cs="宋体"/>
          <w:b/>
          <w:bCs/>
          <w:color w:val="auto"/>
          <w:kern w:val="0"/>
          <w:sz w:val="32"/>
          <w:szCs w:val="32"/>
          <w:u w:val="none"/>
          <w:lang w:val="en-US" w:eastAsia="zh-CN"/>
        </w:rPr>
        <w:t>五</w:t>
      </w:r>
      <w:r>
        <w:rPr>
          <w:rFonts w:hint="eastAsia" w:ascii="黑体" w:hAnsi="黑体" w:eastAsia="方正黑体简体" w:cs="宋体"/>
          <w:b/>
          <w:bCs/>
          <w:color w:val="auto"/>
          <w:kern w:val="0"/>
          <w:sz w:val="32"/>
          <w:szCs w:val="32"/>
          <w:u w:val="none"/>
        </w:rPr>
        <w:t>条</w:t>
      </w:r>
      <w:r>
        <w:rPr>
          <w:rFonts w:hint="eastAsia" w:ascii="方正仿宋简体" w:hAnsi="方正仿宋简体" w:eastAsia="方正仿宋简体" w:cs="宋体"/>
          <w:b/>
          <w:bCs/>
          <w:color w:val="auto"/>
          <w:kern w:val="0"/>
          <w:sz w:val="32"/>
          <w:szCs w:val="32"/>
          <w:u w:val="none"/>
        </w:rPr>
        <w:t>　企业基础信用信息（甲类）分值、项目绩效信用信息（乙类）分值各60分。</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方正仿宋简体" w:hAnsi="方正仿宋简体" w:eastAsia="方正仿宋简体" w:cs="宋体"/>
          <w:b/>
          <w:bCs/>
          <w:color w:val="auto"/>
          <w:kern w:val="0"/>
          <w:sz w:val="32"/>
          <w:szCs w:val="32"/>
          <w:u w:val="none"/>
        </w:rPr>
        <w:t>企业绩效分值，为企业所有项目绩效信用信息（乙类）分值的平均值。</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方正仿宋简体" w:hAnsi="方正仿宋简体" w:eastAsia="方正仿宋简体" w:cs="宋体"/>
          <w:b/>
          <w:bCs/>
          <w:color w:val="auto"/>
          <w:kern w:val="0"/>
          <w:sz w:val="32"/>
          <w:szCs w:val="32"/>
          <w:u w:val="none"/>
        </w:rPr>
        <w:t>物业服务企业总信用分值为：企业基础信用信息（甲类）分值+企业绩效分值-企业不良信用信息（丙类）分值。</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u w:val="none"/>
          <w:lang w:eastAsia="zh-CN"/>
        </w:rPr>
      </w:pPr>
      <w:r>
        <w:rPr>
          <w:rFonts w:hint="eastAsia" w:ascii="黑体" w:hAnsi="黑体" w:eastAsia="方正黑体简体" w:cs="宋体"/>
          <w:b/>
          <w:bCs/>
          <w:color w:val="auto"/>
          <w:kern w:val="0"/>
          <w:sz w:val="32"/>
          <w:szCs w:val="32"/>
          <w:u w:val="none"/>
        </w:rPr>
        <w:t>第十</w:t>
      </w:r>
      <w:r>
        <w:rPr>
          <w:rFonts w:hint="eastAsia" w:ascii="黑体" w:hAnsi="黑体" w:eastAsia="方正黑体简体" w:cs="宋体"/>
          <w:b/>
          <w:bCs/>
          <w:color w:val="auto"/>
          <w:kern w:val="0"/>
          <w:sz w:val="32"/>
          <w:szCs w:val="32"/>
          <w:u w:val="none"/>
          <w:lang w:val="en-US" w:eastAsia="zh-CN"/>
        </w:rPr>
        <w:t>六</w:t>
      </w:r>
      <w:r>
        <w:rPr>
          <w:rFonts w:hint="eastAsia" w:ascii="黑体" w:hAnsi="黑体" w:eastAsia="方正黑体简体" w:cs="宋体"/>
          <w:b/>
          <w:bCs/>
          <w:color w:val="auto"/>
          <w:kern w:val="0"/>
          <w:sz w:val="32"/>
          <w:szCs w:val="32"/>
          <w:u w:val="none"/>
        </w:rPr>
        <w:t>条　</w:t>
      </w:r>
      <w:r>
        <w:rPr>
          <w:rFonts w:hint="eastAsia" w:ascii="方正仿宋简体" w:hAnsi="方正仿宋简体" w:eastAsia="方正仿宋简体" w:cs="宋体"/>
          <w:b/>
          <w:bCs/>
          <w:color w:val="auto"/>
          <w:kern w:val="0"/>
          <w:sz w:val="32"/>
          <w:szCs w:val="32"/>
          <w:u w:val="none"/>
        </w:rPr>
        <w:t>物业服务企业信用信息计分周期</w:t>
      </w:r>
      <w:r>
        <w:rPr>
          <w:rFonts w:hint="eastAsia" w:ascii="方正仿宋简体" w:hAnsi="方正仿宋简体" w:eastAsia="方正仿宋简体" w:cs="宋体"/>
          <w:b/>
          <w:bCs/>
          <w:color w:val="auto"/>
          <w:kern w:val="0"/>
          <w:sz w:val="32"/>
          <w:szCs w:val="32"/>
          <w:u w:val="none"/>
          <w:lang w:eastAsia="zh-CN"/>
        </w:rPr>
        <w:t>如下：</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single"/>
        </w:rPr>
      </w:pPr>
      <w:r>
        <w:rPr>
          <w:rFonts w:hint="eastAsia" w:ascii="方正仿宋简体" w:hAnsi="方正仿宋简体" w:eastAsia="方正仿宋简体" w:cs="宋体"/>
          <w:b/>
          <w:bCs/>
          <w:color w:val="auto"/>
          <w:kern w:val="0"/>
          <w:sz w:val="32"/>
          <w:szCs w:val="32"/>
          <w:lang w:eastAsia="zh-CN"/>
        </w:rPr>
        <w:t>（一）</w:t>
      </w:r>
      <w:r>
        <w:rPr>
          <w:rFonts w:hint="eastAsia" w:ascii="方正仿宋简体" w:hAnsi="方正仿宋简体" w:eastAsia="方正仿宋简体" w:cs="宋体"/>
          <w:b/>
          <w:bCs/>
          <w:color w:val="auto"/>
          <w:kern w:val="0"/>
          <w:sz w:val="32"/>
          <w:szCs w:val="32"/>
        </w:rPr>
        <w:t>企业基础信用信息（甲类）</w:t>
      </w:r>
      <w:r>
        <w:rPr>
          <w:rFonts w:hint="eastAsia" w:ascii="方正仿宋简体" w:hAnsi="方正仿宋简体" w:eastAsia="方正仿宋简体" w:cs="宋体"/>
          <w:b/>
          <w:bCs/>
          <w:color w:val="auto"/>
          <w:kern w:val="0"/>
          <w:sz w:val="32"/>
          <w:szCs w:val="32"/>
          <w:lang w:eastAsia="zh-CN"/>
        </w:rPr>
        <w:t>中，</w:t>
      </w:r>
      <w:r>
        <w:rPr>
          <w:rFonts w:hint="eastAsia" w:ascii="方正仿宋简体" w:hAnsi="方正仿宋简体" w:eastAsia="方正仿宋简体" w:cs="宋体"/>
          <w:b/>
          <w:bCs/>
          <w:color w:val="auto"/>
          <w:kern w:val="0"/>
          <w:sz w:val="32"/>
          <w:szCs w:val="32"/>
        </w:rPr>
        <w:t>反映物业服务企业基本状况的信息</w:t>
      </w:r>
      <w:r>
        <w:rPr>
          <w:rFonts w:hint="eastAsia" w:ascii="方正仿宋简体" w:hAnsi="方正仿宋简体" w:eastAsia="方正仿宋简体" w:cs="宋体"/>
          <w:b/>
          <w:bCs/>
          <w:color w:val="auto"/>
          <w:kern w:val="0"/>
          <w:sz w:val="32"/>
          <w:szCs w:val="32"/>
          <w:lang w:eastAsia="zh-CN"/>
        </w:rPr>
        <w:t>长期有效</w:t>
      </w:r>
      <w:r>
        <w:rPr>
          <w:rFonts w:hint="eastAsia" w:ascii="方正仿宋简体" w:hAnsi="方正仿宋简体" w:eastAsia="方正仿宋简体" w:cs="宋体"/>
          <w:b/>
          <w:bCs/>
          <w:color w:val="auto"/>
          <w:kern w:val="0"/>
          <w:sz w:val="32"/>
          <w:szCs w:val="32"/>
        </w:rPr>
        <w:t>，</w:t>
      </w:r>
      <w:r>
        <w:rPr>
          <w:rFonts w:hint="eastAsia" w:ascii="方正仿宋简体" w:hAnsi="方正仿宋简体" w:eastAsia="方正仿宋简体" w:cs="宋体"/>
          <w:b/>
          <w:bCs/>
          <w:color w:val="auto"/>
          <w:kern w:val="0"/>
          <w:sz w:val="32"/>
          <w:szCs w:val="32"/>
          <w:u w:val="none"/>
        </w:rPr>
        <w:t>信息发生变更，分值随之实时变动</w:t>
      </w:r>
      <w:r>
        <w:rPr>
          <w:rFonts w:hint="eastAsia" w:ascii="方正仿宋简体" w:hAnsi="方正仿宋简体" w:eastAsia="方正仿宋简体" w:cs="宋体"/>
          <w:b/>
          <w:bCs/>
          <w:color w:val="auto"/>
          <w:kern w:val="0"/>
          <w:sz w:val="32"/>
          <w:szCs w:val="32"/>
          <w:u w:val="none"/>
          <w:lang w:eastAsia="zh-CN"/>
        </w:rPr>
        <w:t>；其他信息</w:t>
      </w:r>
      <w:r>
        <w:rPr>
          <w:rFonts w:hint="eastAsia" w:ascii="方正仿宋简体" w:hAnsi="方正仿宋简体" w:eastAsia="方正仿宋简体" w:cs="宋体"/>
          <w:b/>
          <w:bCs/>
          <w:color w:val="auto"/>
          <w:kern w:val="0"/>
          <w:sz w:val="32"/>
          <w:szCs w:val="32"/>
          <w:u w:val="none"/>
        </w:rPr>
        <w:t>的计分周期原则上按照信息的有效时限同步计算</w:t>
      </w:r>
      <w:r>
        <w:rPr>
          <w:rFonts w:hint="eastAsia" w:ascii="方正仿宋简体" w:hAnsi="方正仿宋简体" w:eastAsia="方正仿宋简体" w:cs="宋体"/>
          <w:b/>
          <w:bCs/>
          <w:color w:val="auto"/>
          <w:kern w:val="0"/>
          <w:sz w:val="32"/>
          <w:szCs w:val="32"/>
          <w:u w:val="none"/>
          <w:lang w:eastAsia="zh-CN"/>
        </w:rPr>
        <w:t>，</w:t>
      </w:r>
      <w:r>
        <w:rPr>
          <w:rFonts w:hint="eastAsia" w:ascii="方正仿宋简体" w:hAnsi="方正仿宋简体" w:eastAsia="方正仿宋简体" w:cs="宋体"/>
          <w:b/>
          <w:bCs/>
          <w:color w:val="auto"/>
          <w:kern w:val="0"/>
          <w:sz w:val="32"/>
          <w:szCs w:val="32"/>
          <w:u w:val="none"/>
        </w:rPr>
        <w:t>没有有效时限的，原则上计分周期为一年（自获得优良信用信息之日起计算）。</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u w:val="single"/>
          <w:lang w:eastAsia="zh-CN"/>
        </w:rPr>
      </w:pPr>
      <w:r>
        <w:rPr>
          <w:rFonts w:hint="eastAsia" w:ascii="方正仿宋简体" w:hAnsi="方正仿宋简体" w:eastAsia="方正仿宋简体" w:cs="宋体"/>
          <w:b/>
          <w:bCs/>
          <w:color w:val="auto"/>
          <w:kern w:val="0"/>
          <w:sz w:val="32"/>
          <w:szCs w:val="32"/>
          <w:lang w:eastAsia="zh-CN"/>
        </w:rPr>
        <w:t>（二）项目绩效信用信息（乙类）中，</w:t>
      </w:r>
      <w:r>
        <w:rPr>
          <w:rFonts w:hint="eastAsia" w:ascii="方正仿宋简体" w:hAnsi="方正仿宋简体" w:eastAsia="方正仿宋简体" w:cs="宋体"/>
          <w:b/>
          <w:bCs/>
          <w:color w:val="auto"/>
          <w:kern w:val="0"/>
          <w:sz w:val="32"/>
          <w:szCs w:val="32"/>
          <w:u w:val="none"/>
        </w:rPr>
        <w:t>日常考评情况采取分值覆盖方式</w:t>
      </w:r>
      <w:r>
        <w:rPr>
          <w:rFonts w:hint="eastAsia" w:ascii="方正仿宋简体" w:hAnsi="方正仿宋简体" w:eastAsia="方正仿宋简体" w:cs="宋体"/>
          <w:b/>
          <w:bCs/>
          <w:color w:val="auto"/>
          <w:kern w:val="0"/>
          <w:sz w:val="32"/>
          <w:szCs w:val="32"/>
          <w:u w:val="none"/>
          <w:lang w:eastAsia="zh-CN"/>
        </w:rPr>
        <w:t>，新分数</w:t>
      </w:r>
      <w:r>
        <w:rPr>
          <w:rFonts w:hint="eastAsia" w:ascii="方正仿宋简体" w:hAnsi="方正仿宋简体" w:eastAsia="方正仿宋简体" w:cs="宋体"/>
          <w:b/>
          <w:bCs/>
          <w:color w:val="auto"/>
          <w:kern w:val="0"/>
          <w:sz w:val="32"/>
          <w:szCs w:val="32"/>
          <w:u w:val="none"/>
        </w:rPr>
        <w:t>录入后自动覆盖上一次分值</w:t>
      </w:r>
      <w:r>
        <w:rPr>
          <w:rFonts w:hint="eastAsia" w:ascii="方正仿宋简体" w:hAnsi="方正仿宋简体" w:eastAsia="方正仿宋简体" w:cs="宋体"/>
          <w:b/>
          <w:bCs/>
          <w:color w:val="auto"/>
          <w:kern w:val="0"/>
          <w:sz w:val="32"/>
          <w:szCs w:val="32"/>
          <w:u w:val="none"/>
          <w:lang w:eastAsia="zh-CN"/>
        </w:rPr>
        <w:t>；其他信息</w:t>
      </w:r>
      <w:r>
        <w:rPr>
          <w:rFonts w:hint="eastAsia" w:ascii="方正仿宋简体" w:hAnsi="方正仿宋简体" w:eastAsia="方正仿宋简体" w:cs="宋体"/>
          <w:b/>
          <w:bCs/>
          <w:color w:val="auto"/>
          <w:kern w:val="0"/>
          <w:sz w:val="32"/>
          <w:szCs w:val="32"/>
          <w:u w:val="none"/>
        </w:rPr>
        <w:t>计分周期为一年（自信息录入之日起计算）</w:t>
      </w:r>
      <w:r>
        <w:rPr>
          <w:rFonts w:hint="eastAsia" w:ascii="方正仿宋简体" w:hAnsi="方正仿宋简体" w:eastAsia="方正仿宋简体" w:cs="宋体"/>
          <w:b/>
          <w:bCs/>
          <w:color w:val="auto"/>
          <w:kern w:val="0"/>
          <w:sz w:val="32"/>
          <w:szCs w:val="32"/>
          <w:u w:val="none"/>
          <w:lang w:eastAsia="zh-CN"/>
        </w:rPr>
        <w:t>，</w:t>
      </w:r>
      <w:r>
        <w:rPr>
          <w:rFonts w:hint="eastAsia" w:ascii="方正仿宋简体" w:hAnsi="方正仿宋简体" w:eastAsia="方正仿宋简体" w:cs="宋体"/>
          <w:b/>
          <w:bCs/>
          <w:color w:val="auto"/>
          <w:kern w:val="0"/>
          <w:sz w:val="32"/>
          <w:szCs w:val="32"/>
          <w:u w:val="none"/>
        </w:rPr>
        <w:t>一年内</w:t>
      </w:r>
      <w:r>
        <w:rPr>
          <w:rFonts w:ascii="方正仿宋简体" w:hAnsi="方正仿宋简体" w:eastAsia="方正仿宋简体" w:cs="宋体"/>
          <w:b/>
          <w:bCs/>
          <w:color w:val="auto"/>
          <w:kern w:val="0"/>
          <w:sz w:val="32"/>
          <w:szCs w:val="32"/>
          <w:u w:val="none"/>
        </w:rPr>
        <w:t>企业主动申报整改完成</w:t>
      </w:r>
      <w:r>
        <w:rPr>
          <w:rFonts w:hint="eastAsia" w:ascii="方正仿宋简体" w:hAnsi="方正仿宋简体" w:eastAsia="方正仿宋简体" w:cs="宋体"/>
          <w:b/>
          <w:bCs/>
          <w:color w:val="auto"/>
          <w:kern w:val="0"/>
          <w:sz w:val="32"/>
          <w:szCs w:val="32"/>
          <w:u w:val="none"/>
        </w:rPr>
        <w:t>的，核实后返还相应扣分分值；</w:t>
      </w:r>
      <w:r>
        <w:rPr>
          <w:rFonts w:ascii="方正仿宋简体" w:hAnsi="方正仿宋简体" w:eastAsia="方正仿宋简体" w:cs="宋体"/>
          <w:b/>
          <w:bCs/>
          <w:color w:val="auto"/>
          <w:kern w:val="0"/>
          <w:sz w:val="32"/>
          <w:szCs w:val="32"/>
          <w:u w:val="none"/>
        </w:rPr>
        <w:t>企业未主动申报的</w:t>
      </w:r>
      <w:r>
        <w:rPr>
          <w:rFonts w:hint="eastAsia" w:ascii="方正仿宋简体" w:hAnsi="方正仿宋简体" w:eastAsia="方正仿宋简体" w:cs="宋体"/>
          <w:b/>
          <w:bCs/>
          <w:color w:val="auto"/>
          <w:kern w:val="0"/>
          <w:sz w:val="32"/>
          <w:szCs w:val="32"/>
          <w:u w:val="none"/>
        </w:rPr>
        <w:t>，一年后自动返还相应扣分分值</w:t>
      </w:r>
      <w:r>
        <w:rPr>
          <w:rFonts w:hint="eastAsia" w:ascii="方正仿宋简体" w:hAnsi="方正仿宋简体" w:eastAsia="方正仿宋简体" w:cs="宋体"/>
          <w:b/>
          <w:bCs/>
          <w:color w:val="auto"/>
          <w:kern w:val="0"/>
          <w:sz w:val="32"/>
          <w:szCs w:val="32"/>
          <w:u w:val="none"/>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u w:val="none"/>
          <w:lang w:eastAsia="zh-CN"/>
        </w:rPr>
        <w:t>（三）企业不良信用信息（丙类）中，</w:t>
      </w:r>
      <w:r>
        <w:rPr>
          <w:rFonts w:hint="eastAsia" w:ascii="方正仿宋简体" w:hAnsi="方正仿宋简体" w:eastAsia="方正仿宋简体" w:cs="宋体"/>
          <w:b/>
          <w:bCs/>
          <w:color w:val="auto"/>
          <w:kern w:val="0"/>
          <w:sz w:val="32"/>
          <w:szCs w:val="32"/>
          <w:u w:val="none"/>
        </w:rPr>
        <w:t>企业一般不良信用信息的计分周期为一年（自信息产生之日起计算）。在一年内整改的，视整改情况在一年后返还相应分值，一年内未进行整改的维持扣分。涉及严重不良信用信息事项的，有效期根据企业整改情况确定。</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七</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物业服务企业信用等级根据信用得分情况，由市物业信用系统实时生成，评级结果分为AAA级、AA级、A级、B级、C级。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w:t>
      </w:r>
      <w:r>
        <w:rPr>
          <w:rFonts w:ascii="方正仿宋简体" w:hAnsi="方正仿宋简体" w:eastAsia="方正仿宋简体" w:cs="宋体"/>
          <w:b/>
          <w:bCs/>
          <w:color w:val="auto"/>
          <w:kern w:val="0"/>
          <w:sz w:val="32"/>
          <w:szCs w:val="32"/>
        </w:rPr>
        <w:t>8</w:t>
      </w:r>
      <w:r>
        <w:rPr>
          <w:rFonts w:hint="eastAsia" w:ascii="方正仿宋简体" w:hAnsi="方正仿宋简体" w:eastAsia="方正仿宋简体" w:cs="宋体"/>
          <w:b/>
          <w:bCs/>
          <w:color w:val="auto"/>
          <w:kern w:val="0"/>
          <w:sz w:val="32"/>
          <w:szCs w:val="32"/>
        </w:rPr>
        <w:t>5分（含）以上的，信用等级为：AAA级。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信用得分在80分（含）至85分的，信用等级为：AA级。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信用得分在70分（含）至80分的，信用等级为：A级。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信用得分在60分（含）至70分的，或在60分以下且没有企业不良信用信息（丙类）的，信用等级为：B级。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信用得分在6</w:t>
      </w:r>
      <w:r>
        <w:rPr>
          <w:rFonts w:ascii="方正仿宋简体" w:hAnsi="方正仿宋简体" w:eastAsia="方正仿宋简体" w:cs="宋体"/>
          <w:b/>
          <w:bCs/>
          <w:color w:val="auto"/>
          <w:kern w:val="0"/>
          <w:sz w:val="32"/>
          <w:szCs w:val="32"/>
        </w:rPr>
        <w:t>0</w:t>
      </w:r>
      <w:r>
        <w:rPr>
          <w:rFonts w:hint="eastAsia" w:ascii="方正仿宋简体" w:hAnsi="方正仿宋简体" w:eastAsia="方正仿宋简体" w:cs="宋体"/>
          <w:b/>
          <w:bCs/>
          <w:color w:val="auto"/>
          <w:kern w:val="0"/>
          <w:sz w:val="32"/>
          <w:szCs w:val="32"/>
        </w:rPr>
        <w:t>分以下，且有企业不良信用信息（丙类）的，信用等级为：C级。</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经</w:t>
      </w:r>
      <w:r>
        <w:rPr>
          <w:rFonts w:ascii="方正仿宋简体" w:hAnsi="方正仿宋简体" w:eastAsia="方正仿宋简体" w:cs="宋体"/>
          <w:b/>
          <w:bCs/>
          <w:color w:val="auto"/>
          <w:kern w:val="0"/>
          <w:sz w:val="32"/>
          <w:szCs w:val="32"/>
        </w:rPr>
        <w:t>物业主管部门核实，企业实际从事物业服务活动，但未按要</w:t>
      </w:r>
      <w:r>
        <w:rPr>
          <w:rFonts w:hint="eastAsia" w:ascii="方正仿宋简体" w:hAnsi="方正仿宋简体" w:eastAsia="方正仿宋简体" w:cs="宋体"/>
          <w:b/>
          <w:bCs/>
          <w:color w:val="auto"/>
          <w:kern w:val="0"/>
          <w:sz w:val="32"/>
          <w:szCs w:val="32"/>
        </w:rPr>
        <w:t>求参加信用信息管理的，信用等级为：C级（缺失）。</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十八</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建立物业服务企业信用严重失信制度。严重失信的行为包括：</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bookmarkStart w:id="1" w:name="_Hlk18333913"/>
      <w:r>
        <w:rPr>
          <w:rFonts w:hint="eastAsia" w:ascii="方正仿宋简体" w:hAnsi="方正仿宋简体" w:eastAsia="方正仿宋简体" w:cs="宋体"/>
          <w:b/>
          <w:bCs/>
          <w:color w:val="auto"/>
          <w:kern w:val="0"/>
          <w:sz w:val="32"/>
          <w:szCs w:val="32"/>
          <w:u w:val="none"/>
        </w:rPr>
        <w:t>（一）未按规定履行物业项目退出程序，擅自停止物业服务，或经合法程序解除物业服务合同后，拒不退出物业项目、移交物业用房及相关资料的，或将一个物业管理区域内的全部物业管理一并委托给其他管理人的；</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none"/>
        </w:rPr>
      </w:pPr>
      <w:r>
        <w:rPr>
          <w:rFonts w:hint="eastAsia" w:ascii="方正仿宋简体" w:hAnsi="方正仿宋简体" w:eastAsia="方正仿宋简体" w:cs="宋体"/>
          <w:b/>
          <w:bCs/>
          <w:color w:val="auto"/>
          <w:kern w:val="0"/>
          <w:sz w:val="32"/>
          <w:szCs w:val="32"/>
          <w:u w:val="none"/>
        </w:rPr>
        <w:t>（二）擅自侵占、挪用、套用业主公共收益或专项维修资金</w:t>
      </w:r>
      <w:r>
        <w:rPr>
          <w:rFonts w:hint="eastAsia" w:ascii="方正仿宋简体" w:hAnsi="方正仿宋简体" w:eastAsia="方正仿宋简体" w:cs="宋体"/>
          <w:b/>
          <w:bCs/>
          <w:color w:val="auto"/>
          <w:kern w:val="0"/>
          <w:sz w:val="32"/>
          <w:szCs w:val="32"/>
          <w:u w:val="none"/>
          <w:lang w:val="en-US" w:eastAsia="zh-CN"/>
        </w:rPr>
        <w:t>的</w:t>
      </w:r>
      <w:r>
        <w:rPr>
          <w:rFonts w:hint="eastAsia" w:ascii="方正仿宋简体" w:hAnsi="方正仿宋简体" w:eastAsia="方正仿宋简体" w:cs="宋体"/>
          <w:b/>
          <w:bCs/>
          <w:color w:val="auto"/>
          <w:kern w:val="0"/>
          <w:sz w:val="32"/>
          <w:szCs w:val="32"/>
          <w:u w:val="none"/>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u w:val="single"/>
        </w:rPr>
      </w:pPr>
      <w:r>
        <w:rPr>
          <w:rFonts w:hint="eastAsia" w:ascii="方正仿宋简体" w:hAnsi="方正仿宋简体" w:eastAsia="方正仿宋简体" w:cs="宋体"/>
          <w:b/>
          <w:bCs/>
          <w:color w:val="auto"/>
          <w:kern w:val="0"/>
          <w:sz w:val="32"/>
          <w:szCs w:val="32"/>
          <w:u w:val="none"/>
        </w:rPr>
        <w:t>（三）因物业服务企业过错造成严重不良后果，影响社会稳定的；</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（四）经司法机关或行政机关确认因物业服务企业全部责任或主要责任，发生重大生产安全事故的；</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（五）在物业服务招标投标中有围标、串标等行为，严重破坏市场公平及竞争秩序和社会正常秩序的；</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（六）物业服务企业拒不履行法定义务，严重影响司法机关、行政机关公信力的，包括在司法机关、行政机关作出判决或决定后，有履行能力但拒不履行、逃避执行的。</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物业服务企业出现第（一）至（三）项任意一项不超过1次的，信用等级暂定为C级（黄牌）；拒不整改、无法补救、出现第（一）至（三）项任意一项超过1次或发生第（四）至（六）项任意一项行为的，信用等级确定为C级（严重失信）。</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暂定为C级（黄牌）的有效期为自列入之日起</w:t>
      </w:r>
      <w:r>
        <w:rPr>
          <w:rFonts w:hint="eastAsia" w:ascii="方正仿宋简体" w:hAnsi="方正仿宋简体" w:eastAsia="方正仿宋简体" w:cs="宋体"/>
          <w:b/>
          <w:bCs/>
          <w:color w:val="auto"/>
          <w:kern w:val="0"/>
          <w:sz w:val="32"/>
          <w:szCs w:val="32"/>
          <w:lang w:val="en-US" w:eastAsia="zh-CN"/>
        </w:rPr>
        <w:t>12</w:t>
      </w:r>
      <w:r>
        <w:rPr>
          <w:rFonts w:hint="eastAsia" w:ascii="方正仿宋简体" w:hAnsi="方正仿宋简体" w:eastAsia="方正仿宋简体" w:cs="宋体"/>
          <w:b/>
          <w:bCs/>
          <w:color w:val="auto"/>
          <w:kern w:val="0"/>
          <w:sz w:val="32"/>
          <w:szCs w:val="32"/>
        </w:rPr>
        <w:t>个月，有效期过后信用分值和信用等级重新评定，其严重不良信用信息转为信用档案长期保存。</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黑体" w:hAnsi="黑体" w:eastAsia="方正黑体简体" w:cs="宋体"/>
          <w:b/>
          <w:bCs/>
          <w:color w:val="auto"/>
          <w:kern w:val="0"/>
          <w:sz w:val="32"/>
          <w:szCs w:val="32"/>
        </w:rPr>
        <w:t>第十</w:t>
      </w:r>
      <w:r>
        <w:rPr>
          <w:rFonts w:hint="eastAsia" w:ascii="黑体" w:hAnsi="黑体" w:eastAsia="方正黑体简体" w:cs="宋体"/>
          <w:b/>
          <w:bCs/>
          <w:color w:val="auto"/>
          <w:kern w:val="0"/>
          <w:sz w:val="32"/>
          <w:szCs w:val="32"/>
          <w:lang w:val="en-US" w:eastAsia="zh-CN"/>
        </w:rPr>
        <w:t>九</w:t>
      </w:r>
      <w:r>
        <w:rPr>
          <w:rFonts w:hint="eastAsia" w:ascii="黑体" w:hAnsi="黑体" w:eastAsia="方正黑体简体" w:cs="宋体"/>
          <w:b/>
          <w:bCs/>
          <w:color w:val="auto"/>
          <w:kern w:val="0"/>
          <w:sz w:val="32"/>
          <w:szCs w:val="32"/>
        </w:rPr>
        <w:t>条　</w:t>
      </w:r>
      <w:r>
        <w:rPr>
          <w:rFonts w:hint="eastAsia" w:ascii="方正仿宋简体" w:hAnsi="方正仿宋简体" w:eastAsia="方正仿宋简体" w:cs="宋体"/>
          <w:b/>
          <w:bCs/>
          <w:color w:val="auto"/>
          <w:kern w:val="0"/>
          <w:sz w:val="32"/>
          <w:szCs w:val="32"/>
        </w:rPr>
        <w:t>物业服务企业对信用得分和等级等有异议的，可向</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物业主管部门书面提出。</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物业主管部门应当在收到书面异议后15个工作日内进行核查并书面答复。核查期间，应当对物业服务企业的信用得分和等级结果进行标注，直至异议处理结束。经核查确认有误的，应当及时予以纠正。</w:t>
      </w:r>
    </w:p>
    <w:bookmarkEnd w:id="1"/>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二十</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w:t>
      </w:r>
      <w:r>
        <w:rPr>
          <w:rFonts w:hint="eastAsia" w:ascii="方正仿宋简体" w:hAnsi="方正仿宋简体" w:eastAsia="方正仿宋简体" w:cs="宋体"/>
          <w:b/>
          <w:bCs/>
          <w:color w:val="auto"/>
          <w:kern w:val="0"/>
          <w:sz w:val="32"/>
          <w:szCs w:val="32"/>
          <w:lang w:eastAsia="zh-CN"/>
        </w:rPr>
        <w:t>县（市、区）</w:t>
      </w:r>
      <w:r>
        <w:rPr>
          <w:rFonts w:hint="eastAsia" w:ascii="方正仿宋简体" w:hAnsi="方正仿宋简体" w:eastAsia="方正仿宋简体" w:cs="宋体"/>
          <w:b/>
          <w:bCs/>
          <w:color w:val="auto"/>
          <w:kern w:val="0"/>
          <w:sz w:val="32"/>
          <w:szCs w:val="32"/>
        </w:rPr>
        <w:t>物业主管部门、街道</w:t>
      </w:r>
      <w:r>
        <w:rPr>
          <w:rFonts w:ascii="方正仿宋简体" w:hAnsi="方正仿宋简体" w:eastAsia="方正仿宋简体" w:cs="宋体"/>
          <w:b/>
          <w:bCs/>
          <w:color w:val="auto"/>
          <w:kern w:val="0"/>
          <w:sz w:val="32"/>
          <w:szCs w:val="32"/>
        </w:rPr>
        <w:t>办事处（</w:t>
      </w:r>
      <w:r>
        <w:rPr>
          <w:rFonts w:hint="eastAsia" w:ascii="方正仿宋简体" w:hAnsi="方正仿宋简体" w:eastAsia="方正仿宋简体" w:cs="宋体"/>
          <w:b/>
          <w:bCs/>
          <w:color w:val="auto"/>
          <w:kern w:val="0"/>
          <w:sz w:val="32"/>
          <w:szCs w:val="32"/>
        </w:rPr>
        <w:t>乡镇</w:t>
      </w:r>
      <w:r>
        <w:rPr>
          <w:rFonts w:ascii="方正仿宋简体" w:hAnsi="方正仿宋简体" w:eastAsia="方正仿宋简体" w:cs="宋体"/>
          <w:b/>
          <w:bCs/>
          <w:color w:val="auto"/>
          <w:kern w:val="0"/>
          <w:sz w:val="32"/>
          <w:szCs w:val="32"/>
        </w:rPr>
        <w:t>人民政府）和</w:t>
      </w:r>
      <w:r>
        <w:rPr>
          <w:rFonts w:hint="eastAsia" w:ascii="方正仿宋简体" w:hAnsi="方正仿宋简体" w:eastAsia="方正仿宋简体" w:cs="宋体"/>
          <w:b/>
          <w:bCs/>
          <w:color w:val="auto"/>
          <w:kern w:val="0"/>
          <w:sz w:val="32"/>
          <w:szCs w:val="32"/>
        </w:rPr>
        <w:t>社区居民委员会（社区环境和物业管理委员会）应设立并公布投诉举报电话、邮箱等，受理对于物业服务企业信用信息填报、评级管理等方面的投诉举报，对查实的投诉举报，录入市物业信用系统。</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第四章　信用信息发布和应用</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一</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w:t>
      </w:r>
      <w:r>
        <w:rPr>
          <w:rFonts w:hint="eastAsia" w:ascii="方正仿宋简体" w:hAnsi="方正仿宋简体" w:eastAsia="方正仿宋简体" w:cs="宋体"/>
          <w:b/>
          <w:bCs/>
          <w:color w:val="auto"/>
          <w:kern w:val="0"/>
          <w:sz w:val="32"/>
          <w:szCs w:val="32"/>
          <w:lang w:eastAsia="zh-CN"/>
        </w:rPr>
        <w:t>物业服务企业</w:t>
      </w:r>
      <w:r>
        <w:rPr>
          <w:rFonts w:hint="eastAsia" w:ascii="方正仿宋简体" w:hAnsi="方正仿宋简体" w:eastAsia="方正仿宋简体" w:cs="宋体"/>
          <w:b/>
          <w:bCs/>
          <w:color w:val="auto"/>
          <w:kern w:val="0"/>
          <w:sz w:val="32"/>
          <w:szCs w:val="32"/>
        </w:rPr>
        <w:t>信用评级结果在市物业信用系统公开，并按规定实现与“信用济宁”“国家企业信用信息公示系统”等公共信用信息平台的互通共享。物业服务企业根据需要可通过市物业信用系统查询信用</w:t>
      </w:r>
      <w:r>
        <w:rPr>
          <w:rFonts w:ascii="方正仿宋简体" w:hAnsi="方正仿宋简体" w:eastAsia="方正仿宋简体" w:cs="宋体"/>
          <w:b/>
          <w:bCs/>
          <w:color w:val="auto"/>
          <w:kern w:val="0"/>
          <w:sz w:val="32"/>
          <w:szCs w:val="32"/>
        </w:rPr>
        <w:t>等级，并</w:t>
      </w:r>
      <w:r>
        <w:rPr>
          <w:rFonts w:hint="eastAsia" w:ascii="方正仿宋简体" w:hAnsi="方正仿宋简体" w:eastAsia="方正仿宋简体" w:cs="宋体"/>
          <w:b/>
          <w:bCs/>
          <w:color w:val="auto"/>
          <w:kern w:val="0"/>
          <w:sz w:val="32"/>
          <w:szCs w:val="32"/>
        </w:rPr>
        <w:t>打印信用报告。有关部门、单位可依法通过市物业信用系统查询物业服务企业信用等级等情况。</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二</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物业主管部门可以定期通报物业服务企业信用等级情况，并将企业信用等级作为实施分类监管以及前期物业服务招标、业主大会选聘物业服务企业、表彰评选推介等活动的重要参考依据，实行守信激励、失信惩戒。</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三</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对信用等级A级以上的物业服务企业，在同等条件下可以依法采取下列激励措施：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（一）在实施行政许可等活动中给予“绿色通道”、容缺受理等便利服务措施；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（二）在财政性资金项目安排、招商引资配套优惠政策等方面列为优先选择对象；</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（三）在媒体推介、荣誉评选等活动中列为优先选择对象；</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（四）在有关公共资源交易活动中依法依约采取信用加分等措施；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（五）在日常检查、专项检查、“双随机、一公开”监管中，适当降低抽查比例和频次；</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（六）国家、省和市规定的其他措施。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黑体" w:hAnsi="黑体" w:eastAsia="方正黑体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四</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对于信用等级为C级的物业服务企业，可以依法采取下列措施：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（一）在日常检查、专项检查、“双随机、一公开”监管中，提高抽查比例和频次</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（二）作为开发建设单位、业主大会开展招标活动的参考；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（三）作为审核财政资金补助、税收优惠等政策扶持的参考；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（四）作为政府采购等公共资源交易活动的参考；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（五）作为政府部门、行业协会表彰奖励活动的参考；</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（六）国家、省和市规定的其他措施。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五</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对信用等级为C级（严重失信）的物业服务企业，除可采取本办法第二十</w:t>
      </w:r>
      <w:r>
        <w:rPr>
          <w:rFonts w:hint="eastAsia" w:ascii="方正仿宋简体" w:hAnsi="方正仿宋简体" w:eastAsia="方正仿宋简体" w:cs="宋体"/>
          <w:b/>
          <w:bCs/>
          <w:color w:val="auto"/>
          <w:kern w:val="0"/>
          <w:sz w:val="32"/>
          <w:szCs w:val="32"/>
          <w:lang w:val="en-US" w:eastAsia="zh-CN"/>
        </w:rPr>
        <w:t>四</w:t>
      </w:r>
      <w:r>
        <w:rPr>
          <w:rFonts w:hint="eastAsia" w:ascii="方正仿宋简体" w:hAnsi="方正仿宋简体" w:eastAsia="方正仿宋简体" w:cs="宋体"/>
          <w:b/>
          <w:bCs/>
          <w:color w:val="auto"/>
          <w:kern w:val="0"/>
          <w:sz w:val="32"/>
          <w:szCs w:val="32"/>
        </w:rPr>
        <w:t>条规定的措施外，物业主管部门或街道办事处（乡镇人民政府）还可以依法采取以下措施：</w:t>
      </w:r>
      <w:r>
        <w:rPr>
          <w:rFonts w:ascii="方正仿宋简体" w:hAnsi="方正仿宋简体" w:eastAsia="方正仿宋简体" w:cs="宋体"/>
          <w:b/>
          <w:bCs/>
          <w:color w:val="auto"/>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（一）撤销企业及其法定代表人、负责人和对失信行为负有直接责任的相关人员的荣誉称号，取消参加评先评优资格；</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rPr>
        <w:t>（二）约谈企业负责人，责令限期整改；</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hint="eastAsia" w:ascii="方正仿宋简体" w:hAnsi="方正仿宋简体" w:eastAsia="方正仿宋简体" w:cs="宋体"/>
          <w:b/>
          <w:bCs/>
          <w:color w:val="auto"/>
          <w:kern w:val="0"/>
          <w:sz w:val="32"/>
          <w:szCs w:val="32"/>
          <w:lang w:eastAsia="zh-CN"/>
        </w:rPr>
      </w:pPr>
      <w:r>
        <w:rPr>
          <w:rFonts w:hint="eastAsia" w:ascii="方正仿宋简体" w:hAnsi="方正仿宋简体" w:eastAsia="方正仿宋简体" w:cs="宋体"/>
          <w:b/>
          <w:bCs/>
          <w:color w:val="auto"/>
          <w:kern w:val="0"/>
          <w:sz w:val="32"/>
          <w:szCs w:val="32"/>
        </w:rPr>
        <w:t>（三）视情节向业主大会提出解除物业服务合同或者不再续约的书面建议</w:t>
      </w:r>
      <w:r>
        <w:rPr>
          <w:rFonts w:hint="eastAsia" w:ascii="方正仿宋简体" w:hAnsi="方正仿宋简体" w:eastAsia="方正仿宋简体" w:cs="宋体"/>
          <w:b/>
          <w:bCs/>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方正仿宋简体" w:hAnsi="方正仿宋简体" w:eastAsia="方正仿宋简体" w:cs="宋体"/>
          <w:b/>
          <w:bCs/>
          <w:color w:val="auto"/>
          <w:kern w:val="0"/>
          <w:sz w:val="32"/>
          <w:szCs w:val="32"/>
          <w:lang w:eastAsia="zh-CN"/>
        </w:rPr>
        <w:t>（四）将信用信息通报信用管理部门和其他部门，实施协同监管、联合惩戒。</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第五章　附　则</w:t>
      </w:r>
    </w:p>
    <w:p>
      <w:pPr>
        <w:keepNext w:val="0"/>
        <w:keepLines w:val="0"/>
        <w:pageBreakBefore w:val="0"/>
        <w:widowControl/>
        <w:kinsoku/>
        <w:wordWrap/>
        <w:overflowPunct/>
        <w:topLinePunct w:val="0"/>
        <w:autoSpaceDE/>
        <w:autoSpaceDN/>
        <w:bidi w:val="0"/>
        <w:adjustRightInd/>
        <w:snapToGrid/>
        <w:spacing w:line="600" w:lineRule="exact"/>
        <w:textAlignment w:val="auto"/>
        <w:rPr>
          <w:rFonts w:ascii="黑体" w:hAnsi="黑体" w:eastAsia="方正黑体简体" w:cs="宋体"/>
          <w:b/>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六</w:t>
      </w:r>
      <w:r>
        <w:rPr>
          <w:rFonts w:hint="eastAsia" w:ascii="黑体" w:hAnsi="黑体" w:eastAsia="方正黑体简体" w:cs="宋体"/>
          <w:b/>
          <w:bCs/>
          <w:color w:val="auto"/>
          <w:kern w:val="0"/>
          <w:sz w:val="32"/>
          <w:szCs w:val="32"/>
        </w:rPr>
        <w:t>条</w:t>
      </w:r>
      <w:r>
        <w:rPr>
          <w:rFonts w:hint="eastAsia" w:ascii="方正仿宋简体" w:hAnsi="方正仿宋简体" w:eastAsia="方正仿宋简体" w:cs="宋体"/>
          <w:b/>
          <w:bCs/>
          <w:color w:val="auto"/>
          <w:kern w:val="0"/>
          <w:sz w:val="32"/>
          <w:szCs w:val="32"/>
        </w:rPr>
        <w:t>　相关管理机构及其工作人员在物业服务企业信用信息管理工作中，应当认真履行职责，不得徇私舞弊、玩忽职守、滥用职权，违者依法追究相关责任。</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第二十</w:t>
      </w:r>
      <w:r>
        <w:rPr>
          <w:rFonts w:hint="eastAsia" w:ascii="黑体" w:hAnsi="黑体" w:eastAsia="方正黑体简体" w:cs="宋体"/>
          <w:b/>
          <w:bCs/>
          <w:color w:val="auto"/>
          <w:kern w:val="0"/>
          <w:sz w:val="32"/>
          <w:szCs w:val="32"/>
          <w:lang w:val="en-US" w:eastAsia="zh-CN"/>
        </w:rPr>
        <w:t>七</w:t>
      </w:r>
      <w:r>
        <w:rPr>
          <w:rFonts w:hint="eastAsia" w:ascii="黑体" w:hAnsi="黑体" w:eastAsia="方正黑体简体" w:cs="宋体"/>
          <w:b/>
          <w:bCs/>
          <w:color w:val="auto"/>
          <w:kern w:val="0"/>
          <w:sz w:val="32"/>
          <w:szCs w:val="32"/>
        </w:rPr>
        <w:t>条　</w:t>
      </w:r>
      <w:r>
        <w:rPr>
          <w:rFonts w:hint="eastAsia" w:ascii="方正仿宋简体" w:hAnsi="方正仿宋简体" w:eastAsia="方正仿宋简体" w:cs="宋体"/>
          <w:b/>
          <w:bCs/>
          <w:color w:val="auto"/>
          <w:kern w:val="0"/>
          <w:sz w:val="32"/>
          <w:szCs w:val="32"/>
        </w:rPr>
        <w:t>本办法由济宁市住房和</w:t>
      </w:r>
      <w:r>
        <w:rPr>
          <w:rFonts w:ascii="方正仿宋简体" w:hAnsi="方正仿宋简体" w:eastAsia="方正仿宋简体" w:cs="宋体"/>
          <w:b/>
          <w:bCs/>
          <w:color w:val="auto"/>
          <w:kern w:val="0"/>
          <w:sz w:val="32"/>
          <w:szCs w:val="32"/>
        </w:rPr>
        <w:t>城乡建设</w:t>
      </w:r>
      <w:r>
        <w:rPr>
          <w:rFonts w:hint="eastAsia" w:ascii="方正仿宋简体" w:hAnsi="方正仿宋简体" w:eastAsia="方正仿宋简体" w:cs="宋体"/>
          <w:b/>
          <w:bCs/>
          <w:color w:val="auto"/>
          <w:kern w:val="0"/>
          <w:sz w:val="32"/>
          <w:szCs w:val="32"/>
        </w:rPr>
        <w:t>局负责解释。</w:t>
      </w:r>
    </w:p>
    <w:p>
      <w:pPr>
        <w:keepNext w:val="0"/>
        <w:keepLines w:val="0"/>
        <w:pageBreakBefore w:val="0"/>
        <w:widowControl/>
        <w:kinsoku/>
        <w:wordWrap/>
        <w:overflowPunct/>
        <w:topLinePunct w:val="0"/>
        <w:autoSpaceDE/>
        <w:autoSpaceDN/>
        <w:bidi w:val="0"/>
        <w:adjustRightInd/>
        <w:snapToGrid/>
        <w:spacing w:line="600" w:lineRule="exact"/>
        <w:ind w:firstLine="642" w:firstLineChars="200"/>
        <w:textAlignment w:val="auto"/>
        <w:rPr>
          <w:rFonts w:ascii="方正仿宋简体" w:hAnsi="方正仿宋简体" w:eastAsia="方正仿宋简体" w:cs="宋体"/>
          <w:b/>
          <w:bCs/>
          <w:color w:val="auto"/>
          <w:kern w:val="0"/>
          <w:sz w:val="32"/>
          <w:szCs w:val="32"/>
        </w:rPr>
      </w:pPr>
      <w:r>
        <w:rPr>
          <w:rFonts w:hint="eastAsia" w:ascii="黑体" w:hAnsi="黑体" w:eastAsia="方正黑体简体" w:cs="宋体"/>
          <w:b/>
          <w:bCs/>
          <w:color w:val="auto"/>
          <w:kern w:val="0"/>
          <w:sz w:val="32"/>
          <w:szCs w:val="32"/>
        </w:rPr>
        <w:t>第</w:t>
      </w:r>
      <w:r>
        <w:rPr>
          <w:rFonts w:hint="eastAsia" w:ascii="黑体" w:hAnsi="黑体" w:eastAsia="方正黑体简体" w:cs="宋体"/>
          <w:b/>
          <w:bCs/>
          <w:color w:val="auto"/>
          <w:kern w:val="0"/>
          <w:sz w:val="32"/>
          <w:szCs w:val="32"/>
          <w:lang w:val="en-US" w:eastAsia="zh-CN"/>
        </w:rPr>
        <w:t>二十八</w:t>
      </w:r>
      <w:r>
        <w:rPr>
          <w:rFonts w:hint="eastAsia" w:ascii="黑体" w:hAnsi="黑体" w:eastAsia="方正黑体简体" w:cs="宋体"/>
          <w:b/>
          <w:bCs/>
          <w:color w:val="auto"/>
          <w:kern w:val="0"/>
          <w:sz w:val="32"/>
          <w:szCs w:val="32"/>
        </w:rPr>
        <w:t>条　</w:t>
      </w:r>
      <w:r>
        <w:rPr>
          <w:rFonts w:hint="eastAsia" w:ascii="方正仿宋简体" w:hAnsi="方正仿宋简体" w:eastAsia="方正仿宋简体" w:cs="宋体"/>
          <w:b/>
          <w:bCs/>
          <w:color w:val="auto"/>
          <w:kern w:val="0"/>
          <w:sz w:val="32"/>
          <w:szCs w:val="32"/>
        </w:rPr>
        <w:t>本办法自</w:t>
      </w:r>
      <w:r>
        <w:rPr>
          <w:rFonts w:hint="eastAsia" w:ascii="方正仿宋简体" w:hAnsi="方正仿宋简体" w:eastAsia="方正仿宋简体" w:cs="宋体"/>
          <w:b/>
          <w:bCs/>
          <w:color w:val="auto"/>
          <w:kern w:val="0"/>
          <w:sz w:val="32"/>
          <w:szCs w:val="32"/>
          <w:lang w:val="en-US" w:eastAsia="zh-CN"/>
        </w:rPr>
        <w:t>印发之日</w:t>
      </w:r>
      <w:r>
        <w:rPr>
          <w:rFonts w:hint="eastAsia" w:ascii="方正仿宋简体" w:hAnsi="方正仿宋简体" w:eastAsia="方正仿宋简体" w:cs="宋体"/>
          <w:b/>
          <w:bCs/>
          <w:color w:val="auto"/>
          <w:kern w:val="0"/>
          <w:sz w:val="32"/>
          <w:szCs w:val="32"/>
        </w:rPr>
        <w:t>起施行，有效期至202</w:t>
      </w:r>
      <w:r>
        <w:rPr>
          <w:rFonts w:hint="eastAsia" w:ascii="方正仿宋简体" w:hAnsi="方正仿宋简体" w:eastAsia="方正仿宋简体" w:cs="宋体"/>
          <w:b/>
          <w:bCs/>
          <w:color w:val="auto"/>
          <w:kern w:val="0"/>
          <w:sz w:val="32"/>
          <w:szCs w:val="32"/>
          <w:lang w:val="en-US" w:eastAsia="zh-CN"/>
        </w:rPr>
        <w:t>7</w:t>
      </w:r>
      <w:r>
        <w:rPr>
          <w:rFonts w:hint="eastAsia" w:ascii="方正仿宋简体" w:hAnsi="方正仿宋简体" w:eastAsia="方正仿宋简体" w:cs="宋体"/>
          <w:b/>
          <w:bCs/>
          <w:color w:val="auto"/>
          <w:kern w:val="0"/>
          <w:sz w:val="32"/>
          <w:szCs w:val="32"/>
        </w:rPr>
        <w:t>年</w:t>
      </w:r>
      <w:r>
        <w:rPr>
          <w:rFonts w:hint="eastAsia" w:ascii="方正仿宋简体" w:hAnsi="方正仿宋简体" w:eastAsia="方正仿宋简体" w:cs="宋体"/>
          <w:b/>
          <w:bCs/>
          <w:color w:val="auto"/>
          <w:kern w:val="0"/>
          <w:sz w:val="32"/>
          <w:szCs w:val="32"/>
          <w:lang w:val="en-US" w:eastAsia="zh-CN"/>
        </w:rPr>
        <w:t>5</w:t>
      </w:r>
      <w:r>
        <w:rPr>
          <w:rFonts w:hint="eastAsia" w:ascii="方正仿宋简体" w:hAnsi="方正仿宋简体" w:eastAsia="方正仿宋简体" w:cs="宋体"/>
          <w:b/>
          <w:bCs/>
          <w:color w:val="auto"/>
          <w:kern w:val="0"/>
          <w:sz w:val="32"/>
          <w:szCs w:val="32"/>
        </w:rPr>
        <w:t>月</w:t>
      </w:r>
      <w:r>
        <w:rPr>
          <w:rFonts w:hint="eastAsia" w:ascii="方正仿宋简体" w:hAnsi="方正仿宋简体" w:eastAsia="方正仿宋简体" w:cs="宋体"/>
          <w:b/>
          <w:bCs/>
          <w:color w:val="auto"/>
          <w:kern w:val="0"/>
          <w:sz w:val="32"/>
          <w:szCs w:val="32"/>
          <w:lang w:val="en-US" w:eastAsia="zh-CN"/>
        </w:rPr>
        <w:t>24</w:t>
      </w:r>
      <w:r>
        <w:rPr>
          <w:rFonts w:hint="eastAsia" w:ascii="方正仿宋简体" w:hAnsi="方正仿宋简体" w:eastAsia="方正仿宋简体" w:cs="宋体"/>
          <w:b/>
          <w:bCs/>
          <w:color w:val="auto"/>
          <w:kern w:val="0"/>
          <w:sz w:val="32"/>
          <w:szCs w:val="32"/>
        </w:rPr>
        <w:t>日。相关法律法规和政策依据发生变化或有效期届满，将依据实施情况依法评估修订。</w:t>
      </w:r>
    </w:p>
    <w:p>
      <w:pPr>
        <w:keepNext w:val="0"/>
        <w:keepLines w:val="0"/>
        <w:pageBreakBefore w:val="0"/>
        <w:widowControl/>
        <w:kinsoku/>
        <w:wordWrap/>
        <w:overflowPunct/>
        <w:topLinePunct w:val="0"/>
        <w:autoSpaceDE/>
        <w:autoSpaceDN/>
        <w:bidi w:val="0"/>
        <w:adjustRightInd/>
        <w:snapToGrid/>
        <w:spacing w:line="600" w:lineRule="exact"/>
        <w:ind w:firstLine="642" w:firstLineChars="200"/>
        <w:jc w:val="left"/>
        <w:textAlignment w:val="auto"/>
        <w:rPr>
          <w:rFonts w:ascii="方正仿宋简体" w:hAnsi="方正仿宋简体" w:eastAsia="方正仿宋简体" w:cs="宋体"/>
          <w:b/>
          <w:bCs/>
          <w:color w:val="auto"/>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2" w:firstLineChars="200"/>
        <w:jc w:val="left"/>
        <w:textAlignment w:val="auto"/>
        <w:rPr>
          <w:rFonts w:ascii="仿宋_GB2312" w:eastAsia="仿宋_GB2312"/>
          <w:b/>
          <w:bCs/>
          <w:color w:val="auto"/>
          <w:sz w:val="32"/>
          <w:szCs w:val="32"/>
        </w:rPr>
      </w:pPr>
      <w:r>
        <w:rPr>
          <w:rFonts w:hint="eastAsia" w:ascii="方正仿宋简体" w:hAnsi="方正仿宋简体" w:eastAsia="方正仿宋简体" w:cs="宋体"/>
          <w:b/>
          <w:bCs/>
          <w:color w:val="auto"/>
          <w:kern w:val="0"/>
          <w:sz w:val="32"/>
          <w:szCs w:val="32"/>
        </w:rPr>
        <w:t>附件：济宁市物业服务企业信用信息评分标准</w:t>
      </w:r>
    </w:p>
    <w:p>
      <w:pPr>
        <w:spacing w:line="600" w:lineRule="exact"/>
        <w:jc w:val="center"/>
        <w:rPr>
          <w:rFonts w:ascii="方正小标宋简体" w:eastAsia="方正小标宋简体"/>
          <w:b/>
          <w:bCs/>
          <w:color w:val="auto"/>
          <w:sz w:val="38"/>
          <w:szCs w:val="38"/>
        </w:rPr>
        <w:sectPr>
          <w:footerReference r:id="rId3" w:type="default"/>
          <w:pgSz w:w="11906" w:h="16838"/>
          <w:pgMar w:top="1985" w:right="1587" w:bottom="153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line="600" w:lineRule="exact"/>
        <w:rPr>
          <w:rFonts w:hint="eastAsia" w:ascii="黑体" w:hAnsi="黑体" w:eastAsia="方正黑体简体" w:cs="黑体"/>
          <w:b/>
          <w:bCs/>
          <w:color w:val="auto"/>
          <w:sz w:val="32"/>
          <w:szCs w:val="32"/>
          <w:lang w:val="en-US" w:eastAsia="zh-CN"/>
        </w:rPr>
      </w:pPr>
      <w:r>
        <w:rPr>
          <w:rFonts w:hint="eastAsia" w:ascii="黑体" w:hAnsi="黑体" w:eastAsia="方正黑体简体" w:cs="黑体"/>
          <w:b/>
          <w:bCs/>
          <w:color w:val="auto"/>
          <w:sz w:val="32"/>
          <w:szCs w:val="32"/>
        </w:rPr>
        <w:t>附件</w:t>
      </w:r>
    </w:p>
    <w:p>
      <w:pPr>
        <w:jc w:val="center"/>
        <w:rPr>
          <w:rFonts w:ascii="方正小标宋简体" w:eastAsia="方正小标宋简体"/>
          <w:b/>
          <w:bCs/>
          <w:color w:val="auto"/>
          <w:sz w:val="44"/>
          <w:szCs w:val="44"/>
        </w:rPr>
      </w:pPr>
      <w:r>
        <w:rPr>
          <w:rFonts w:hint="eastAsia" w:ascii="方正小标宋简体" w:eastAsia="方正小标宋简体"/>
          <w:b/>
          <w:bCs/>
          <w:color w:val="auto"/>
          <w:sz w:val="44"/>
          <w:szCs w:val="44"/>
        </w:rPr>
        <w:t>济宁市物业服务企业信用信息评分标准</w:t>
      </w:r>
    </w:p>
    <w:p>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甲类　企业基础信用信息（共60分）</w:t>
      </w:r>
    </w:p>
    <w:tbl>
      <w:tblPr>
        <w:tblStyle w:val="10"/>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694"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类别</w:t>
            </w:r>
          </w:p>
        </w:tc>
        <w:tc>
          <w:tcPr>
            <w:tcW w:w="5670" w:type="dxa"/>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企业员工信息</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（10分）</w:t>
            </w: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固定员工数</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（5分）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每1人得0.1分，最高不超过5分。固定员工数为缴纳基本养老保险费人数，佐证材料以缴款人为本企业的当年度社会保险基金缴纳票据为准，当年度有效。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专业技术人员</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（3分）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每人得0.1分（其中取得工程、管理、经济相关专业类中级以上职称每人得0.2分），最高不超过3分。专业技术人员为获得人力资源部门及其他相关行业主管部门颁发的物业经理、物业从业人员证书，工程、管理、经济等相关专业类中级以上职称及物业管理相关工种证书的固定员工，佐证材料以相关证书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物业服务人才</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（2分）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每人得0.5分，最高不超过2分。物业服务人才为项目经理或企业核心管理岗位负责人获得全日制大专及以上物业管理专业学历，或获得工程、管理等物业管理相关专业学士及以上学位。佐证材料以当事人相关证书扫描件为准。同一员工同时符合专业技术人员和物业管理人才条件的，以最高分为准</w:t>
            </w:r>
            <w:r>
              <w:rPr>
                <w:rFonts w:hint="eastAsia" w:ascii="仿宋" w:hAnsi="仿宋" w:eastAsia="仿宋" w:cs="仿宋"/>
                <w:b/>
                <w:bCs/>
                <w:color w:val="auto"/>
                <w:sz w:val="22"/>
                <w:lang w:eastAsia="zh-CN"/>
              </w:rPr>
              <w:t>，</w:t>
            </w:r>
            <w:r>
              <w:rPr>
                <w:rFonts w:hint="eastAsia" w:ascii="仿宋" w:hAnsi="仿宋" w:eastAsia="仿宋" w:cs="仿宋"/>
                <w:b/>
                <w:bCs/>
                <w:color w:val="auto"/>
                <w:sz w:val="22"/>
              </w:rPr>
              <w:t>只</w:t>
            </w:r>
            <w:r>
              <w:rPr>
                <w:rFonts w:hint="eastAsia" w:ascii="仿宋" w:hAnsi="仿宋" w:eastAsia="仿宋" w:cs="仿宋"/>
                <w:b/>
                <w:bCs/>
                <w:color w:val="auto"/>
                <w:sz w:val="22"/>
                <w:lang w:val="en-US" w:eastAsia="zh-CN"/>
              </w:rPr>
              <w:t>计算</w:t>
            </w:r>
            <w:r>
              <w:rPr>
                <w:rFonts w:hint="eastAsia" w:ascii="仿宋" w:hAnsi="仿宋" w:eastAsia="仿宋" w:cs="仿宋"/>
                <w:b/>
                <w:bCs/>
                <w:color w:val="auto"/>
                <w:sz w:val="22"/>
              </w:rPr>
              <w:t>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企业优良信用信息</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（50分）</w:t>
            </w: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企业党建</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（5分）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物业服务企业单独成立党组织的，得3分；未单独成立党组织，采取联合组建、社区党组织派遣党建指导员或成立党小组等形式实现党的组织覆盖的，得2分。</w:t>
            </w:r>
          </w:p>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物业服务项目成立党组织或党小组，或通过采取联合组建、社区党组织派遣党建指导员等形式实现党的组织覆盖的，每个项目得0.2分，最高得2分。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诚信经营情况</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（1分）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获得市场监管部门“价格诚信示范单位”、“放心消费创建示范单位”或“守合同重信用”企业称号的，称号有效期内各得1分。最高得</w:t>
            </w:r>
            <w:r>
              <w:rPr>
                <w:rFonts w:hint="eastAsia" w:ascii="仿宋" w:hAnsi="仿宋" w:eastAsia="仿宋" w:cs="仿宋"/>
                <w:b/>
                <w:bCs/>
                <w:color w:val="auto"/>
              </w:rPr>
              <w:t>1</w:t>
            </w:r>
            <w:r>
              <w:rPr>
                <w:rFonts w:hint="eastAsia" w:ascii="仿宋" w:hAnsi="仿宋" w:eastAsia="仿宋" w:cs="仿宋"/>
                <w:b/>
                <w:bCs/>
                <w:color w:val="auto"/>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物业服务规模</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（10分）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实施全委托管理的，接管项目每累计3个得1分，实施专项委托管理的，接管项目每累计3个得0.5分，不足3个不得分，最高得2分。</w:t>
            </w:r>
          </w:p>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实施全委托管理的，接管项目每累计10万平方米得0.5分，不足10万平方米不得分，最高得8分。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参与老旧小区、保障性住房等物业服务（5分）</w:t>
            </w:r>
          </w:p>
        </w:tc>
        <w:tc>
          <w:tcPr>
            <w:tcW w:w="5670"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接管老旧小区每累计3万平方米得0.2分，不足3万平方米不得分；接管保障性住房的每累计5万平方米得0.1分，不足5万平方米不得分。老旧小区是指列入老旧小区改造计划的项目。</w:t>
            </w:r>
          </w:p>
        </w:tc>
      </w:tr>
    </w:tbl>
    <w:p>
      <w:pPr>
        <w:rPr>
          <w:rFonts w:ascii="黑体" w:hAnsi="黑体" w:eastAsia="方正黑体简体"/>
          <w:b/>
          <w:bCs/>
          <w:color w:val="auto"/>
          <w:sz w:val="28"/>
          <w:szCs w:val="28"/>
        </w:rPr>
      </w:pPr>
      <w:r>
        <w:rPr>
          <w:rFonts w:hint="eastAsia" w:ascii="黑体" w:hAnsi="黑体" w:eastAsia="方正黑体简体"/>
          <w:b/>
          <w:bCs/>
          <w:color w:val="auto"/>
          <w:sz w:val="28"/>
          <w:szCs w:val="28"/>
        </w:rPr>
        <w:br w:type="page"/>
      </w:r>
    </w:p>
    <w:tbl>
      <w:tblPr>
        <w:tblStyle w:val="10"/>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63"/>
        <w:gridCol w:w="5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113"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企业优良信用信息</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黑体" w:hAnsi="黑体" w:eastAsia="黑体" w:cs="黑体"/>
                <w:b/>
                <w:bCs/>
                <w:color w:val="auto"/>
                <w:sz w:val="24"/>
                <w:szCs w:val="24"/>
              </w:rPr>
              <w:t>（50分）</w:t>
            </w: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标准建设成果</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（4分）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获得ISO三体系认证的得1分。作为主要起草单位或者主编单位编写物业服务国际、国家、行业、地方</w:t>
            </w:r>
            <w:r>
              <w:rPr>
                <w:rFonts w:hint="eastAsia" w:ascii="仿宋" w:hAnsi="仿宋" w:eastAsia="仿宋" w:cs="仿宋"/>
                <w:b/>
                <w:bCs/>
                <w:color w:val="auto"/>
                <w:sz w:val="22"/>
                <w:lang w:eastAsia="zh-CN"/>
              </w:rPr>
              <w:t>、团体</w:t>
            </w:r>
            <w:r>
              <w:rPr>
                <w:rFonts w:hint="eastAsia" w:ascii="仿宋" w:hAnsi="仿宋" w:eastAsia="仿宋" w:cs="仿宋"/>
                <w:b/>
                <w:bCs/>
                <w:color w:val="auto"/>
                <w:sz w:val="22"/>
              </w:rPr>
              <w:t>标准的，分别得3、3、2、1</w:t>
            </w:r>
            <w:r>
              <w:rPr>
                <w:rFonts w:hint="eastAsia" w:ascii="仿宋" w:hAnsi="仿宋" w:eastAsia="仿宋" w:cs="仿宋"/>
                <w:b/>
                <w:bCs/>
                <w:color w:val="auto"/>
                <w:sz w:val="22"/>
                <w:lang w:eastAsia="zh-CN"/>
              </w:rPr>
              <w:t>、</w:t>
            </w:r>
            <w:r>
              <w:rPr>
                <w:rFonts w:hint="eastAsia" w:ascii="仿宋" w:hAnsi="仿宋" w:eastAsia="仿宋" w:cs="仿宋"/>
                <w:b/>
                <w:bCs/>
                <w:color w:val="auto"/>
                <w:sz w:val="22"/>
                <w:lang w:val="en-US" w:eastAsia="zh-CN"/>
              </w:rPr>
              <w:t>0.5</w:t>
            </w:r>
            <w:r>
              <w:rPr>
                <w:rFonts w:hint="eastAsia" w:ascii="仿宋" w:hAnsi="仿宋" w:eastAsia="仿宋" w:cs="仿宋"/>
                <w:b/>
                <w:bCs/>
                <w:color w:val="auto"/>
                <w:sz w:val="22"/>
              </w:rPr>
              <w:t>分，可累计得分。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拓展经营市场</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（3分）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企业跨县（市、区）开展物业服务活动的，得1分；跨市从事物业服务活动的，得2分；跨省（直辖市、自治区）从事物业服务活动的，得3分。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履行社会责任</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（4分）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为行业作出突出贡献、积极参加社会公益活动，企业、项目或企业员工受到相关职能部门、物业行业协会表彰或被</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及以上官方新闻媒体宣传报道的，得1分，表彰个人的得0.5分。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企业、个人获得表彰奖励</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（9分）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企业或企业员工获得国家级、省级、地级、</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党委、人民政府、物业主管部门表彰的，分别得5、4、3、2分，获得乡级党委、政府表彰的得1分，表彰个人的减半得分。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1113" w:type="dxa"/>
            <w:vMerge w:val="continue"/>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p>
        </w:tc>
        <w:tc>
          <w:tcPr>
            <w:tcW w:w="15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物业服务项目</w:t>
            </w:r>
          </w:p>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2"/>
              </w:rPr>
            </w:pPr>
            <w:r>
              <w:rPr>
                <w:rFonts w:hint="eastAsia" w:ascii="宋体" w:hAnsi="宋体" w:eastAsia="宋体" w:cs="宋体"/>
                <w:b/>
                <w:bCs/>
                <w:color w:val="auto"/>
                <w:sz w:val="22"/>
              </w:rPr>
              <w:t>创优（9分）</w:t>
            </w:r>
          </w:p>
        </w:tc>
        <w:tc>
          <w:tcPr>
            <w:tcW w:w="5655" w:type="dxa"/>
            <w:vAlign w:val="center"/>
          </w:tcPr>
          <w:p>
            <w:pPr>
              <w:keepNext w:val="0"/>
              <w:keepLines w:val="0"/>
              <w:suppressLineNumbers w:val="0"/>
              <w:spacing w:before="0" w:beforeAutospacing="0" w:after="0" w:afterAutospacing="0"/>
              <w:ind w:left="0" w:right="0"/>
              <w:rPr>
                <w:rFonts w:hint="eastAsia" w:ascii="仿宋" w:hAnsi="仿宋" w:eastAsia="仿宋" w:cs="仿宋"/>
                <w:b/>
                <w:bCs/>
                <w:color w:val="auto"/>
                <w:sz w:val="22"/>
              </w:rPr>
            </w:pPr>
            <w:r>
              <w:rPr>
                <w:rFonts w:hint="eastAsia" w:ascii="仿宋" w:hAnsi="仿宋" w:eastAsia="仿宋" w:cs="仿宋"/>
                <w:b/>
                <w:bCs/>
                <w:color w:val="auto"/>
                <w:sz w:val="22"/>
              </w:rPr>
              <w:t>在合同期内服务的物管项目获得住建部、省住建厅、市住建局、</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物业主管部门表彰分别得5、4、3、2分，最高不超过9分。</w:t>
            </w:r>
          </w:p>
        </w:tc>
      </w:tr>
    </w:tbl>
    <w:p>
      <w:pPr>
        <w:rPr>
          <w:rFonts w:hint="eastAsia" w:ascii="方正黑体简体" w:hAnsi="方正黑体简体" w:eastAsia="方正黑体简体" w:cs="方正黑体简体"/>
          <w:b/>
          <w:bCs/>
          <w:color w:val="auto"/>
          <w:sz w:val="32"/>
          <w:szCs w:val="32"/>
        </w:rPr>
      </w:pPr>
    </w:p>
    <w:p>
      <w:pP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br w:type="page"/>
      </w:r>
    </w:p>
    <w:p>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乙类　项目绩效信用信息（共60分）</w:t>
      </w:r>
    </w:p>
    <w:tbl>
      <w:tblPr>
        <w:tblStyle w:val="10"/>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94"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类别</w:t>
            </w:r>
          </w:p>
        </w:tc>
        <w:tc>
          <w:tcPr>
            <w:tcW w:w="5670" w:type="dxa"/>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项目服务质量监督</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（15分）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日常考评情况</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（10分）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物业主管部门、街道（乡镇）、社区</w:t>
            </w:r>
            <w:r>
              <w:rPr>
                <w:rFonts w:hint="eastAsia" w:ascii="仿宋" w:hAnsi="仿宋" w:eastAsia="仿宋" w:cs="仿宋"/>
                <w:b/>
                <w:bCs/>
                <w:color w:val="auto"/>
                <w:sz w:val="22"/>
                <w:lang w:val="en-US" w:eastAsia="zh-CN"/>
              </w:rPr>
              <w:t>日常</w:t>
            </w:r>
            <w:r>
              <w:rPr>
                <w:rFonts w:hint="eastAsia" w:ascii="仿宋" w:hAnsi="仿宋" w:eastAsia="仿宋" w:cs="仿宋"/>
                <w:b/>
                <w:bCs/>
                <w:color w:val="auto"/>
                <w:sz w:val="22"/>
              </w:rPr>
              <w:t>对物管项目考评检查的百分制得分，分别乘3%、3%、4%（保留两位小数）后相加。考评检查可委托第三方机构进行。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strike w:val="0"/>
                <w:dstrike w:val="0"/>
                <w:color w:val="auto"/>
                <w:sz w:val="22"/>
              </w:rPr>
            </w:pPr>
            <w:r>
              <w:rPr>
                <w:rFonts w:hint="eastAsia" w:asciiTheme="minorEastAsia" w:hAnsiTheme="minorEastAsia"/>
                <w:b/>
                <w:bCs/>
                <w:strike w:val="0"/>
                <w:dstrike w:val="0"/>
                <w:color w:val="auto"/>
                <w:sz w:val="22"/>
              </w:rPr>
              <w:t>共用设施设备维护情况</w:t>
            </w:r>
          </w:p>
          <w:p>
            <w:pPr>
              <w:keepNext w:val="0"/>
              <w:keepLines w:val="0"/>
              <w:suppressLineNumbers w:val="0"/>
              <w:spacing w:before="0" w:beforeAutospacing="0" w:after="0" w:afterAutospacing="0"/>
              <w:ind w:left="0" w:right="0"/>
              <w:jc w:val="center"/>
              <w:rPr>
                <w:rFonts w:hint="default" w:asciiTheme="minorEastAsia" w:hAnsiTheme="minorEastAsia"/>
                <w:b/>
                <w:bCs/>
                <w:strike w:val="0"/>
                <w:dstrike w:val="0"/>
                <w:color w:val="auto"/>
                <w:sz w:val="22"/>
              </w:rPr>
            </w:pPr>
            <w:r>
              <w:rPr>
                <w:rFonts w:hint="eastAsia" w:asciiTheme="minorEastAsia" w:hAnsiTheme="minorEastAsia"/>
                <w:b/>
                <w:bCs/>
                <w:strike w:val="0"/>
                <w:dstrike w:val="0"/>
                <w:color w:val="auto"/>
                <w:sz w:val="22"/>
              </w:rPr>
              <w:t>（5分）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对共用部位及共用设施设备管理维护不到位，经</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物业主管部门、街道（乡镇）、社区或其他相关职能部门指出问题拒不整改的，每一项扣0.5分；特种设备未签订维保合同或超出检验期限未检验的，每一项扣1分，最多扣5分。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1134" w:type="dxa"/>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信访投诉处理（20分）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市、</w:t>
            </w:r>
            <w:r>
              <w:rPr>
                <w:rFonts w:hint="eastAsia" w:asciiTheme="minorEastAsia" w:hAnsiTheme="minorEastAsia"/>
                <w:b/>
                <w:bCs/>
                <w:color w:val="auto"/>
                <w:sz w:val="22"/>
                <w:lang w:eastAsia="zh-CN"/>
              </w:rPr>
              <w:t>县（市、区）</w:t>
            </w:r>
            <w:r>
              <w:rPr>
                <w:rFonts w:hint="eastAsia" w:asciiTheme="minorEastAsia" w:hAnsiTheme="minorEastAsia"/>
                <w:b/>
                <w:bCs/>
                <w:color w:val="auto"/>
                <w:sz w:val="22"/>
              </w:rPr>
              <w:t>平台信访投诉处理情况（20分）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因物业服务企业原因，造成业主、物业使用人在</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及</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以上投诉平台信访投诉，物业服务企业处理不及时的每一件扣0.4分；信访投诉人对物业服务企业处理结果不满意的，每一件加扣0.6分，物业服务企业认为已妥善处理的可进行申诉（信访人满意的无需申诉），经</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物业主管部门认定，返还相应扣分。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街道（乡镇）物业管理</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（10分）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群众诉求</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业主、物业使用人在向街道（乡镇）提出物业管理方面合理诉求时，物业企业拒不配合或故意拖延整改的，每出现1次扣1分。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联席会议工作</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（2分）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拒不配合街道（乡镇）开展联席会议等街道物业管理工作的，每有1次扣1分。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1134" w:type="dxa"/>
            <w:vMerge w:val="continue"/>
            <w:vAlign w:val="center"/>
          </w:tcPr>
          <w:p>
            <w:pPr>
              <w:keepNext w:val="0"/>
              <w:keepLines w:val="0"/>
              <w:suppressLineNumbers w:val="0"/>
              <w:spacing w:before="0" w:beforeAutospacing="0" w:after="0" w:afterAutospacing="0"/>
              <w:ind w:left="0" w:right="0"/>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业主大会、业主委员会工作</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（2分）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拒不配合街道（乡镇）、社区组织或筹备成立业主大会、选举业主委员会工作的，视情节扣1-2分，未开展此项工作的不扣分。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社区物业管理</w:t>
            </w:r>
          </w:p>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（15分）</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群众诉求</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业主、物业使用人在向社区提出物业管理方面合理诉求时，物业企业拒不配合、故意拖延整改的，每出现1次扣1分。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重点工作落实（3分）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物业企业拒不配合社区开展工作的，每有1次扣1分。向社区报送材料不及时或报送虚假材料的，视情节每有1次扣0.5-1分。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“三会三公开”工作</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拒不配合开展业主恳谈会、人民调解委员会等社区物业管理工作的，每有1次扣1分，最多扣2分；未在显著区域公示服务标准和价格、投诉渠道和方式的，每缺少1项扣1分，物管项目内存在由物业服务企业代为收取、保管的公共收益但未公示的，扣2分，相关信息发生变动后公开公示不及时超过30天的，扣0.5分。</w:t>
            </w:r>
          </w:p>
        </w:tc>
      </w:tr>
    </w:tbl>
    <w:p>
      <w:pPr>
        <w:widowControl/>
        <w:jc w:val="left"/>
        <w:rPr>
          <w:rFonts w:ascii="黑体" w:hAnsi="黑体" w:eastAsia="方正黑体简体"/>
          <w:b/>
          <w:bCs/>
          <w:color w:val="auto"/>
          <w:sz w:val="32"/>
          <w:szCs w:val="32"/>
        </w:rPr>
      </w:pPr>
      <w:r>
        <w:rPr>
          <w:rFonts w:ascii="黑体" w:hAnsi="黑体" w:eastAsia="方正黑体简体"/>
          <w:b/>
          <w:bCs/>
          <w:color w:val="auto"/>
          <w:sz w:val="32"/>
          <w:szCs w:val="32"/>
        </w:rPr>
        <w:br w:type="page"/>
      </w:r>
    </w:p>
    <w:p>
      <w:pPr>
        <w:jc w:val="center"/>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rPr>
        <w:t>丙类　企业不良信用信息</w:t>
      </w:r>
    </w:p>
    <w:tbl>
      <w:tblPr>
        <w:tblStyle w:val="10"/>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36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694"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类别</w:t>
            </w:r>
          </w:p>
        </w:tc>
        <w:tc>
          <w:tcPr>
            <w:tcW w:w="5670" w:type="dxa"/>
            <w:gridSpan w:val="2"/>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企业一般不良信用信息</w:t>
            </w: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政府、物业主管部门重点工作落实情况（10分）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无故缺勤物业主管部门重点工作会议或不按规定报送相关材料的，每次扣0.5分；因思想不重视、行动迟缓等直接影响市、县两级政府重点工作，造成后果的，视情节扣2-4分。最多扣10分。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负面社会影响</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（10分）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被</w:t>
            </w:r>
            <w:r>
              <w:rPr>
                <w:rFonts w:hint="eastAsia" w:ascii="仿宋" w:hAnsi="仿宋" w:eastAsia="仿宋" w:cs="仿宋"/>
                <w:b/>
                <w:bCs/>
                <w:color w:val="auto"/>
                <w:sz w:val="22"/>
                <w:lang w:eastAsia="zh-CN"/>
              </w:rPr>
              <w:t>县（市、区）</w:t>
            </w:r>
            <w:r>
              <w:rPr>
                <w:rFonts w:hint="eastAsia" w:ascii="仿宋" w:hAnsi="仿宋" w:eastAsia="仿宋" w:cs="仿宋"/>
                <w:b/>
                <w:bCs/>
                <w:color w:val="auto"/>
                <w:sz w:val="22"/>
              </w:rPr>
              <w:t>及以上政府部门、官方媒体等通报或曝光的由物业服务企业承担主要责任的物业服务问题，经查属实的，视情节扣0.2-0.5分，整改不到位被再次通报或曝光的，视情节加扣0.4-1分，造成恶劣影响的，视情节加扣0.8-2分。最多扣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违法违规行为</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（8分）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物业服务企业违反相关法律、法规，被物业主管部门或相关执法部门依法下达责令整改通知书的；采取威胁、恐吓、擅自或者变相停水、停电、停用门禁卡、电梯卡等手段强制收取物业费经查属实的，每次扣2分；拒不整改的，每次加扣2分。最多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司法责任</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（6分）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物业服务企业承担主要责任的法院判决、仲裁的生效判决，每一案件扣2分，最多扣6分。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p>
        </w:tc>
        <w:tc>
          <w:tcPr>
            <w:tcW w:w="1560" w:type="dxa"/>
            <w:vAlign w:val="center"/>
          </w:tcPr>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安全生产责任</w:t>
            </w:r>
          </w:p>
          <w:p>
            <w:pPr>
              <w:keepNext w:val="0"/>
              <w:keepLines w:val="0"/>
              <w:suppressLineNumbers w:val="0"/>
              <w:spacing w:before="0" w:beforeAutospacing="0" w:after="0" w:afterAutospacing="0"/>
              <w:ind w:left="0" w:right="0"/>
              <w:jc w:val="center"/>
              <w:rPr>
                <w:rFonts w:hint="default" w:asciiTheme="minorEastAsia" w:hAnsiTheme="minorEastAsia"/>
                <w:b/>
                <w:bCs/>
                <w:color w:val="auto"/>
                <w:sz w:val="22"/>
              </w:rPr>
            </w:pPr>
            <w:r>
              <w:rPr>
                <w:rFonts w:hint="eastAsia" w:asciiTheme="minorEastAsia" w:hAnsiTheme="minorEastAsia"/>
                <w:b/>
                <w:bCs/>
                <w:color w:val="auto"/>
                <w:sz w:val="22"/>
              </w:rPr>
              <w:t>（8分）</w:t>
            </w:r>
          </w:p>
        </w:tc>
        <w:tc>
          <w:tcPr>
            <w:tcW w:w="5670" w:type="dxa"/>
            <w:gridSpan w:val="2"/>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因管理不善发生一般、较大安全责任事故尚未造成严重后果的，每次分别扣2分、4分。最多扣8分。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34" w:type="dxa"/>
            <w:vMerge w:val="restart"/>
            <w:vAlign w:val="center"/>
          </w:tcPr>
          <w:p>
            <w:pPr>
              <w:keepNext w:val="0"/>
              <w:keepLines w:val="0"/>
              <w:suppressLineNumbers w:val="0"/>
              <w:spacing w:before="0" w:beforeAutospacing="0" w:after="0" w:afterAutospacing="0"/>
              <w:ind w:left="0" w:right="0"/>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企业严重不良信用信息</w:t>
            </w: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未按规定履行物业项目退出程序，擅自停止物业服务，或经合法程序解聘后，拒不退出物业项目、移交物业用房及相关资料的，或将一个物业管理区域内的全部物业管理一并委托给其他管理人的</w:t>
            </w:r>
          </w:p>
        </w:tc>
        <w:tc>
          <w:tcPr>
            <w:tcW w:w="1985" w:type="dxa"/>
            <w:vMerge w:val="restart"/>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出现所列行为1次的，信用分值清零，信用等级暂定为C 级（黄牌）。拒不整改、无法补救或出现所列行为超过1次的，信用等级确定为C级（严重失信）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b/>
                <w:bCs/>
                <w:color w:val="auto"/>
                <w:sz w:val="22"/>
                <w:lang w:val="en-US" w:eastAsia="zh-CN"/>
              </w:rPr>
            </w:pPr>
            <w:r>
              <w:rPr>
                <w:rFonts w:hint="eastAsia" w:asciiTheme="minorEastAsia" w:hAnsiTheme="minorEastAsia"/>
                <w:b/>
                <w:bCs/>
                <w:color w:val="auto"/>
                <w:sz w:val="22"/>
              </w:rPr>
              <w:t>擅自侵占、挪用、套用业主公共收益或专项维修资金</w:t>
            </w:r>
            <w:r>
              <w:rPr>
                <w:rFonts w:hint="eastAsia" w:asciiTheme="minorEastAsia" w:hAnsiTheme="minorEastAsia"/>
                <w:b/>
                <w:bCs/>
                <w:color w:val="auto"/>
                <w:sz w:val="22"/>
                <w:lang w:val="en-US" w:eastAsia="zh-CN"/>
              </w:rPr>
              <w:t>的</w:t>
            </w:r>
          </w:p>
        </w:tc>
        <w:tc>
          <w:tcPr>
            <w:tcW w:w="1985" w:type="dxa"/>
            <w:vMerge w:val="continue"/>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因物业服务企业过错造成严重不良后果，影响社会稳定的</w:t>
            </w:r>
          </w:p>
        </w:tc>
        <w:tc>
          <w:tcPr>
            <w:tcW w:w="1985" w:type="dxa"/>
            <w:vMerge w:val="continue"/>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经司法机关或行政机关确认因物业服务企业全部责任或主要责任，发生重大安全事故的</w:t>
            </w:r>
          </w:p>
        </w:tc>
        <w:tc>
          <w:tcPr>
            <w:tcW w:w="1985" w:type="dxa"/>
            <w:vMerge w:val="restart"/>
            <w:vAlign w:val="center"/>
          </w:tcPr>
          <w:p>
            <w:pPr>
              <w:keepNext w:val="0"/>
              <w:keepLines w:val="0"/>
              <w:suppressLineNumbers w:val="0"/>
              <w:spacing w:before="0" w:beforeAutospacing="0" w:after="0" w:afterAutospacing="0"/>
              <w:ind w:left="0" w:right="0"/>
              <w:rPr>
                <w:rFonts w:hint="default" w:ascii="仿宋" w:hAnsi="仿宋" w:eastAsia="仿宋" w:cs="仿宋"/>
                <w:b/>
                <w:bCs/>
                <w:color w:val="auto"/>
                <w:sz w:val="22"/>
              </w:rPr>
            </w:pPr>
            <w:r>
              <w:rPr>
                <w:rFonts w:hint="eastAsia" w:ascii="仿宋" w:hAnsi="仿宋" w:eastAsia="仿宋" w:cs="仿宋"/>
                <w:b/>
                <w:bCs/>
                <w:color w:val="auto"/>
                <w:sz w:val="22"/>
              </w:rPr>
              <w:t>信用等级确定为C级（严重失信）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在物业服务招标投标中有围标、串标等行为，严重破坏市场公平竞争秩序及社会正常秩序的</w:t>
            </w:r>
          </w:p>
        </w:tc>
        <w:tc>
          <w:tcPr>
            <w:tcW w:w="1985" w:type="dxa"/>
            <w:vMerge w:val="continue"/>
            <w:vAlign w:val="center"/>
          </w:tcPr>
          <w:p>
            <w:pPr>
              <w:keepNext w:val="0"/>
              <w:keepLines w:val="0"/>
              <w:suppressLineNumbers w:val="0"/>
              <w:spacing w:before="0" w:beforeAutospacing="0" w:after="0" w:afterAutospacing="0"/>
              <w:ind w:left="0" w:right="0"/>
              <w:rPr>
                <w:rFonts w:hint="default" w:ascii="黑体" w:hAnsi="黑体" w:eastAsia="黑体"/>
                <w:b/>
                <w:bCs/>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1134" w:type="dxa"/>
            <w:vMerge w:val="continue"/>
            <w:vAlign w:val="center"/>
          </w:tcPr>
          <w:p>
            <w:pPr>
              <w:keepNext w:val="0"/>
              <w:keepLines w:val="0"/>
              <w:suppressLineNumbers w:val="0"/>
              <w:spacing w:before="0" w:beforeAutospacing="0" w:after="0" w:afterAutospacing="0"/>
              <w:ind w:left="0" w:right="0"/>
              <w:jc w:val="center"/>
              <w:rPr>
                <w:rFonts w:hint="default" w:ascii="黑体" w:hAnsi="黑体" w:eastAsia="黑体"/>
                <w:b/>
                <w:bCs/>
                <w:color w:val="auto"/>
                <w:sz w:val="20"/>
                <w:szCs w:val="20"/>
              </w:rPr>
            </w:pPr>
          </w:p>
        </w:tc>
        <w:tc>
          <w:tcPr>
            <w:tcW w:w="5245" w:type="dxa"/>
            <w:gridSpan w:val="2"/>
            <w:vAlign w:val="center"/>
          </w:tcPr>
          <w:p>
            <w:pPr>
              <w:keepNext w:val="0"/>
              <w:keepLines w:val="0"/>
              <w:suppressLineNumbers w:val="0"/>
              <w:spacing w:before="0" w:beforeAutospacing="0" w:after="0" w:afterAutospacing="0"/>
              <w:ind w:left="0" w:right="0"/>
              <w:rPr>
                <w:rFonts w:hint="default" w:asciiTheme="minorEastAsia" w:hAnsiTheme="minorEastAsia"/>
                <w:b/>
                <w:bCs/>
                <w:color w:val="auto"/>
                <w:sz w:val="22"/>
              </w:rPr>
            </w:pPr>
            <w:r>
              <w:rPr>
                <w:rFonts w:hint="eastAsia" w:asciiTheme="minorEastAsia" w:hAnsiTheme="minorEastAsia"/>
                <w:b/>
                <w:bCs/>
                <w:color w:val="auto"/>
                <w:sz w:val="22"/>
              </w:rPr>
              <w:t>物业服务企业拒不履行法定义务，严重影响司法机关、行政机关公信力的，包括在司法机关、行政机关作出判决或决定后，有履行能力但拒不履行、逃避执行的</w:t>
            </w:r>
          </w:p>
        </w:tc>
        <w:tc>
          <w:tcPr>
            <w:tcW w:w="1985" w:type="dxa"/>
            <w:vMerge w:val="continue"/>
            <w:vAlign w:val="center"/>
          </w:tcPr>
          <w:p>
            <w:pPr>
              <w:keepNext w:val="0"/>
              <w:keepLines w:val="0"/>
              <w:suppressLineNumbers w:val="0"/>
              <w:spacing w:before="0" w:beforeAutospacing="0" w:after="0" w:afterAutospacing="0"/>
              <w:ind w:left="0" w:right="0"/>
              <w:rPr>
                <w:rFonts w:hint="default" w:ascii="黑体" w:hAnsi="黑体" w:eastAsia="黑体"/>
                <w:b/>
                <w:bCs/>
                <w:color w:val="auto"/>
                <w:sz w:val="20"/>
                <w:szCs w:val="20"/>
              </w:rPr>
            </w:pPr>
          </w:p>
        </w:tc>
      </w:tr>
    </w:tbl>
    <w:p>
      <w:pPr>
        <w:pStyle w:val="2"/>
        <w:spacing w:line="240" w:lineRule="auto"/>
        <w:ind w:left="0" w:leftChars="0" w:firstLine="0" w:firstLineChars="0"/>
        <w:jc w:val="both"/>
        <w:rPr>
          <w:rFonts w:hint="eastAsia" w:ascii="方正仿宋简体" w:hAnsi="方正仿宋简体" w:eastAsia="方正仿宋简体" w:cs="方正仿宋简体"/>
          <w:b/>
          <w:bCs/>
          <w:sz w:val="28"/>
          <w:szCs w:val="28"/>
          <w:vertAlign w:val="baseli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10"/>
        <w:tblpPr w:leftFromText="180" w:rightFromText="180" w:vertAnchor="text" w:horzAnchor="page" w:tblpX="1780" w:tblpY="12292"/>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59" w:hRule="atLeast"/>
        </w:trPr>
        <w:tc>
          <w:tcPr>
            <w:tcW w:w="8522" w:type="dxa"/>
            <w:tcBorders>
              <w:tl2br w:val="nil"/>
              <w:tr2bl w:val="nil"/>
            </w:tcBorders>
            <w:vAlign w:val="center"/>
          </w:tcPr>
          <w:p>
            <w:pPr>
              <w:pStyle w:val="2"/>
              <w:spacing w:line="240" w:lineRule="auto"/>
              <w:ind w:left="0" w:leftChars="0" w:firstLine="0" w:firstLineChars="0"/>
              <w:jc w:val="both"/>
              <w:rPr>
                <w:rFonts w:hint="default" w:ascii="方正仿宋简体" w:hAnsi="方正仿宋简体" w:eastAsia="方正仿宋简体" w:cs="方正仿宋简体"/>
                <w:b/>
                <w:bCs/>
                <w:sz w:val="28"/>
                <w:szCs w:val="28"/>
                <w:vertAlign w:val="baseline"/>
                <w:lang w:val="en-US" w:eastAsia="zh-CN"/>
              </w:rPr>
            </w:pPr>
            <w:r>
              <w:rPr>
                <w:rFonts w:hint="eastAsia" w:ascii="方正仿宋简体" w:hAnsi="方正仿宋简体" w:eastAsia="方正仿宋简体" w:cs="方正仿宋简体"/>
                <w:b/>
                <w:bCs/>
                <w:sz w:val="28"/>
                <w:szCs w:val="28"/>
                <w:vertAlign w:val="baseline"/>
                <w:lang w:val="en-US" w:eastAsia="zh-CN"/>
              </w:rPr>
              <w:t>信息公开属性：此件主动公开</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59" w:hRule="atLeast"/>
        </w:trPr>
        <w:tc>
          <w:tcPr>
            <w:tcW w:w="8522" w:type="dxa"/>
            <w:tcBorders>
              <w:tl2br w:val="nil"/>
              <w:tr2bl w:val="nil"/>
            </w:tcBorders>
            <w:vAlign w:val="center"/>
          </w:tcPr>
          <w:p>
            <w:pPr>
              <w:pStyle w:val="2"/>
              <w:spacing w:line="240" w:lineRule="auto"/>
              <w:ind w:left="0" w:leftChars="0" w:firstLine="0" w:firstLineChars="0"/>
              <w:jc w:val="distribute"/>
              <w:rPr>
                <w:rFonts w:hint="default" w:ascii="方正仿宋简体" w:hAnsi="方正仿宋简体" w:eastAsia="方正仿宋简体" w:cs="方正仿宋简体"/>
                <w:b/>
                <w:bCs/>
                <w:sz w:val="28"/>
                <w:szCs w:val="28"/>
                <w:vertAlign w:val="baseline"/>
                <w:lang w:val="en-US" w:eastAsia="zh-CN"/>
              </w:rPr>
            </w:pPr>
            <w:r>
              <w:rPr>
                <w:rFonts w:hint="eastAsia" w:ascii="方正仿宋简体" w:hAnsi="方正仿宋简体" w:eastAsia="方正仿宋简体" w:cs="方正仿宋简体"/>
                <w:b/>
                <w:bCs/>
                <w:sz w:val="28"/>
                <w:szCs w:val="28"/>
                <w:vertAlign w:val="baseline"/>
                <w:lang w:val="en-US" w:eastAsia="zh-CN"/>
              </w:rPr>
              <w:t>济宁市住房和城乡建设局办公室            2022年5月25日印发</w:t>
            </w:r>
          </w:p>
        </w:tc>
      </w:tr>
    </w:tbl>
    <w:p>
      <w:pPr>
        <w:pStyle w:val="2"/>
        <w:ind w:left="0" w:leftChars="0" w:firstLine="0" w:firstLineChars="0"/>
      </w:pP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Roman 10cpi">
    <w:altName w:val="DejaVu Math TeX Gyre"/>
    <w:panose1 w:val="00000000000000000000"/>
    <w:charset w:val="00"/>
    <w:family w:val="modern"/>
    <w:pitch w:val="default"/>
    <w:sig w:usb0="00000000" w:usb1="00000000" w:usb2="00000000" w:usb3="00000000" w:csb0="00000001" w:csb1="00000000"/>
  </w:font>
  <w:font w:name="方正黑体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楷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J0TUpQaAgAAKwQAAA4AAAAAAAAAAQAgAAAANQEAAGRycy9lMm9Eb2MueG1sUEsFBgAA&#10;AAAGAAYAWQEAAMEFA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01DC2"/>
    <w:rsid w:val="11820503"/>
    <w:rsid w:val="33601DC2"/>
    <w:rsid w:val="6D3318A8"/>
    <w:rsid w:val="7DF7D29D"/>
    <w:rsid w:val="7FE91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99"/>
    <w:pPr>
      <w:snapToGrid w:val="0"/>
      <w:spacing w:line="640" w:lineRule="exact"/>
      <w:ind w:firstLine="705"/>
    </w:pPr>
    <w:rPr>
      <w:rFonts w:ascii="仿宋_GB2312" w:eastAsia="仿宋_GB2312"/>
      <w:color w:val="000000"/>
      <w:sz w:val="36"/>
      <w:szCs w:val="36"/>
    </w:rPr>
  </w:style>
  <w:style w:type="paragraph" w:styleId="3">
    <w:name w:val="Plain Text"/>
    <w:basedOn w:val="1"/>
    <w:qFormat/>
    <w:uiPriority w:val="0"/>
    <w:rPr>
      <w:rFonts w:ascii="宋体" w:hAnsi="Roman 10cpi"/>
      <w:szCs w:val="20"/>
    </w:rPr>
  </w:style>
  <w:style w:type="paragraph" w:styleId="4">
    <w:name w:val="Body Text Indent 2"/>
    <w:basedOn w:val="1"/>
    <w:next w:val="5"/>
    <w:qFormat/>
    <w:uiPriority w:val="0"/>
    <w:pPr>
      <w:ind w:right="1" w:firstLine="720"/>
    </w:pPr>
    <w:rPr>
      <w:rFonts w:ascii="Times New Roman" w:hAnsi="Times New Roman"/>
    </w:rPr>
  </w:style>
  <w:style w:type="paragraph" w:customStyle="1" w:styleId="5">
    <w:name w:val="z正文"/>
    <w:basedOn w:val="3"/>
    <w:qFormat/>
    <w:uiPriority w:val="0"/>
    <w:pPr>
      <w:snapToGrid w:val="0"/>
      <w:spacing w:line="360" w:lineRule="auto"/>
    </w:pPr>
    <w:rPr>
      <w:rFonts w:ascii="Times New Roman" w:hAnsi="宋体"/>
      <w:sz w:val="24"/>
      <w:szCs w:val="24"/>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1"/>
    <w:next w:val="4"/>
    <w:qFormat/>
    <w:uiPriority w:val="0"/>
    <w:pPr>
      <w:ind w:firstLine="420" w:firstLineChars="100"/>
    </w:pPr>
    <w:rPr>
      <w:rFonts w:ascii="Times New Roman" w:hAnsi="Times New Roman"/>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2022-05-23T14:13:00Z</dcterms:created>
  <dc:creator>admin</dc:creator>
  <cp:lastModifiedBy>user</cp:lastModifiedBy>
  <dcterms:modified xsi:type="dcterms:W3CDTF">2022-08-05T14:37:13Z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7ED6232F19394CF5914540CFD98411E4</vt:lpwstr>
  </property>
</Properties>
</file>