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JNCR-2022-0160001</w:t>
      </w:r>
    </w:p>
    <w:p>
      <w:pPr>
        <w:jc w:val="left"/>
        <w:rPr>
          <w:rFonts w:ascii="方正黑体简体" w:hAnsi="方正黑体简体" w:eastAsia="方正黑体简体" w:cs="方正黑体简体"/>
          <w:b/>
          <w:bCs/>
          <w:szCs w:val="32"/>
        </w:rPr>
      </w:pPr>
    </w:p>
    <w:p>
      <w:pPr>
        <w:adjustRightInd w:val="0"/>
        <w:snapToGrid w:val="0"/>
        <w:spacing w:line="700" w:lineRule="exact"/>
        <w:ind w:left="218" w:leftChars="104" w:right="482" w:firstLine="198" w:firstLineChars="45"/>
        <w:jc w:val="center"/>
        <w:rPr>
          <w:rFonts w:ascii="Times New Roman" w:hAnsi="方正小标宋简体" w:eastAsia="方正小标宋简体"/>
          <w:b/>
          <w:bCs/>
          <w:sz w:val="44"/>
          <w:szCs w:val="44"/>
        </w:rPr>
      </w:pPr>
      <w:r>
        <w:rPr>
          <w:rFonts w:ascii="Times New Roman" w:hAnsi="方正小标宋简体" w:eastAsia="方正小标宋简体"/>
          <w:b/>
          <w:bCs/>
          <w:sz w:val="44"/>
          <w:szCs w:val="44"/>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153035</wp:posOffset>
                </wp:positionV>
                <wp:extent cx="5819775" cy="1743075"/>
                <wp:effectExtent l="0" t="0" r="0" b="0"/>
                <wp:wrapNone/>
                <wp:docPr id="2" name="Text Box 2"/>
                <wp:cNvGraphicFramePr/>
                <a:graphic xmlns:a="http://schemas.openxmlformats.org/drawingml/2006/main">
                  <a:graphicData uri="http://schemas.microsoft.com/office/word/2010/wordprocessingShape">
                    <wps:wsp>
                      <wps:cNvSpPr txBox="true">
                        <a:spLocks noChangeArrowheads="true"/>
                      </wps:cNvSpPr>
                      <wps:spPr bwMode="auto">
                        <a:xfrm>
                          <a:off x="0" y="0"/>
                          <a:ext cx="5819775" cy="1743075"/>
                        </a:xfrm>
                        <a:prstGeom prst="rect">
                          <a:avLst/>
                        </a:prstGeom>
                        <a:noFill/>
                        <a:ln>
                          <a:noFill/>
                        </a:ln>
                        <a:effectLst/>
                      </wps:spPr>
                      <wps:txbx>
                        <w:txbxContent>
                          <w:p>
                            <w:pPr>
                              <w:rPr>
                                <w:rFonts w:ascii="方正小标宋简体" w:eastAsia="方正小标宋简体"/>
                                <w:color w:val="FF0000"/>
                                <w:spacing w:val="-20"/>
                                <w:w w:val="50"/>
                                <w:sz w:val="144"/>
                                <w:szCs w:val="144"/>
                              </w:rPr>
                            </w:pPr>
                            <w:r>
                              <w:rPr>
                                <w:rFonts w:hint="eastAsia" w:ascii="方正小标宋简体" w:eastAsia="方正小标宋简体"/>
                                <w:color w:val="FF0000"/>
                                <w:spacing w:val="-20"/>
                                <w:w w:val="50"/>
                                <w:sz w:val="144"/>
                                <w:szCs w:val="144"/>
                              </w:rPr>
                              <w:t>济宁市住房和城乡建设局文件</w:t>
                            </w:r>
                          </w:p>
                        </w:txbxContent>
                      </wps:txbx>
                      <wps:bodyPr rot="0" vert="horz" wrap="square" lIns="91440" tIns="45720" rIns="91440" bIns="45720" anchor="t" anchorCtr="false" upright="true">
                        <a:noAutofit/>
                      </wps:bodyPr>
                    </wps:wsp>
                  </a:graphicData>
                </a:graphic>
              </wp:anchor>
            </w:drawing>
          </mc:Choice>
          <mc:Fallback>
            <w:pict>
              <v:shape id="Text Box 2" o:spid="_x0000_s1026" o:spt="202" type="#_x0000_t202" style="position:absolute;left:0pt;margin-left:-10.5pt;margin-top:12.05pt;height:137.25pt;width:458.25pt;z-index:251659264;mso-width-relative:page;mso-height-relative:page;" filled="f" stroked="f" coordsize="21600,21600" o:gfxdata="UEsFBgAAAAAAAAAAAAAAAAAAAAAAAFBLAwQKAAAAAACHTuJAAAAAAAAAAAAAAAAABAAAAGRycy9Q&#10;SwMEFAAAAAgAh07iQNUNYenYAAAACgEAAA8AAABkcnMvZG93bnJldi54bWxNj81OwzAQhO9IvIO1&#10;SNxaO1FTJWmcHkBcQZQfiZsbb5Oo8TqK3Sa8PcsJjrMzmv2m2i9uEFecQu9JQ7JWIJAab3tqNby/&#10;Pa1yECEasmbwhBq+McC+vr2pTGn9TK94PcRWcAmF0mjoYhxLKUPToTNh7Uck9k5+ciaynFppJzNz&#10;uRtkqtRWOtMTf+jMiA8dNufDxWn4eD59fW7US/vosnH2i5LkCqn1/V2idiAiLvEvDL/4jA41Mx39&#10;hWwQg4ZVmvCWqCHdJCA4kBdZBuLIhyLfgqwr+X9C/QNQSwMEFAAAAAgAh07iQPJtzJH3AQAA4gMA&#10;AA4AAABkcnMvZTJvRG9jLnhtbK1T227bMAx9H7B/EPS+OMmSpTXiFF2LDgO6C9DuAxhZioXZokYp&#10;sbuvHyWnaba9DXsRxIsOzyGp9dXQteKgKVh0lZxNplJop7C2blfJb493by6kCBFcDS06XcknHeTV&#10;5vWrde9LPccG21qTYBAXyt5XsonRl0URVKM7CBP02nHQIHUQ2aRdURP0jN61xXw6fVf0SLUnVDoE&#10;9t6OQbnJ+MZoFb8YE3QUbSWZW8wn5XObzmKzhnJH4BurjjTgH1h0YB0XPUHdQgSxJ/sXVGcVYUAT&#10;Jwq7Ao2xSmcNrGY2/UPNQwNeZy3cnOBPbQr/D1Z9PnwlYetKzqVw0PGIHvUQxXscxDx1p/eh5KQH&#10;z2lxYHclI+0TKyiDv0f1PQiHNw24nb4mwr7RUDPBnMTvizOAES0kqG3/CWsuBvuIGWsw1CVMbong&#10;Gjyrp9N8EiHFzuXF7HK1WkqhODZbLd5O2Ug1oHx+7inEDxo7kS6VJF6ADA+H+xDH1OeUVM3hnW1b&#10;9kPZut8cjDl6dN6i4+skJvEflcRhO/Db5Nxi/cSyCMcN4x/BlwbppxQ9b1clw489kJai/ei4O5ez&#10;xSKtYzYWy9WcDTqPbM8j4BRDcU+lGK83kS0DbWDAvSe7a7jaaSwOr7mrxma9L+SOs+BFyh07Ln3a&#10;1HM7Z718zc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1Q1h6dgAAAAKAQAADwAAAAAAAAABACAA&#10;AAA4AAAAZHJzL2Rvd25yZXYueG1sUEsBAhQAFAAAAAgAh07iQPJtzJH3AQAA4gMAAA4AAAAAAAAA&#10;AQAgAAAAPQEAAGRycy9lMm9Eb2MueG1sUEsFBgAAAAAGAAYAWQEAAKYFAAAAAA==&#10;">
                <v:fill on="f" focussize="0,0"/>
                <v:stroke on="f"/>
                <v:imagedata o:title=""/>
                <o:lock v:ext="edit" aspectratio="f"/>
                <v:textbox>
                  <w:txbxContent>
                    <w:p>
                      <w:pPr>
                        <w:rPr>
                          <w:rFonts w:ascii="方正小标宋简体" w:eastAsia="方正小标宋简体"/>
                          <w:color w:val="FF0000"/>
                          <w:spacing w:val="-20"/>
                          <w:w w:val="50"/>
                          <w:sz w:val="144"/>
                          <w:szCs w:val="144"/>
                        </w:rPr>
                      </w:pPr>
                      <w:r>
                        <w:rPr>
                          <w:rFonts w:hint="eastAsia" w:ascii="方正小标宋简体" w:eastAsia="方正小标宋简体"/>
                          <w:color w:val="FF0000"/>
                          <w:spacing w:val="-20"/>
                          <w:w w:val="50"/>
                          <w:sz w:val="144"/>
                          <w:szCs w:val="144"/>
                        </w:rPr>
                        <w:t>济宁市住房和城乡建设局文件</w:t>
                      </w:r>
                    </w:p>
                  </w:txbxContent>
                </v:textbox>
              </v:shape>
            </w:pict>
          </mc:Fallback>
        </mc:AlternateContent>
      </w:r>
    </w:p>
    <w:p>
      <w:pPr>
        <w:adjustRightInd w:val="0"/>
        <w:snapToGrid w:val="0"/>
        <w:spacing w:line="700" w:lineRule="exact"/>
        <w:ind w:left="218" w:leftChars="104" w:right="482" w:firstLine="198" w:firstLineChars="45"/>
        <w:jc w:val="center"/>
        <w:rPr>
          <w:rFonts w:ascii="Times New Roman" w:hAnsi="方正小标宋简体" w:eastAsia="方正小标宋简体"/>
          <w:b/>
          <w:bCs/>
          <w:sz w:val="44"/>
          <w:szCs w:val="44"/>
        </w:rPr>
      </w:pPr>
    </w:p>
    <w:p>
      <w:pPr>
        <w:adjustRightInd w:val="0"/>
        <w:snapToGrid w:val="0"/>
        <w:spacing w:line="700" w:lineRule="exact"/>
        <w:ind w:left="218" w:leftChars="104" w:right="482" w:firstLine="198" w:firstLineChars="45"/>
        <w:jc w:val="center"/>
        <w:rPr>
          <w:rFonts w:ascii="Times New Roman" w:hAnsi="方正小标宋简体" w:eastAsia="方正小标宋简体"/>
          <w:b/>
          <w:bCs/>
          <w:sz w:val="44"/>
          <w:szCs w:val="44"/>
        </w:rPr>
      </w:pPr>
    </w:p>
    <w:p>
      <w:pPr>
        <w:adjustRightInd w:val="0"/>
        <w:snapToGrid w:val="0"/>
        <w:spacing w:line="700" w:lineRule="exact"/>
        <w:ind w:left="218" w:leftChars="104" w:right="482" w:firstLine="198" w:firstLineChars="45"/>
        <w:jc w:val="center"/>
        <w:rPr>
          <w:rFonts w:ascii="Times New Roman" w:hAnsi="方正小标宋简体" w:eastAsia="方正小标宋简体"/>
          <w:b/>
          <w:bCs/>
          <w:sz w:val="44"/>
          <w:szCs w:val="44"/>
        </w:rPr>
      </w:pPr>
    </w:p>
    <w:p>
      <w:pPr>
        <w:adjustRightInd w:val="0"/>
        <w:snapToGrid w:val="0"/>
        <w:spacing w:line="700" w:lineRule="exact"/>
        <w:ind w:left="218" w:leftChars="104" w:right="482" w:firstLine="94" w:firstLineChars="45"/>
        <w:jc w:val="center"/>
        <w:rPr>
          <w:rFonts w:ascii="仿宋" w:hAnsi="仿宋"/>
          <w:b/>
          <w:bCs/>
          <w:szCs w:val="32"/>
        </w:rPr>
      </w:pPr>
    </w:p>
    <w:p>
      <w:pPr>
        <w:jc w:val="center"/>
        <w:rPr>
          <w:rFonts w:ascii="方正仿宋简体" w:hAnsi="仿宋" w:eastAsia="方正仿宋简体" w:cs="Times New Roman"/>
          <w:b/>
          <w:sz w:val="32"/>
          <w:szCs w:val="32"/>
        </w:rPr>
      </w:pPr>
      <w:r>
        <w:rPr>
          <w:rFonts w:hint="eastAsia" w:ascii="方正仿宋简体" w:hAnsi="仿宋" w:eastAsia="方正仿宋简体" w:cs="Times New Roman"/>
          <w:b/>
          <w:sz w:val="32"/>
          <w:szCs w:val="32"/>
        </w:rPr>
        <w:t>济建</w:t>
      </w:r>
      <w:r>
        <w:rPr>
          <w:rFonts w:hint="eastAsia" w:ascii="方正仿宋简体" w:hAnsi="仿宋" w:eastAsia="方正仿宋简体" w:cs="Times New Roman"/>
          <w:b/>
          <w:sz w:val="32"/>
          <w:szCs w:val="32"/>
          <w:lang w:eastAsia="zh-CN"/>
        </w:rPr>
        <w:t>物字</w:t>
      </w:r>
      <w:r>
        <w:rPr>
          <w:rFonts w:hint="eastAsia" w:ascii="方正仿宋简体" w:hAnsi="仿宋" w:eastAsia="方正仿宋简体" w:cs="Times New Roman"/>
          <w:b/>
          <w:sz w:val="32"/>
          <w:szCs w:val="32"/>
        </w:rPr>
        <w:t>〔2022〕</w:t>
      </w:r>
      <w:r>
        <w:rPr>
          <w:rFonts w:hint="eastAsia" w:ascii="方正仿宋简体" w:hAnsi="仿宋" w:eastAsia="方正仿宋简体" w:cs="Times New Roman"/>
          <w:b/>
          <w:sz w:val="32"/>
          <w:szCs w:val="32"/>
          <w:lang w:val="en-US" w:eastAsia="zh-CN"/>
        </w:rPr>
        <w:t>6</w:t>
      </w:r>
      <w:r>
        <w:rPr>
          <w:rFonts w:hint="eastAsia" w:ascii="方正仿宋简体" w:hAnsi="仿宋" w:eastAsia="方正仿宋简体" w:cs="Times New Roman"/>
          <w:b/>
          <w:sz w:val="32"/>
          <w:szCs w:val="32"/>
        </w:rPr>
        <w:t>号</w:t>
      </w:r>
    </w:p>
    <w:p>
      <w:pPr>
        <w:adjustRightInd w:val="0"/>
        <w:snapToGrid w:val="0"/>
        <w:spacing w:line="700" w:lineRule="exact"/>
        <w:ind w:left="218" w:leftChars="104" w:right="482" w:firstLine="198" w:firstLineChars="45"/>
        <w:jc w:val="center"/>
        <w:rPr>
          <w:rFonts w:ascii="Times New Roman" w:hAnsi="方正小标宋简体" w:eastAsia="方正小标宋简体"/>
          <w:b/>
          <w:bCs/>
          <w:sz w:val="44"/>
          <w:szCs w:val="44"/>
        </w:rPr>
      </w:pPr>
      <w:r>
        <w:rPr>
          <w:rFonts w:ascii="Times New Roman" w:hAnsi="方正小标宋简体" w:eastAsia="方正小标宋简体"/>
          <w:b/>
          <w:bCs/>
          <w:sz w:val="44"/>
          <w:szCs w:val="44"/>
        </w:rPr>
        <mc:AlternateContent>
          <mc:Choice Requires="wps">
            <w:drawing>
              <wp:anchor distT="0" distB="0" distL="114300" distR="114300" simplePos="0" relativeHeight="251660288" behindDoc="0" locked="0" layoutInCell="1" allowOverlap="1">
                <wp:simplePos x="0" y="0"/>
                <wp:positionH relativeFrom="column">
                  <wp:posOffset>-58420</wp:posOffset>
                </wp:positionH>
                <wp:positionV relativeFrom="paragraph">
                  <wp:posOffset>102870</wp:posOffset>
                </wp:positionV>
                <wp:extent cx="5638800" cy="9525"/>
                <wp:effectExtent l="0" t="0" r="0" b="0"/>
                <wp:wrapNone/>
                <wp:docPr id="3" name="AutoShape 3"/>
                <wp:cNvGraphicFramePr/>
                <a:graphic xmlns:a="http://schemas.openxmlformats.org/drawingml/2006/main">
                  <a:graphicData uri="http://schemas.microsoft.com/office/word/2010/wordprocessingShape">
                    <wps:wsp>
                      <wps:cNvCnPr>
                        <a:cxnSpLocks noChangeShapeType="true"/>
                      </wps:cNvCnPr>
                      <wps:spPr bwMode="auto">
                        <a:xfrm>
                          <a:off x="0" y="0"/>
                          <a:ext cx="5638800" cy="9525"/>
                        </a:xfrm>
                        <a:prstGeom prst="straightConnector1">
                          <a:avLst/>
                        </a:prstGeom>
                        <a:noFill/>
                        <a:ln w="12700">
                          <a:solidFill>
                            <a:srgbClr val="FF0000"/>
                          </a:solidFill>
                          <a:round/>
                        </a:ln>
                        <a:effectLst/>
                      </wps:spPr>
                      <wps:bodyPr/>
                    </wps:wsp>
                  </a:graphicData>
                </a:graphic>
              </wp:anchor>
            </w:drawing>
          </mc:Choice>
          <mc:Fallback>
            <w:pict>
              <v:shape id="AutoShape 3" o:spid="_x0000_s1026" o:spt="32" type="#_x0000_t32" style="position:absolute;left:0pt;margin-left:-4.6pt;margin-top:8.1pt;height:0.75pt;width:444pt;z-index:251660288;mso-width-relative:page;mso-height-relative:page;" filled="f" stroked="t" coordsize="21600,21600" o:gfxdata="UEsFBgAAAAAAAAAAAAAAAAAAAAAAAFBLAwQKAAAAAACHTuJAAAAAAAAAAAAAAAAABAAAAGRycy9Q&#10;SwMEFAAAAAgAh07iQFBc5ZrTAAAACAEAAA8AAABkcnMvZG93bnJldi54bWxNT01PwkAQvZvwHzZj&#10;4g22kEhr7ZYDwSMHq5BwG7pjW+3ONt0F6r93POlp8j7y5r1iM7leXWkMnWcDy0UCirj2tuPGwPvb&#10;yzwDFSKyxd4zGfimAJtydldgbv2NX+laxUZJCIccDbQxDrnWoW7JYVj4gVi0Dz86jALHRtsRbxLu&#10;er1KkrV22LF8aHGgbUv1V3VxBnbbYeLG28OnPTHh3sXH6rg35uF+mTyDijTFPzP81pfqUEqns7+w&#10;Dao3MH9aiVP4tVzRszSTKWch0hR0Wej/A8ofUEsDBBQAAAAIAIdO4kD4Ent7xgEAAHkDAAAOAAAA&#10;ZHJzL2Uyb0RvYy54bWytU01v2zAMvQ/YfxB0X+wkSJcZcYohRXbptgDtfoAiybYwWRQoJXb+/Sjl&#10;o+12G+qDYIrke+Qjtbofe8uOGoMBV/PppORMOwnKuLbmv563n5achSicEhacrvlJB36//vhhNfhK&#10;z6ADqzQyAnGhGnzNuxh9VRRBdroXYQJeO3I2gL2IZGJbKBQDofe2mJXlXTEAKo8gdQh0+3B28nXG&#10;bxot48+mCToyW3OqLeYT87lPZ7FeiapF4TsjL2WI/6iiF8YR6Q3qQUTBDmj+geqNRAjQxImEvoCm&#10;MVLnHqibaflXN0+d8Dr3QuIEf5MpvB+s/HHcITOq5nPOnOhpRF8PETIzmyd5Bh8qitq4HaYG5eie&#10;/CPI34E52HTCtToHP5885UY86JRUvMlKRvDEsx++g6IwQRRZrrHBPqGSEGzMUzndpqLHyCRdLu7m&#10;y2VJw5Pk+7KYLTKBqK65HkP8pqFn6afmIaIwbRc34ByNH3CamcTxMcRUmaiuCYnYwdZYm7fAOjbQ&#10;Cs8+E1dyBbBGJW82sN1vLLKjoEXabkv6LmW8CUM4OHVmsS7l6byDF+qrDmdR96BOO7yKRfPNxV12&#10;MS3QaztL+vJi1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UFzlmtMAAAAIAQAADwAAAAAAAAAB&#10;ACAAAAA4AAAAZHJzL2Rvd25yZXYueG1sUEsBAhQAFAAAAAgAh07iQPgSe3vGAQAAeQMAAA4AAAAA&#10;AAAAAQAgAAAAOAEAAGRycy9lMm9Eb2MueG1sUEsFBgAAAAAGAAYAWQEAAHAFAAAAAA==&#10;">
                <v:fill on="f" focussize="0,0"/>
                <v:stroke weight="1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ascii="方正小标宋简体" w:hAnsi="文星仿宋" w:eastAsia="方正小标宋简体" w:cs="方正小标宋简体"/>
          <w:b/>
          <w:color w:val="000000"/>
          <w:sz w:val="44"/>
          <w:szCs w:val="44"/>
        </w:rPr>
      </w:pPr>
      <w:r>
        <w:rPr>
          <w:rFonts w:ascii="Times New Roman" w:hAnsi="方正小标宋简体" w:eastAsia="方正小标宋简体"/>
          <w:b/>
          <w:bCs/>
          <w:sz w:val="44"/>
          <w:szCs w:val="44"/>
        </w:rPr>
        <w:t>济宁市住房和城乡建设局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s="宋体"/>
          <w:b/>
          <w:bCs/>
          <w:color w:val="auto"/>
          <w:kern w:val="0"/>
          <w:sz w:val="44"/>
          <w:szCs w:val="44"/>
        </w:rPr>
      </w:pPr>
      <w:bookmarkStart w:id="0" w:name="BKsubject"/>
      <w:r>
        <w:rPr>
          <w:rFonts w:hint="eastAsia" w:ascii="方正小标宋简体" w:hAnsi="文星仿宋" w:eastAsia="方正小标宋简体" w:cs="方正小标宋简体"/>
          <w:b/>
          <w:sz w:val="44"/>
          <w:szCs w:val="44"/>
          <w:lang w:bidi="ar"/>
        </w:rPr>
        <w:t>关于印发《</w:t>
      </w:r>
      <w:r>
        <w:rPr>
          <w:rFonts w:hint="eastAsia" w:ascii="方正小标宋简体" w:hAnsi="仿宋" w:eastAsia="方正小标宋简体" w:cs="宋体"/>
          <w:b/>
          <w:bCs/>
          <w:color w:val="auto"/>
          <w:kern w:val="0"/>
          <w:sz w:val="44"/>
          <w:szCs w:val="44"/>
        </w:rPr>
        <w:t>济宁市物业服务企业信用信息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文星仿宋" w:eastAsia="方正小标宋简体" w:cs="方正小标宋简体"/>
          <w:b/>
          <w:sz w:val="44"/>
          <w:szCs w:val="44"/>
        </w:rPr>
      </w:pPr>
      <w:r>
        <w:rPr>
          <w:rFonts w:hint="eastAsia" w:ascii="方正小标宋简体" w:hAnsi="仿宋" w:eastAsia="方正小标宋简体" w:cs="宋体"/>
          <w:b/>
          <w:bCs/>
          <w:color w:val="auto"/>
          <w:kern w:val="0"/>
          <w:sz w:val="44"/>
          <w:szCs w:val="44"/>
        </w:rPr>
        <w:t>管理办法</w:t>
      </w:r>
      <w:r>
        <w:rPr>
          <w:rFonts w:hint="eastAsia" w:ascii="方正小标宋简体" w:hAnsi="文星仿宋" w:eastAsia="方正小标宋简体" w:cs="方正小标宋简体"/>
          <w:b/>
          <w:sz w:val="44"/>
          <w:szCs w:val="44"/>
          <w:lang w:bidi="ar"/>
        </w:rPr>
        <w:t>》的通知</w:t>
      </w:r>
      <w:bookmarkEnd w:id="0"/>
    </w:p>
    <w:p>
      <w:pPr>
        <w:keepNext w:val="0"/>
        <w:keepLines w:val="0"/>
        <w:pageBreakBefore w:val="0"/>
        <w:widowControl w:val="0"/>
        <w:kinsoku/>
        <w:overflowPunct/>
        <w:topLinePunct w:val="0"/>
        <w:autoSpaceDE/>
        <w:autoSpaceDN/>
        <w:bidi w:val="0"/>
        <w:adjustRightInd/>
        <w:snapToGrid/>
        <w:spacing w:line="560" w:lineRule="exact"/>
        <w:textAlignment w:val="auto"/>
        <w:rPr>
          <w:rFonts w:ascii="方正仿宋简体" w:hAnsi="文星仿宋" w:eastAsia="方正仿宋简体" w:cs="方正仿宋简体"/>
          <w:b/>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简体" w:hAnsi="文星仿宋" w:eastAsia="方正仿宋简体" w:cs="方正仿宋简体"/>
          <w:b/>
        </w:rPr>
      </w:pPr>
      <w:r>
        <w:rPr>
          <w:rFonts w:hint="eastAsia" w:ascii="方正仿宋简体" w:hAnsi="仿宋" w:eastAsia="方正仿宋简体" w:cs="Times New Roman"/>
          <w:b/>
          <w:sz w:val="32"/>
          <w:szCs w:val="32"/>
        </w:rPr>
        <w:t>市住房保障和房地产发展事务中心，各县（市、区）住房和城乡建设局，济宁高新区城乡建设和交通局、太白湖新区建设局、济宁经济技术开发区城乡建设和交通局，汶上县住房保障和房地产发展中心，济宁市物业管理服务协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仿宋简体" w:hAnsi="方正仿宋简体" w:eastAsia="方正仿宋简体" w:cs="方正仿宋简体"/>
          <w:b/>
          <w:sz w:val="32"/>
        </w:rPr>
      </w:pPr>
      <w:r>
        <w:rPr>
          <w:rFonts w:hint="eastAsia" w:ascii="方正仿宋简体" w:hAnsi="方正仿宋简体" w:eastAsia="方正仿宋简体" w:cs="方正仿宋简体"/>
          <w:b/>
          <w:sz w:val="32"/>
        </w:rPr>
        <w:t>现将《济宁市物业服务企业信用信息管理办法</w:t>
      </w:r>
      <w:r>
        <w:rPr>
          <w:rFonts w:ascii="方正仿宋简体" w:hAnsi="方正仿宋简体" w:eastAsia="方正仿宋简体" w:cs="方正仿宋简体"/>
          <w:b/>
          <w:sz w:val="32"/>
        </w:rPr>
        <w:t>》印发给你们，请</w:t>
      </w:r>
      <w:r>
        <w:rPr>
          <w:rFonts w:hint="eastAsia" w:ascii="方正仿宋简体" w:hAnsi="方正仿宋简体" w:eastAsia="方正仿宋简体" w:cs="方正仿宋简体"/>
          <w:b/>
          <w:sz w:val="32"/>
        </w:rPr>
        <w:t>结合实际，</w:t>
      </w:r>
      <w:r>
        <w:rPr>
          <w:rFonts w:ascii="方正仿宋简体" w:hAnsi="方正仿宋简体" w:eastAsia="方正仿宋简体" w:cs="方正仿宋简体"/>
          <w:b/>
          <w:sz w:val="32"/>
        </w:rPr>
        <w:t>认真贯彻执行。</w:t>
      </w:r>
    </w:p>
    <w:p>
      <w:pPr>
        <w:keepNext w:val="0"/>
        <w:keepLines w:val="0"/>
        <w:pageBreakBefore w:val="0"/>
        <w:widowControl w:val="0"/>
        <w:kinsoku/>
        <w:overflowPunct/>
        <w:topLinePunct w:val="0"/>
        <w:autoSpaceDE/>
        <w:autoSpaceDN/>
        <w:bidi w:val="0"/>
        <w:adjustRightInd/>
        <w:snapToGrid/>
        <w:spacing w:line="560" w:lineRule="exact"/>
        <w:ind w:firstLine="642" w:firstLineChars="200"/>
        <w:textAlignment w:val="auto"/>
        <w:rPr>
          <w:rFonts w:ascii="方正仿宋简体" w:hAnsi="文星仿宋" w:eastAsia="方正仿宋简体" w:cs="方正仿宋简体"/>
          <w:b/>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934" w:rightChars="445" w:firstLine="642" w:firstLineChars="200"/>
        <w:jc w:val="right"/>
        <w:textAlignment w:val="auto"/>
        <w:rPr>
          <w:rFonts w:ascii="方正仿宋简体" w:hAnsi="文星仿宋" w:eastAsia="方正仿宋简体" w:cs="方正仿宋简体"/>
          <w:b/>
        </w:rPr>
      </w:pPr>
      <w:r>
        <w:rPr>
          <w:rFonts w:hint="eastAsia" w:ascii="方正仿宋简体" w:hAnsi="仿宋" w:eastAsia="方正仿宋简体"/>
          <w:b/>
          <w:sz w:val="32"/>
          <w:szCs w:val="32"/>
          <w:lang w:val="en-US" w:eastAsia="zh-CN"/>
        </w:rPr>
        <w:t xml:space="preserve">  </w:t>
      </w:r>
      <w:r>
        <w:rPr>
          <w:rFonts w:hint="eastAsia" w:ascii="方正仿宋简体" w:hAnsi="仿宋" w:eastAsia="方正仿宋简体"/>
          <w:b/>
          <w:sz w:val="32"/>
          <w:szCs w:val="32"/>
        </w:rPr>
        <w:t>济宁市住房和城乡建设局</w:t>
      </w:r>
      <w:r>
        <w:rPr>
          <w:rFonts w:hint="eastAsia" w:ascii="方正仿宋简体" w:hAnsi="文星仿宋" w:eastAsia="方正仿宋简体" w:cs="方正仿宋简体"/>
          <w:b/>
          <w:sz w:val="32"/>
          <w:szCs w:val="32"/>
          <w:lang w:bidi="ar"/>
        </w:rPr>
        <w:t xml:space="preserve"> </w:t>
      </w:r>
    </w:p>
    <w:p>
      <w:pPr>
        <w:keepNext w:val="0"/>
        <w:keepLines w:val="0"/>
        <w:pageBreakBefore w:val="0"/>
        <w:widowControl w:val="0"/>
        <w:kinsoku/>
        <w:overflowPunct/>
        <w:topLinePunct w:val="0"/>
        <w:autoSpaceDE/>
        <w:autoSpaceDN/>
        <w:bidi w:val="0"/>
        <w:adjustRightInd/>
        <w:snapToGrid/>
        <w:spacing w:line="560" w:lineRule="exact"/>
        <w:ind w:right="1592" w:rightChars="758"/>
        <w:jc w:val="right"/>
        <w:textAlignment w:val="auto"/>
        <w:rPr>
          <w:rFonts w:hint="eastAsia" w:ascii="方正小标宋简体" w:hAnsi="仿宋" w:eastAsia="方正小标宋简体" w:cs="宋体"/>
          <w:b/>
          <w:bCs/>
          <w:color w:val="auto"/>
          <w:kern w:val="0"/>
          <w:sz w:val="44"/>
          <w:szCs w:val="44"/>
        </w:rPr>
      </w:pPr>
      <w:r>
        <w:rPr>
          <w:rFonts w:hint="eastAsia" w:ascii="方正仿宋简体" w:hAnsi="文星仿宋" w:eastAsia="方正仿宋简体" w:cs="方正仿宋简体"/>
          <w:b/>
          <w:sz w:val="32"/>
          <w:szCs w:val="32"/>
          <w:lang w:bidi="ar"/>
        </w:rPr>
        <w:t>2022年</w:t>
      </w:r>
      <w:r>
        <w:rPr>
          <w:rFonts w:hint="eastAsia" w:ascii="方正仿宋简体" w:hAnsi="文星仿宋" w:eastAsia="方正仿宋简体" w:cs="方正仿宋简体"/>
          <w:b/>
          <w:sz w:val="32"/>
          <w:szCs w:val="32"/>
          <w:lang w:val="en-US" w:eastAsia="zh-CN" w:bidi="ar"/>
        </w:rPr>
        <w:t>5</w:t>
      </w:r>
      <w:r>
        <w:rPr>
          <w:rFonts w:hint="eastAsia" w:ascii="方正仿宋简体" w:hAnsi="文星仿宋" w:eastAsia="方正仿宋简体" w:cs="方正仿宋简体"/>
          <w:b/>
          <w:sz w:val="32"/>
          <w:szCs w:val="32"/>
          <w:lang w:bidi="ar"/>
        </w:rPr>
        <w:t>月</w:t>
      </w:r>
      <w:r>
        <w:rPr>
          <w:rFonts w:hint="eastAsia" w:ascii="方正仿宋简体" w:hAnsi="文星仿宋" w:eastAsia="方正仿宋简体" w:cs="方正仿宋简体"/>
          <w:b/>
          <w:sz w:val="32"/>
          <w:szCs w:val="32"/>
          <w:lang w:val="en-US" w:eastAsia="zh-CN" w:bidi="ar"/>
        </w:rPr>
        <w:t>25</w:t>
      </w:r>
      <w:r>
        <w:rPr>
          <w:rFonts w:hint="eastAsia" w:ascii="方正仿宋简体" w:hAnsi="文星仿宋" w:eastAsia="方正仿宋简体" w:cs="方正仿宋简体"/>
          <w:b/>
          <w:sz w:val="32"/>
          <w:szCs w:val="32"/>
          <w:lang w:bidi="ar"/>
        </w:rPr>
        <w:t>日</w:t>
      </w:r>
      <w:r>
        <w:rPr>
          <w:rFonts w:hint="eastAsia" w:ascii="方正小标宋简体" w:hAnsi="仿宋" w:eastAsia="方正小标宋简体" w:cs="宋体"/>
          <w:b/>
          <w:bCs/>
          <w:color w:val="auto"/>
          <w:kern w:val="0"/>
          <w:sz w:val="44"/>
          <w:szCs w:val="44"/>
        </w:rPr>
        <w:br w:type="page"/>
      </w:r>
    </w:p>
    <w:p>
      <w:pPr>
        <w:pStyle w:val="8"/>
        <w:rPr>
          <w:rFonts w:hint="eastAsia"/>
        </w:rPr>
      </w:pPr>
    </w:p>
    <w:p>
      <w:pPr>
        <w:pStyle w:val="8"/>
        <w:rPr>
          <w:rFonts w:hint="eastAsia"/>
        </w:rPr>
      </w:pPr>
    </w:p>
    <w:p>
      <w:pPr>
        <w:widowControl/>
        <w:spacing w:line="600" w:lineRule="exact"/>
        <w:jc w:val="center"/>
        <w:rPr>
          <w:rFonts w:hint="eastAsia" w:ascii="方正小标宋简体" w:hAnsi="仿宋" w:eastAsia="方正小标宋简体" w:cs="宋体"/>
          <w:b/>
          <w:bCs/>
          <w:strike/>
          <w:dstrike w:val="0"/>
          <w:color w:val="auto"/>
          <w:kern w:val="0"/>
          <w:sz w:val="44"/>
          <w:szCs w:val="44"/>
          <w:lang w:eastAsia="zh-CN"/>
        </w:rPr>
      </w:pPr>
      <w:r>
        <w:rPr>
          <w:rFonts w:hint="eastAsia" w:ascii="方正小标宋简体" w:hAnsi="仿宋" w:eastAsia="方正小标宋简体" w:cs="宋体"/>
          <w:b/>
          <w:bCs/>
          <w:color w:val="auto"/>
          <w:kern w:val="0"/>
          <w:sz w:val="44"/>
          <w:szCs w:val="44"/>
        </w:rPr>
        <w:t>济宁市物业服务企业信用信息管理办法</w:t>
      </w:r>
    </w:p>
    <w:p>
      <w:pPr>
        <w:keepNext w:val="0"/>
        <w:keepLines w:val="0"/>
        <w:pageBreakBefore w:val="0"/>
        <w:widowControl/>
        <w:kinsoku/>
        <w:wordWrap/>
        <w:overflowPunct/>
        <w:topLinePunct w:val="0"/>
        <w:autoSpaceDE/>
        <w:autoSpaceDN/>
        <w:bidi w:val="0"/>
        <w:adjustRightInd/>
        <w:snapToGrid/>
        <w:spacing w:line="600" w:lineRule="exact"/>
        <w:ind w:firstLine="408"/>
        <w:textAlignment w:val="auto"/>
        <w:rPr>
          <w:rFonts w:ascii="仿宋_GB2312" w:hAnsi="微软雅黑" w:eastAsia="仿宋_GB2312" w:cs="宋体"/>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第一章　总　则</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方正黑体简体" w:cs="宋体"/>
          <w:b/>
          <w:bCs/>
          <w:color w:val="auto"/>
          <w:kern w:val="0"/>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第一条</w:t>
      </w:r>
      <w:r>
        <w:rPr>
          <w:rFonts w:hint="eastAsia" w:ascii="方正仿宋简体" w:hAnsi="方正仿宋简体" w:eastAsia="方正仿宋简体" w:cs="宋体"/>
          <w:b/>
          <w:bCs/>
          <w:color w:val="auto"/>
          <w:kern w:val="0"/>
          <w:sz w:val="32"/>
          <w:szCs w:val="32"/>
        </w:rPr>
        <w:t>　为推进我市物业服务行业信用体系建设，构建以信用为基础的新型监管机制，促进物业服务企业诚信自律，根据《企业信息公示暂行条例》《山东省物业管理条例》《山东省公共信用信息管理办法》《山东省物业服务企业信用信息管理办法》等有关法规政策规定，结合我市实际，制定本办法。</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第二条</w:t>
      </w:r>
      <w:r>
        <w:rPr>
          <w:rFonts w:hint="eastAsia" w:ascii="方正仿宋简体" w:hAnsi="方正仿宋简体" w:eastAsia="方正仿宋简体" w:cs="宋体"/>
          <w:b/>
          <w:bCs/>
          <w:color w:val="auto"/>
          <w:kern w:val="0"/>
          <w:sz w:val="32"/>
          <w:szCs w:val="32"/>
        </w:rPr>
        <w:t>　本办法所称信用信息，是指物业服务企业在我市行政区域内开展物业服务活动过程中产生的，反映其信用状况的数据和资料。</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第三条</w:t>
      </w:r>
      <w:r>
        <w:rPr>
          <w:rFonts w:hint="eastAsia" w:ascii="方正仿宋简体" w:hAnsi="方正仿宋简体" w:eastAsia="方正仿宋简体" w:cs="宋体"/>
          <w:b/>
          <w:bCs/>
          <w:color w:val="auto"/>
          <w:kern w:val="0"/>
          <w:sz w:val="32"/>
          <w:szCs w:val="32"/>
        </w:rPr>
        <w:t>　在我市行政区域内从事物业服务活动的企业，按照本办法规定实施信用信息管理。</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一般以独立法人为单位实施信用信息管理。物业服务企业有分支机构的，统一纳入设立该分支机构的企业管理；外地物业服务企业在我市设立分支机构的，以分支机构为单位实施信用信息管理。</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企业跨县（市、区）</w:t>
      </w:r>
      <w:r>
        <w:rPr>
          <w:rFonts w:hint="eastAsia" w:ascii="方正仿宋简体" w:hAnsi="方正仿宋简体" w:eastAsia="方正仿宋简体" w:cs="宋体"/>
          <w:b/>
          <w:bCs/>
          <w:color w:val="auto"/>
          <w:kern w:val="0"/>
          <w:sz w:val="32"/>
          <w:szCs w:val="32"/>
          <w:lang w:eastAsia="zh-CN"/>
        </w:rPr>
        <w:t>（</w:t>
      </w:r>
      <w:r>
        <w:rPr>
          <w:rFonts w:hint="eastAsia" w:ascii="方正仿宋简体" w:hAnsi="方正仿宋简体" w:eastAsia="方正仿宋简体" w:cs="宋体"/>
          <w:b/>
          <w:bCs/>
          <w:color w:val="auto"/>
          <w:kern w:val="0"/>
          <w:sz w:val="32"/>
          <w:szCs w:val="32"/>
          <w:lang w:val="en-US" w:eastAsia="zh-CN"/>
        </w:rPr>
        <w:t>含功能区，下同</w:t>
      </w:r>
      <w:r>
        <w:rPr>
          <w:rFonts w:hint="eastAsia" w:ascii="方正仿宋简体" w:hAnsi="方正仿宋简体" w:eastAsia="方正仿宋简体" w:cs="宋体"/>
          <w:b/>
          <w:bCs/>
          <w:color w:val="auto"/>
          <w:kern w:val="0"/>
          <w:sz w:val="32"/>
          <w:szCs w:val="32"/>
          <w:lang w:eastAsia="zh-CN"/>
        </w:rPr>
        <w:t>）</w:t>
      </w:r>
      <w:r>
        <w:rPr>
          <w:rFonts w:hint="eastAsia" w:ascii="方正仿宋简体" w:hAnsi="方正仿宋简体" w:eastAsia="方正仿宋简体" w:cs="宋体"/>
          <w:b/>
          <w:bCs/>
          <w:color w:val="auto"/>
          <w:kern w:val="0"/>
          <w:sz w:val="32"/>
          <w:szCs w:val="32"/>
        </w:rPr>
        <w:t>经营的，由企业工商注册地</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物业主管部门负责企业信用信息的管理工作。在工商注册地之外的物业服务项目，由项目所在地</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物业主管部门负责项目信息管理工作，并通过济宁市物业服务企业信用信息管理系统（以下简称“市物业信用系统”）推送到企业工商注册地</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第四条</w:t>
      </w:r>
      <w:r>
        <w:rPr>
          <w:rFonts w:hint="eastAsia" w:ascii="方正仿宋简体" w:hAnsi="方正仿宋简体" w:eastAsia="方正仿宋简体" w:cs="宋体"/>
          <w:b/>
          <w:bCs/>
          <w:color w:val="auto"/>
          <w:kern w:val="0"/>
          <w:sz w:val="32"/>
          <w:szCs w:val="32"/>
        </w:rPr>
        <w:t>　市物业信用系统实现物业服务企业信用信息的归集、推送、公示，以及生成物业服务企业信用等级、出具信用报告等功能。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eastAsia="zh-CN"/>
        </w:rPr>
      </w:pPr>
      <w:r>
        <w:rPr>
          <w:rFonts w:hint="eastAsia" w:ascii="黑体" w:hAnsi="黑体" w:eastAsia="方正黑体简体" w:cs="宋体"/>
          <w:b/>
          <w:bCs/>
          <w:color w:val="auto"/>
          <w:kern w:val="0"/>
          <w:sz w:val="32"/>
          <w:szCs w:val="32"/>
        </w:rPr>
        <w:t>第五条</w:t>
      </w:r>
      <w:r>
        <w:rPr>
          <w:rFonts w:hint="eastAsia" w:ascii="方正仿宋简体" w:hAnsi="方正仿宋简体" w:eastAsia="方正仿宋简体" w:cs="宋体"/>
          <w:b/>
          <w:bCs/>
          <w:color w:val="auto"/>
          <w:kern w:val="0"/>
          <w:sz w:val="32"/>
          <w:szCs w:val="32"/>
        </w:rPr>
        <w:t>　</w:t>
      </w:r>
      <w:r>
        <w:rPr>
          <w:rFonts w:hint="eastAsia" w:ascii="方正仿宋简体" w:hAnsi="方正仿宋简体" w:eastAsia="方正仿宋简体" w:cs="宋体"/>
          <w:b/>
          <w:bCs/>
          <w:color w:val="auto"/>
          <w:kern w:val="0"/>
          <w:sz w:val="32"/>
          <w:szCs w:val="32"/>
          <w:lang w:val="en-US" w:eastAsia="zh-CN"/>
        </w:rPr>
        <w:t>济宁</w:t>
      </w:r>
      <w:r>
        <w:rPr>
          <w:rFonts w:hint="eastAsia" w:ascii="方正仿宋简体" w:hAnsi="方正仿宋简体" w:eastAsia="方正仿宋简体" w:cs="宋体"/>
          <w:b/>
          <w:bCs/>
          <w:color w:val="auto"/>
          <w:kern w:val="0"/>
          <w:sz w:val="32"/>
          <w:szCs w:val="32"/>
        </w:rPr>
        <w:t>市住房</w:t>
      </w:r>
      <w:r>
        <w:rPr>
          <w:rFonts w:hint="eastAsia" w:ascii="方正仿宋简体" w:hAnsi="方正仿宋简体" w:eastAsia="方正仿宋简体" w:cs="宋体"/>
          <w:b/>
          <w:bCs/>
          <w:color w:val="auto"/>
          <w:kern w:val="0"/>
          <w:sz w:val="32"/>
          <w:szCs w:val="32"/>
          <w:lang w:val="en-US" w:eastAsia="zh-CN"/>
        </w:rPr>
        <w:t>和</w:t>
      </w:r>
      <w:r>
        <w:rPr>
          <w:rFonts w:hint="eastAsia" w:ascii="方正仿宋简体" w:hAnsi="方正仿宋简体" w:eastAsia="方正仿宋简体" w:cs="宋体"/>
          <w:b/>
          <w:bCs/>
          <w:color w:val="auto"/>
          <w:kern w:val="0"/>
          <w:sz w:val="32"/>
          <w:szCs w:val="32"/>
        </w:rPr>
        <w:t>城乡建设局负责</w:t>
      </w:r>
      <w:r>
        <w:rPr>
          <w:rFonts w:hint="eastAsia" w:ascii="方正仿宋简体" w:hAnsi="方正仿宋简体" w:eastAsia="方正仿宋简体" w:cs="宋体"/>
          <w:b/>
          <w:bCs/>
          <w:color w:val="auto"/>
          <w:kern w:val="0"/>
          <w:sz w:val="32"/>
          <w:szCs w:val="32"/>
          <w:lang w:eastAsia="zh-CN"/>
        </w:rPr>
        <w:t>拟定全市物业服务行业发展政策、规章制度并监督实施。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eastAsia="zh-CN"/>
        </w:rPr>
      </w:pPr>
      <w:r>
        <w:rPr>
          <w:rFonts w:hint="eastAsia" w:ascii="方正仿宋简体" w:hAnsi="方正仿宋简体" w:eastAsia="方正仿宋简体" w:cs="宋体"/>
          <w:b/>
          <w:bCs/>
          <w:color w:val="auto"/>
          <w:kern w:val="0"/>
          <w:sz w:val="32"/>
          <w:szCs w:val="32"/>
          <w:lang w:val="en-US" w:eastAsia="zh-CN"/>
        </w:rPr>
        <w:t>济宁</w:t>
      </w:r>
      <w:r>
        <w:rPr>
          <w:rFonts w:hint="eastAsia" w:ascii="方正仿宋简体" w:hAnsi="方正仿宋简体" w:eastAsia="方正仿宋简体" w:cs="宋体"/>
          <w:b/>
          <w:bCs/>
          <w:color w:val="auto"/>
          <w:kern w:val="0"/>
          <w:sz w:val="32"/>
          <w:szCs w:val="32"/>
          <w:lang w:eastAsia="zh-CN"/>
        </w:rPr>
        <w:t>市住房保障和房地产发展事务中心负责承担</w:t>
      </w:r>
      <w:r>
        <w:rPr>
          <w:rFonts w:hint="eastAsia" w:ascii="方正仿宋简体" w:hAnsi="方正仿宋简体" w:eastAsia="方正仿宋简体" w:cs="宋体"/>
          <w:b/>
          <w:bCs/>
          <w:color w:val="auto"/>
          <w:kern w:val="0"/>
          <w:sz w:val="32"/>
          <w:szCs w:val="32"/>
          <w:lang w:val="en-US" w:eastAsia="zh-CN"/>
        </w:rPr>
        <w:t>全市</w:t>
      </w:r>
      <w:r>
        <w:rPr>
          <w:rFonts w:hint="eastAsia" w:ascii="方正仿宋简体" w:hAnsi="方正仿宋简体" w:eastAsia="方正仿宋简体" w:cs="宋体"/>
          <w:b/>
          <w:bCs/>
          <w:color w:val="auto"/>
          <w:kern w:val="0"/>
          <w:sz w:val="32"/>
          <w:szCs w:val="32"/>
          <w:lang w:eastAsia="zh-CN"/>
        </w:rPr>
        <w:t>物业服务</w:t>
      </w:r>
      <w:r>
        <w:rPr>
          <w:rFonts w:hint="eastAsia" w:ascii="方正仿宋简体" w:hAnsi="方正仿宋简体" w:eastAsia="方正仿宋简体" w:cs="宋体"/>
          <w:b/>
          <w:bCs/>
          <w:color w:val="auto"/>
          <w:kern w:val="0"/>
          <w:sz w:val="32"/>
          <w:szCs w:val="32"/>
          <w:lang w:val="en-US" w:eastAsia="zh-CN"/>
        </w:rPr>
        <w:t>市场监督管理相关事务性工作，</w:t>
      </w:r>
      <w:r>
        <w:rPr>
          <w:rFonts w:hint="eastAsia" w:ascii="方正仿宋简体" w:hAnsi="方正仿宋简体" w:eastAsia="方正仿宋简体" w:cs="宋体"/>
          <w:b/>
          <w:bCs/>
          <w:color w:val="auto"/>
          <w:kern w:val="0"/>
          <w:sz w:val="32"/>
          <w:szCs w:val="32"/>
          <w:lang w:eastAsia="zh-CN"/>
        </w:rPr>
        <w:t>参与制定物业服务企业信用评价办法，承担</w:t>
      </w:r>
      <w:r>
        <w:rPr>
          <w:rFonts w:hint="eastAsia" w:ascii="方正仿宋简体" w:hAnsi="方正仿宋简体" w:eastAsia="方正仿宋简体" w:cs="宋体"/>
          <w:b/>
          <w:bCs/>
          <w:color w:val="auto"/>
          <w:kern w:val="0"/>
          <w:sz w:val="32"/>
          <w:szCs w:val="32"/>
          <w:lang w:val="en-US" w:eastAsia="zh-CN"/>
        </w:rPr>
        <w:t>全市物业服务企业的信用评价事务性工作和</w:t>
      </w:r>
      <w:r>
        <w:rPr>
          <w:rFonts w:hint="eastAsia" w:ascii="方正仿宋简体" w:hAnsi="方正仿宋简体" w:eastAsia="方正仿宋简体" w:cs="宋体"/>
          <w:b/>
          <w:bCs/>
          <w:color w:val="auto"/>
          <w:kern w:val="0"/>
          <w:sz w:val="32"/>
          <w:szCs w:val="32"/>
        </w:rPr>
        <w:t>市物业信用系统</w:t>
      </w:r>
      <w:r>
        <w:rPr>
          <w:rFonts w:hint="eastAsia" w:ascii="方正仿宋简体" w:hAnsi="方正仿宋简体" w:eastAsia="方正仿宋简体" w:cs="宋体"/>
          <w:b/>
          <w:bCs/>
          <w:color w:val="auto"/>
          <w:kern w:val="0"/>
          <w:sz w:val="32"/>
          <w:szCs w:val="32"/>
          <w:lang w:eastAsia="zh-CN"/>
        </w:rPr>
        <w:t>建设、管理、维护工作。</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县</w:t>
      </w:r>
      <w:r>
        <w:rPr>
          <w:rFonts w:hint="eastAsia" w:ascii="方正仿宋简体" w:hAnsi="方正仿宋简体" w:eastAsia="方正仿宋简体" w:cs="宋体"/>
          <w:b/>
          <w:bCs/>
          <w:color w:val="auto"/>
          <w:kern w:val="0"/>
          <w:sz w:val="32"/>
          <w:szCs w:val="32"/>
          <w:lang w:eastAsia="zh-CN"/>
        </w:rPr>
        <w:t>（</w:t>
      </w:r>
      <w:r>
        <w:rPr>
          <w:rFonts w:hint="eastAsia" w:ascii="方正仿宋简体" w:hAnsi="方正仿宋简体" w:eastAsia="方正仿宋简体" w:cs="宋体"/>
          <w:b/>
          <w:bCs/>
          <w:color w:val="auto"/>
          <w:kern w:val="0"/>
          <w:sz w:val="32"/>
          <w:szCs w:val="32"/>
          <w:lang w:val="en-US" w:eastAsia="zh-CN"/>
        </w:rPr>
        <w:t>市、区</w:t>
      </w:r>
      <w:r>
        <w:rPr>
          <w:rFonts w:hint="eastAsia" w:ascii="方正仿宋简体" w:hAnsi="方正仿宋简体" w:eastAsia="方正仿宋简体" w:cs="宋体"/>
          <w:b/>
          <w:bCs/>
          <w:color w:val="auto"/>
          <w:kern w:val="0"/>
          <w:sz w:val="32"/>
          <w:szCs w:val="32"/>
          <w:lang w:eastAsia="zh-CN"/>
        </w:rPr>
        <w:t>）</w:t>
      </w:r>
      <w:r>
        <w:rPr>
          <w:rFonts w:hint="eastAsia" w:ascii="方正仿宋简体" w:hAnsi="方正仿宋简体" w:eastAsia="方正仿宋简体" w:cs="宋体"/>
          <w:b/>
          <w:bCs/>
          <w:color w:val="auto"/>
          <w:kern w:val="0"/>
          <w:sz w:val="32"/>
          <w:szCs w:val="32"/>
        </w:rPr>
        <w:t>物业主管部门负责本行政区域内物业服务企业信用信息的归集、推送、审核、认定、使用和日常维护等管理工作。</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街道办事处（乡镇人民政府）、社区居民委员会（社区环境和物业管理委员会）按照各自职责，负责本辖区内物业服务企业和物业服务项目有关信用信息的归集、推送、评分等工作。</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物业服务行业协会应加强行业自律管理，负责行业自律信息的归集、推送，并可接受物业主管部门的委托，负责编写行</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业信用报告等工作。</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仿宋_GB2312" w:hAnsi="仿宋" w:eastAsia="仿宋_GB2312" w:cs="宋体"/>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第二章　信用信息的归集、认定和发布</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方正黑体简体" w:cs="宋体"/>
          <w:b/>
          <w:bCs/>
          <w:color w:val="auto"/>
          <w:kern w:val="0"/>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lang w:val="en-US" w:eastAsia="zh-CN"/>
        </w:rPr>
        <w:t>第六条</w:t>
      </w:r>
      <w:r>
        <w:rPr>
          <w:rFonts w:hint="eastAsia" w:ascii="方正仿宋简体" w:hAnsi="方正仿宋简体" w:eastAsia="方正仿宋简体" w:cs="宋体"/>
          <w:b/>
          <w:bCs/>
          <w:color w:val="auto"/>
          <w:kern w:val="0"/>
          <w:sz w:val="32"/>
          <w:szCs w:val="32"/>
        </w:rPr>
        <w:t>　信用信息，主要包括企业基础信用信息（甲类）、项目绩效信用信息（乙类）和企业不良信用信息（丙类）三类。</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楷体简体" w:hAnsi="方正楷体简体" w:eastAsia="方正楷体简体" w:cs="方正楷体简体"/>
          <w:b/>
          <w:bCs/>
          <w:color w:val="auto"/>
          <w:kern w:val="0"/>
          <w:sz w:val="32"/>
          <w:szCs w:val="32"/>
        </w:rPr>
        <w:t>（一）企业基础信用信息（甲类）。</w:t>
      </w:r>
      <w:r>
        <w:rPr>
          <w:rFonts w:hint="eastAsia" w:ascii="方正仿宋简体" w:hAnsi="方正仿宋简体" w:eastAsia="方正仿宋简体" w:cs="宋体"/>
          <w:b/>
          <w:bCs/>
          <w:color w:val="auto"/>
          <w:kern w:val="0"/>
          <w:sz w:val="32"/>
          <w:szCs w:val="32"/>
        </w:rPr>
        <w:t>主要包括企业员工信息、企业优良信用信息等反映物业服务企业基本状况及物业服务水平的信息。</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楷体简体" w:hAnsi="方正楷体简体" w:eastAsia="方正楷体简体" w:cs="方正楷体简体"/>
          <w:b/>
          <w:bCs/>
          <w:color w:val="auto"/>
          <w:kern w:val="0"/>
          <w:sz w:val="32"/>
          <w:szCs w:val="32"/>
        </w:rPr>
        <w:t>（二）项目绩效信用信息（乙类）。</w:t>
      </w:r>
      <w:r>
        <w:rPr>
          <w:rFonts w:hint="eastAsia" w:ascii="方正仿宋简体" w:hAnsi="方正仿宋简体" w:eastAsia="方正仿宋简体" w:cs="宋体"/>
          <w:b/>
          <w:bCs/>
          <w:color w:val="auto"/>
          <w:kern w:val="0"/>
          <w:sz w:val="32"/>
          <w:szCs w:val="32"/>
        </w:rPr>
        <w:t>主要包括物业服务企业在物业服务项目管理工作中接受各级考评检查，处理群众信访投诉，配合物业主管部门、街道（乡镇）、社区监督及日常工作的信息。</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楷体简体" w:hAnsi="方正楷体简体" w:eastAsia="方正楷体简体" w:cs="方正楷体简体"/>
          <w:b/>
          <w:bCs/>
          <w:color w:val="auto"/>
          <w:kern w:val="0"/>
          <w:sz w:val="32"/>
          <w:szCs w:val="32"/>
        </w:rPr>
        <w:t>（三）企业不良信用信息（丙类）。</w:t>
      </w:r>
      <w:r>
        <w:rPr>
          <w:rFonts w:hint="eastAsia" w:ascii="方正仿宋简体" w:hAnsi="方正仿宋简体" w:eastAsia="方正仿宋简体" w:cs="宋体"/>
          <w:b/>
          <w:bCs/>
          <w:color w:val="auto"/>
          <w:kern w:val="0"/>
          <w:sz w:val="32"/>
          <w:szCs w:val="32"/>
        </w:rPr>
        <w:t>主要包括物业服务企业在从事物业服务活动中拒不配合物业主管部门</w:t>
      </w:r>
      <w:r>
        <w:rPr>
          <w:rFonts w:hint="eastAsia" w:ascii="方正仿宋简体" w:hAnsi="方正仿宋简体" w:eastAsia="方正仿宋简体" w:cs="宋体"/>
          <w:b/>
          <w:bCs/>
          <w:color w:val="auto"/>
          <w:kern w:val="0"/>
          <w:sz w:val="32"/>
          <w:szCs w:val="32"/>
          <w:lang w:eastAsia="zh-CN"/>
        </w:rPr>
        <w:t>、</w:t>
      </w:r>
      <w:r>
        <w:rPr>
          <w:rFonts w:hint="eastAsia" w:ascii="方正仿宋简体" w:hAnsi="方正仿宋简体" w:eastAsia="方正仿宋简体" w:cs="宋体"/>
          <w:b/>
          <w:bCs/>
          <w:color w:val="auto"/>
          <w:kern w:val="0"/>
          <w:sz w:val="32"/>
          <w:szCs w:val="32"/>
          <w:lang w:val="en-US" w:eastAsia="zh-CN"/>
        </w:rPr>
        <w:t>其他相关行业主管部门</w:t>
      </w:r>
      <w:r>
        <w:rPr>
          <w:rFonts w:hint="eastAsia" w:ascii="方正仿宋简体" w:hAnsi="方正仿宋简体" w:eastAsia="方正仿宋简体" w:cs="宋体"/>
          <w:b/>
          <w:bCs/>
          <w:color w:val="auto"/>
          <w:kern w:val="0"/>
          <w:sz w:val="32"/>
          <w:szCs w:val="32"/>
        </w:rPr>
        <w:t>和街道（乡镇）、社区监管，违反法律法规政策规定，破坏市场秩序等对其信用状况构成负面影响的信息。</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信用信息的具体内容，在市物业信用系统中设置。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w:t>
      </w:r>
      <w:r>
        <w:rPr>
          <w:rFonts w:hint="eastAsia" w:ascii="黑体" w:hAnsi="黑体" w:eastAsia="方正黑体简体" w:cs="宋体"/>
          <w:b/>
          <w:bCs/>
          <w:color w:val="auto"/>
          <w:kern w:val="0"/>
          <w:sz w:val="32"/>
          <w:szCs w:val="32"/>
          <w:lang w:eastAsia="zh-CN"/>
        </w:rPr>
        <w:t>七</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物业服务企业的信用信息，一般由信息产生地</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物业主管部门负责归集、认定。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企业注册信息、从业人员信息，由企业工商注册地</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物业主管部门负责归集、认定；外市物业服务企业未在我市设立分支机构的，由该企业在我市承接的首个物业服务项目所在地</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物业主管部门负责归集、认定。</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w:t>
      </w:r>
      <w:r>
        <w:rPr>
          <w:rFonts w:hint="eastAsia" w:ascii="黑体" w:hAnsi="黑体" w:eastAsia="方正黑体简体" w:cs="宋体"/>
          <w:b/>
          <w:bCs/>
          <w:color w:val="auto"/>
          <w:kern w:val="0"/>
          <w:sz w:val="32"/>
          <w:szCs w:val="32"/>
          <w:lang w:val="en-US" w:eastAsia="zh-CN"/>
        </w:rPr>
        <w:t>八</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企业基础信用信息（甲类）归集。企业基础信用信息（甲类）实行动态管理，基础信用信息产生或变更的，物业服务企业应当于30日内通过市物业信用系统填报变更信用信息。</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新设立的物业服务企业，应当自签订物业服务合同之日起30个工作日内，在市物业信用系统及时、完整、准确填报企业基础信息等有关信用信息。</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黑体" w:hAnsi="黑体" w:eastAsia="方正黑体简体" w:cs="宋体"/>
          <w:b/>
          <w:bCs/>
          <w:color w:val="auto"/>
          <w:kern w:val="0"/>
          <w:sz w:val="32"/>
          <w:szCs w:val="32"/>
        </w:rPr>
      </w:pP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物业主管部门、街道办事处（乡镇人民政府）、社区居民委员会（社区环境和物业管理委员会）也可以根据自行掌握、行业协会推送以及信息共享获取的信用信息，直接录入市物业信用系统。</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lang w:val="en-US" w:eastAsia="zh-CN"/>
        </w:rPr>
        <w:t>第九条</w:t>
      </w:r>
      <w:r>
        <w:rPr>
          <w:rFonts w:hint="eastAsia" w:ascii="方正仿宋简体" w:hAnsi="方正仿宋简体" w:eastAsia="方正仿宋简体" w:cs="宋体"/>
          <w:b/>
          <w:bCs/>
          <w:color w:val="auto"/>
          <w:kern w:val="0"/>
          <w:sz w:val="32"/>
          <w:szCs w:val="32"/>
        </w:rPr>
        <w:t>　项目绩效信用信息（乙类）归集。</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物业主管部门、街道办事处（乡镇人民政府）、社区居民委员会（社区环境和物业管理委员会）应在物业服务项目的日常监督管理信用信息产生15个工作日内通过市物业信用系统录入。</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黑体" w:hAnsi="黑体" w:eastAsia="方正黑体简体" w:cs="宋体"/>
          <w:b/>
          <w:bCs/>
          <w:color w:val="auto"/>
          <w:kern w:val="0"/>
          <w:sz w:val="32"/>
          <w:szCs w:val="32"/>
        </w:rPr>
      </w:pPr>
      <w:r>
        <w:rPr>
          <w:rFonts w:hint="eastAsia" w:ascii="方正仿宋简体" w:hAnsi="方正仿宋简体" w:eastAsia="方正仿宋简体" w:cs="宋体"/>
          <w:b/>
          <w:bCs/>
          <w:color w:val="auto"/>
          <w:kern w:val="0"/>
          <w:sz w:val="32"/>
          <w:szCs w:val="32"/>
        </w:rPr>
        <w:t>原则上只对实行全委托管理的住宅项目归集绩效信用信息。其他项目确需归集的，由</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物业主管部门或街道办事处（乡镇人民政府）认定后实施归集。</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建立项目绩效信用信息（乙类）修复制度。鼓励物业服务企业对该类别存在的问题积极进行整改，在项目绩效信息的记分周期内，已经改正并消除原有不良影响的，当事物业服务企业可以向扣除项目绩效分值的</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物业主管部门、街道办事处（乡镇人民政府）或社区居民委员会（社区环境和物业管理委员会）提出申请，经核实后，返还相应扣分分值。</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val="en-US" w:eastAsia="zh-CN"/>
        </w:rPr>
      </w:pPr>
      <w:r>
        <w:rPr>
          <w:rFonts w:hint="eastAsia" w:ascii="黑体" w:hAnsi="黑体" w:eastAsia="方正黑体简体" w:cs="宋体"/>
          <w:b/>
          <w:bCs/>
          <w:color w:val="auto"/>
          <w:kern w:val="0"/>
          <w:sz w:val="32"/>
          <w:szCs w:val="32"/>
        </w:rPr>
        <w:t>第十条</w:t>
      </w:r>
      <w:r>
        <w:rPr>
          <w:rFonts w:hint="eastAsia" w:ascii="方正仿宋简体" w:hAnsi="方正仿宋简体" w:eastAsia="方正仿宋简体" w:cs="宋体"/>
          <w:b/>
          <w:bCs/>
          <w:color w:val="auto"/>
          <w:kern w:val="0"/>
          <w:sz w:val="32"/>
          <w:szCs w:val="32"/>
        </w:rPr>
        <w:t>　企业不良信用信息（丙类）归集。</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应于企业不良信用信息产生15个工作日内，将自行掌握或其他单位主动推送的信用信息，录入市物业信用系统，并通过市物业信用系统通知相关物业服务企业，确认不良信用信息情况。需要与其他单位通过共享方式获取的信息，尚未实现实时共享的，共享频次原则上不低于每季度一次。鼓励物业服务企业主动录入企业不良信用信息。</w:t>
      </w:r>
      <w:r>
        <w:rPr>
          <w:rFonts w:hint="eastAsia" w:ascii="方正仿宋简体" w:hAnsi="方正仿宋简体" w:eastAsia="方正仿宋简体" w:cs="宋体"/>
          <w:b/>
          <w:bCs/>
          <w:color w:val="auto"/>
          <w:kern w:val="0"/>
          <w:sz w:val="32"/>
          <w:szCs w:val="32"/>
          <w:lang w:eastAsia="zh-CN"/>
        </w:rPr>
        <w:t>依据行政处罚决定书、人民法院或仲裁机构等出具的生效法律文书等产生的不良信用信息，县（市、区）物业主管部门不需通知物业服务企业，可直接认定。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物业服务企业对不良信用信息有异议的，应在收到通知后15个工作日内向</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物业主管部门提交书面异议申请，并提供相应证据，逾期视为认可。</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物业主管部门在收到异议申请后，应于15个工作日内作出是否采纳的决定，并通过市物业信用系统及时告知物业服务企业。</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第十</w:t>
      </w:r>
      <w:r>
        <w:rPr>
          <w:rFonts w:hint="eastAsia" w:ascii="黑体" w:hAnsi="黑体" w:eastAsia="方正黑体简体" w:cs="宋体"/>
          <w:b/>
          <w:bCs/>
          <w:color w:val="auto"/>
          <w:kern w:val="0"/>
          <w:sz w:val="32"/>
          <w:szCs w:val="32"/>
          <w:lang w:val="en-US" w:eastAsia="zh-CN"/>
        </w:rPr>
        <w:t>一</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因企业实际情况发生变化，或者认定企业基础信用信息（甲类）、企业不良信用信息（丙类）所依据的行政决定、判决、裁定等被撤销或者变更等情形，导致信用信息发生变化的，</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物业主管部门核实后应当及时变更或删除信用信息。</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eastAsia="zh-CN"/>
        </w:rPr>
      </w:pPr>
      <w:r>
        <w:rPr>
          <w:rFonts w:hint="eastAsia" w:ascii="黑体" w:hAnsi="黑体" w:eastAsia="方正黑体简体" w:cs="宋体"/>
          <w:b/>
          <w:bCs/>
          <w:color w:val="auto"/>
          <w:kern w:val="0"/>
          <w:sz w:val="32"/>
          <w:szCs w:val="32"/>
        </w:rPr>
        <w:t>第十</w:t>
      </w:r>
      <w:r>
        <w:rPr>
          <w:rFonts w:hint="eastAsia" w:ascii="黑体" w:hAnsi="黑体" w:eastAsia="方正黑体简体" w:cs="宋体"/>
          <w:b/>
          <w:bCs/>
          <w:color w:val="auto"/>
          <w:kern w:val="0"/>
          <w:sz w:val="32"/>
          <w:szCs w:val="32"/>
          <w:lang w:val="en-US" w:eastAsia="zh-CN"/>
        </w:rPr>
        <w:t>二</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物业服务企业信用信息公布期限</w:t>
      </w:r>
      <w:r>
        <w:rPr>
          <w:rFonts w:hint="eastAsia" w:ascii="方正仿宋简体" w:hAnsi="方正仿宋简体" w:eastAsia="方正仿宋简体" w:cs="宋体"/>
          <w:b/>
          <w:bCs/>
          <w:color w:val="auto"/>
          <w:kern w:val="0"/>
          <w:sz w:val="32"/>
          <w:szCs w:val="32"/>
          <w:lang w:eastAsia="zh-CN"/>
        </w:rPr>
        <w:t>如下：</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eastAsia="zh-CN"/>
        </w:rPr>
      </w:pPr>
      <w:r>
        <w:rPr>
          <w:rFonts w:hint="eastAsia" w:ascii="方正仿宋简体" w:hAnsi="方正仿宋简体" w:eastAsia="方正仿宋简体" w:cs="宋体"/>
          <w:b/>
          <w:bCs/>
          <w:color w:val="auto"/>
          <w:kern w:val="0"/>
          <w:sz w:val="32"/>
          <w:szCs w:val="32"/>
        </w:rPr>
        <w:t>（一）企业基础信用信息（甲类）中表彰奖励类信息公开期限为三年，自信息产生之日起计算</w:t>
      </w:r>
      <w:r>
        <w:rPr>
          <w:rFonts w:hint="eastAsia" w:ascii="方正仿宋简体" w:hAnsi="方正仿宋简体" w:eastAsia="方正仿宋简体" w:cs="宋体"/>
          <w:b/>
          <w:bCs/>
          <w:color w:val="auto"/>
          <w:kern w:val="0"/>
          <w:sz w:val="32"/>
          <w:szCs w:val="32"/>
          <w:lang w:eastAsia="zh-CN"/>
        </w:rPr>
        <w:t>，</w:t>
      </w:r>
      <w:r>
        <w:rPr>
          <w:rFonts w:hint="eastAsia" w:ascii="方正仿宋简体" w:hAnsi="方正仿宋简体" w:eastAsia="方正仿宋简体" w:cs="宋体"/>
          <w:b/>
          <w:bCs/>
          <w:color w:val="auto"/>
          <w:kern w:val="0"/>
          <w:sz w:val="32"/>
          <w:szCs w:val="32"/>
        </w:rPr>
        <w:t>物业服务企业未注销前，其他依法可以公开的企业基础信用信息（甲类）长期公布</w:t>
      </w:r>
      <w:r>
        <w:rPr>
          <w:rFonts w:hint="eastAsia" w:ascii="方正仿宋简体" w:hAnsi="方正仿宋简体" w:eastAsia="方正仿宋简体" w:cs="宋体"/>
          <w:b/>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eastAsia="zh-CN"/>
        </w:rPr>
      </w:pPr>
      <w:r>
        <w:rPr>
          <w:rFonts w:hint="eastAsia" w:ascii="方正仿宋简体" w:hAnsi="方正仿宋简体" w:eastAsia="方正仿宋简体" w:cs="宋体"/>
          <w:b/>
          <w:bCs/>
          <w:color w:val="auto"/>
          <w:kern w:val="0"/>
          <w:sz w:val="32"/>
          <w:szCs w:val="32"/>
        </w:rPr>
        <w:t>（二）企业不良信用信息（丙类）公示期限为</w:t>
      </w:r>
      <w:r>
        <w:rPr>
          <w:rFonts w:hint="eastAsia" w:ascii="方正仿宋简体" w:hAnsi="方正仿宋简体" w:eastAsia="方正仿宋简体" w:cs="宋体"/>
          <w:b/>
          <w:bCs/>
          <w:color w:val="auto"/>
          <w:kern w:val="0"/>
          <w:sz w:val="32"/>
          <w:szCs w:val="32"/>
          <w:lang w:eastAsia="zh-CN"/>
        </w:rPr>
        <w:t>五</w:t>
      </w:r>
      <w:r>
        <w:rPr>
          <w:rFonts w:hint="eastAsia" w:ascii="方正仿宋简体" w:hAnsi="方正仿宋简体" w:eastAsia="方正仿宋简体" w:cs="宋体"/>
          <w:b/>
          <w:bCs/>
          <w:color w:val="auto"/>
          <w:kern w:val="0"/>
          <w:sz w:val="32"/>
          <w:szCs w:val="32"/>
        </w:rPr>
        <w:t>年，自处罚执行完毕或失信行为整改完成之日起计算</w:t>
      </w:r>
      <w:r>
        <w:rPr>
          <w:rFonts w:hint="eastAsia" w:ascii="方正仿宋简体" w:hAnsi="方正仿宋简体" w:eastAsia="方正仿宋简体" w:cs="宋体"/>
          <w:b/>
          <w:bCs/>
          <w:color w:val="auto"/>
          <w:kern w:val="0"/>
          <w:sz w:val="32"/>
          <w:szCs w:val="32"/>
          <w:lang w:eastAsia="zh-CN"/>
        </w:rPr>
        <w:t>，</w:t>
      </w:r>
      <w:r>
        <w:rPr>
          <w:rFonts w:hint="eastAsia" w:ascii="方正仿宋简体" w:hAnsi="方正仿宋简体" w:eastAsia="方正仿宋简体" w:cs="宋体"/>
          <w:b/>
          <w:bCs/>
          <w:color w:val="auto"/>
          <w:kern w:val="0"/>
          <w:sz w:val="32"/>
          <w:szCs w:val="32"/>
        </w:rPr>
        <w:t>企业完成信用修复的，公示期限按有关规定缩短</w:t>
      </w:r>
      <w:r>
        <w:rPr>
          <w:rFonts w:hint="eastAsia" w:ascii="方正仿宋简体" w:hAnsi="方正仿宋简体" w:eastAsia="方正仿宋简体" w:cs="宋体"/>
          <w:b/>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（三）法律、法规、规章另有规定的，从其规定。</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第十</w:t>
      </w:r>
      <w:r>
        <w:rPr>
          <w:rFonts w:hint="eastAsia" w:ascii="黑体" w:hAnsi="黑体" w:eastAsia="方正黑体简体" w:cs="宋体"/>
          <w:b/>
          <w:bCs/>
          <w:color w:val="auto"/>
          <w:kern w:val="0"/>
          <w:sz w:val="32"/>
          <w:szCs w:val="32"/>
          <w:lang w:val="en-US" w:eastAsia="zh-CN"/>
        </w:rPr>
        <w:t>三</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物业主管部门应当加强与自然资源和规划、城管执法、公安、</w:t>
      </w:r>
      <w:r>
        <w:rPr>
          <w:rFonts w:hint="eastAsia" w:ascii="方正仿宋简体" w:hAnsi="方正仿宋简体" w:eastAsia="方正仿宋简体" w:cs="宋体"/>
          <w:b/>
          <w:bCs/>
          <w:color w:val="auto"/>
          <w:kern w:val="0"/>
          <w:sz w:val="32"/>
          <w:szCs w:val="32"/>
          <w:lang w:eastAsia="zh-CN"/>
        </w:rPr>
        <w:t>审计、</w:t>
      </w:r>
      <w:r>
        <w:rPr>
          <w:rFonts w:hint="eastAsia" w:ascii="方正仿宋简体" w:hAnsi="方正仿宋简体" w:eastAsia="方正仿宋简体" w:cs="宋体"/>
          <w:b/>
          <w:bCs/>
          <w:color w:val="auto"/>
          <w:kern w:val="0"/>
          <w:sz w:val="32"/>
          <w:szCs w:val="32"/>
        </w:rPr>
        <w:t>市场监管、应急管理、</w:t>
      </w:r>
      <w:r>
        <w:rPr>
          <w:rFonts w:hint="eastAsia" w:ascii="方正仿宋简体" w:hAnsi="方正仿宋简体" w:eastAsia="方正仿宋简体" w:cs="宋体"/>
          <w:b/>
          <w:bCs/>
          <w:color w:val="auto"/>
          <w:kern w:val="0"/>
          <w:sz w:val="32"/>
          <w:szCs w:val="32"/>
          <w:lang w:eastAsia="zh-CN"/>
        </w:rPr>
        <w:t>消防、</w:t>
      </w:r>
      <w:r>
        <w:rPr>
          <w:rFonts w:hint="eastAsia" w:ascii="方正仿宋简体" w:hAnsi="方正仿宋简体" w:eastAsia="方正仿宋简体" w:cs="宋体"/>
          <w:b/>
          <w:bCs/>
          <w:color w:val="auto"/>
          <w:kern w:val="0"/>
          <w:sz w:val="32"/>
          <w:szCs w:val="32"/>
        </w:rPr>
        <w:t>法院、税务、人民银行、金融机构、行业协会等相关部门单位以及街道办事处（乡镇人民政府）、社区居民委员会（社区环境和物业管理委员会）之间的互联互动，依法共享本辖区内物业服务企业的信用信息，</w:t>
      </w:r>
      <w:r>
        <w:rPr>
          <w:rFonts w:hint="eastAsia" w:ascii="方正仿宋简体" w:hAnsi="方正仿宋简体" w:eastAsia="方正仿宋简体" w:cs="宋体"/>
          <w:b/>
          <w:bCs/>
          <w:color w:val="auto"/>
          <w:kern w:val="0"/>
          <w:sz w:val="32"/>
          <w:szCs w:val="32"/>
          <w:lang w:eastAsia="zh-CN"/>
        </w:rPr>
        <w:t>实</w:t>
      </w:r>
      <w:r>
        <w:rPr>
          <w:rFonts w:hint="eastAsia" w:ascii="方正仿宋简体" w:hAnsi="方正仿宋简体" w:eastAsia="方正仿宋简体" w:cs="宋体"/>
          <w:b/>
          <w:bCs/>
          <w:color w:val="auto"/>
          <w:kern w:val="0"/>
          <w:sz w:val="32"/>
          <w:szCs w:val="32"/>
        </w:rPr>
        <w:t>行失信联合惩戒制度。物业主管部门</w:t>
      </w:r>
      <w:r>
        <w:rPr>
          <w:rFonts w:ascii="方正仿宋简体" w:hAnsi="方正仿宋简体" w:eastAsia="方正仿宋简体" w:cs="宋体"/>
          <w:b/>
          <w:bCs/>
          <w:color w:val="auto"/>
          <w:kern w:val="0"/>
          <w:sz w:val="32"/>
          <w:szCs w:val="32"/>
        </w:rPr>
        <w:t>能够通过共享获取或核验的信用信息，不得要求物业服务企业重复提交。</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黑体" w:hAnsi="黑体" w:eastAsia="方正黑体简体" w:cs="宋体"/>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第三章　信用评级</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黑体" w:hAnsi="黑体" w:eastAsia="方正黑体简体" w:cs="宋体"/>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第十</w:t>
      </w:r>
      <w:r>
        <w:rPr>
          <w:rFonts w:hint="eastAsia" w:ascii="黑体" w:hAnsi="黑体" w:eastAsia="方正黑体简体" w:cs="宋体"/>
          <w:b/>
          <w:bCs/>
          <w:color w:val="auto"/>
          <w:kern w:val="0"/>
          <w:sz w:val="32"/>
          <w:szCs w:val="32"/>
          <w:lang w:val="en-US" w:eastAsia="zh-CN"/>
        </w:rPr>
        <w:t>四</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物业服务企业信用信息分值，按照《济宁市物</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宋体"/>
          <w:b/>
          <w:bCs/>
          <w:color w:val="auto"/>
          <w:kern w:val="0"/>
          <w:sz w:val="32"/>
          <w:szCs w:val="32"/>
          <w:lang w:eastAsia="zh-CN"/>
        </w:rPr>
      </w:pPr>
      <w:r>
        <w:rPr>
          <w:rFonts w:hint="eastAsia" w:ascii="方正仿宋简体" w:hAnsi="方正仿宋简体" w:eastAsia="方正仿宋简体" w:cs="宋体"/>
          <w:b/>
          <w:bCs/>
          <w:color w:val="auto"/>
          <w:kern w:val="0"/>
          <w:sz w:val="32"/>
          <w:szCs w:val="32"/>
        </w:rPr>
        <w:t>业服务企业信用信息评分标准》（</w:t>
      </w:r>
      <w:r>
        <w:rPr>
          <w:rFonts w:hint="eastAsia" w:ascii="方正仿宋简体" w:hAnsi="方正仿宋简体" w:eastAsia="方正仿宋简体" w:cs="宋体"/>
          <w:b/>
          <w:bCs/>
          <w:color w:val="auto"/>
          <w:kern w:val="0"/>
          <w:sz w:val="32"/>
          <w:szCs w:val="32"/>
          <w:lang w:val="en-US" w:eastAsia="zh-CN"/>
        </w:rPr>
        <w:t>见</w:t>
      </w:r>
      <w:r>
        <w:rPr>
          <w:rFonts w:hint="eastAsia" w:ascii="方正仿宋简体" w:hAnsi="方正仿宋简体" w:eastAsia="方正仿宋简体" w:cs="宋体"/>
          <w:b/>
          <w:bCs/>
          <w:color w:val="auto"/>
          <w:kern w:val="0"/>
          <w:sz w:val="32"/>
          <w:szCs w:val="32"/>
        </w:rPr>
        <w:t>附件）计算</w:t>
      </w:r>
      <w:r>
        <w:rPr>
          <w:rFonts w:hint="eastAsia" w:ascii="方正仿宋简体" w:hAnsi="方正仿宋简体" w:eastAsia="方正仿宋简体" w:cs="宋体"/>
          <w:b/>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lang w:val="en-US" w:eastAsia="zh-CN"/>
        </w:rPr>
        <w:t>济宁</w:t>
      </w:r>
      <w:r>
        <w:rPr>
          <w:rFonts w:hint="eastAsia" w:ascii="方正仿宋简体" w:hAnsi="方正仿宋简体" w:eastAsia="方正仿宋简体" w:cs="宋体"/>
          <w:b/>
          <w:bCs/>
          <w:color w:val="auto"/>
          <w:kern w:val="0"/>
          <w:sz w:val="32"/>
          <w:szCs w:val="32"/>
        </w:rPr>
        <w:t>市住房</w:t>
      </w:r>
      <w:r>
        <w:rPr>
          <w:rFonts w:hint="eastAsia" w:ascii="方正仿宋简体" w:hAnsi="方正仿宋简体" w:eastAsia="方正仿宋简体" w:cs="宋体"/>
          <w:b/>
          <w:bCs/>
          <w:color w:val="auto"/>
          <w:kern w:val="0"/>
          <w:sz w:val="32"/>
          <w:szCs w:val="32"/>
          <w:lang w:val="en-US" w:eastAsia="zh-CN"/>
        </w:rPr>
        <w:t>和</w:t>
      </w:r>
      <w:r>
        <w:rPr>
          <w:rFonts w:hint="eastAsia" w:ascii="方正仿宋简体" w:hAnsi="方正仿宋简体" w:eastAsia="方正仿宋简体" w:cs="宋体"/>
          <w:b/>
          <w:bCs/>
          <w:color w:val="auto"/>
          <w:kern w:val="0"/>
          <w:sz w:val="32"/>
          <w:szCs w:val="32"/>
        </w:rPr>
        <w:t>城乡建设局可根据国家和省政策导向、行业发展需要等，对《济宁市物业服务企业信用信息评分标准》进行合理调整。</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u w:val="none"/>
        </w:rPr>
      </w:pPr>
      <w:r>
        <w:rPr>
          <w:rFonts w:hint="eastAsia" w:ascii="黑体" w:hAnsi="黑体" w:eastAsia="方正黑体简体" w:cs="宋体"/>
          <w:b/>
          <w:bCs/>
          <w:color w:val="auto"/>
          <w:kern w:val="0"/>
          <w:sz w:val="32"/>
          <w:szCs w:val="32"/>
          <w:u w:val="none"/>
        </w:rPr>
        <w:t>第十</w:t>
      </w:r>
      <w:r>
        <w:rPr>
          <w:rFonts w:hint="eastAsia" w:ascii="黑体" w:hAnsi="黑体" w:eastAsia="方正黑体简体" w:cs="宋体"/>
          <w:b/>
          <w:bCs/>
          <w:color w:val="auto"/>
          <w:kern w:val="0"/>
          <w:sz w:val="32"/>
          <w:szCs w:val="32"/>
          <w:u w:val="none"/>
          <w:lang w:val="en-US" w:eastAsia="zh-CN"/>
        </w:rPr>
        <w:t>五</w:t>
      </w:r>
      <w:r>
        <w:rPr>
          <w:rFonts w:hint="eastAsia" w:ascii="黑体" w:hAnsi="黑体" w:eastAsia="方正黑体简体" w:cs="宋体"/>
          <w:b/>
          <w:bCs/>
          <w:color w:val="auto"/>
          <w:kern w:val="0"/>
          <w:sz w:val="32"/>
          <w:szCs w:val="32"/>
          <w:u w:val="none"/>
        </w:rPr>
        <w:t>条</w:t>
      </w:r>
      <w:r>
        <w:rPr>
          <w:rFonts w:hint="eastAsia" w:ascii="方正仿宋简体" w:hAnsi="方正仿宋简体" w:eastAsia="方正仿宋简体" w:cs="宋体"/>
          <w:b/>
          <w:bCs/>
          <w:color w:val="auto"/>
          <w:kern w:val="0"/>
          <w:sz w:val="32"/>
          <w:szCs w:val="32"/>
          <w:u w:val="none"/>
        </w:rPr>
        <w:t>　企业基础信用信息（甲类）分值、项目绩效信用信息（乙类）分值各60分。</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u w:val="none"/>
        </w:rPr>
      </w:pPr>
      <w:r>
        <w:rPr>
          <w:rFonts w:hint="eastAsia" w:ascii="方正仿宋简体" w:hAnsi="方正仿宋简体" w:eastAsia="方正仿宋简体" w:cs="宋体"/>
          <w:b/>
          <w:bCs/>
          <w:color w:val="auto"/>
          <w:kern w:val="0"/>
          <w:sz w:val="32"/>
          <w:szCs w:val="32"/>
          <w:u w:val="none"/>
        </w:rPr>
        <w:t>企业绩效分值，为企业所有项目绩效信用信息（乙类）分值的平均值。</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u w:val="none"/>
        </w:rPr>
      </w:pPr>
      <w:r>
        <w:rPr>
          <w:rFonts w:hint="eastAsia" w:ascii="方正仿宋简体" w:hAnsi="方正仿宋简体" w:eastAsia="方正仿宋简体" w:cs="宋体"/>
          <w:b/>
          <w:bCs/>
          <w:color w:val="auto"/>
          <w:kern w:val="0"/>
          <w:sz w:val="32"/>
          <w:szCs w:val="32"/>
          <w:u w:val="none"/>
        </w:rPr>
        <w:t>物业服务企业总信用分值为：企业基础信用信息（甲类）分值+企业绩效分值-企业不良信用信息（丙类）分值。</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u w:val="none"/>
          <w:lang w:eastAsia="zh-CN"/>
        </w:rPr>
      </w:pPr>
      <w:r>
        <w:rPr>
          <w:rFonts w:hint="eastAsia" w:ascii="黑体" w:hAnsi="黑体" w:eastAsia="方正黑体简体" w:cs="宋体"/>
          <w:b/>
          <w:bCs/>
          <w:color w:val="auto"/>
          <w:kern w:val="0"/>
          <w:sz w:val="32"/>
          <w:szCs w:val="32"/>
          <w:u w:val="none"/>
        </w:rPr>
        <w:t>第十</w:t>
      </w:r>
      <w:r>
        <w:rPr>
          <w:rFonts w:hint="eastAsia" w:ascii="黑体" w:hAnsi="黑体" w:eastAsia="方正黑体简体" w:cs="宋体"/>
          <w:b/>
          <w:bCs/>
          <w:color w:val="auto"/>
          <w:kern w:val="0"/>
          <w:sz w:val="32"/>
          <w:szCs w:val="32"/>
          <w:u w:val="none"/>
          <w:lang w:val="en-US" w:eastAsia="zh-CN"/>
        </w:rPr>
        <w:t>六</w:t>
      </w:r>
      <w:r>
        <w:rPr>
          <w:rFonts w:hint="eastAsia" w:ascii="黑体" w:hAnsi="黑体" w:eastAsia="方正黑体简体" w:cs="宋体"/>
          <w:b/>
          <w:bCs/>
          <w:color w:val="auto"/>
          <w:kern w:val="0"/>
          <w:sz w:val="32"/>
          <w:szCs w:val="32"/>
          <w:u w:val="none"/>
        </w:rPr>
        <w:t>条　</w:t>
      </w:r>
      <w:r>
        <w:rPr>
          <w:rFonts w:hint="eastAsia" w:ascii="方正仿宋简体" w:hAnsi="方正仿宋简体" w:eastAsia="方正仿宋简体" w:cs="宋体"/>
          <w:b/>
          <w:bCs/>
          <w:color w:val="auto"/>
          <w:kern w:val="0"/>
          <w:sz w:val="32"/>
          <w:szCs w:val="32"/>
          <w:u w:val="none"/>
        </w:rPr>
        <w:t>物业服务企业信用信息计分周期</w:t>
      </w:r>
      <w:r>
        <w:rPr>
          <w:rFonts w:hint="eastAsia" w:ascii="方正仿宋简体" w:hAnsi="方正仿宋简体" w:eastAsia="方正仿宋简体" w:cs="宋体"/>
          <w:b/>
          <w:bCs/>
          <w:color w:val="auto"/>
          <w:kern w:val="0"/>
          <w:sz w:val="32"/>
          <w:szCs w:val="32"/>
          <w:u w:val="none"/>
          <w:lang w:eastAsia="zh-CN"/>
        </w:rPr>
        <w:t>如下：</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u w:val="single"/>
        </w:rPr>
      </w:pPr>
      <w:r>
        <w:rPr>
          <w:rFonts w:hint="eastAsia" w:ascii="方正仿宋简体" w:hAnsi="方正仿宋简体" w:eastAsia="方正仿宋简体" w:cs="宋体"/>
          <w:b/>
          <w:bCs/>
          <w:color w:val="auto"/>
          <w:kern w:val="0"/>
          <w:sz w:val="32"/>
          <w:szCs w:val="32"/>
          <w:lang w:eastAsia="zh-CN"/>
        </w:rPr>
        <w:t>（一）</w:t>
      </w:r>
      <w:r>
        <w:rPr>
          <w:rFonts w:hint="eastAsia" w:ascii="方正仿宋简体" w:hAnsi="方正仿宋简体" w:eastAsia="方正仿宋简体" w:cs="宋体"/>
          <w:b/>
          <w:bCs/>
          <w:color w:val="auto"/>
          <w:kern w:val="0"/>
          <w:sz w:val="32"/>
          <w:szCs w:val="32"/>
        </w:rPr>
        <w:t>企业基础信用信息（甲类）</w:t>
      </w:r>
      <w:r>
        <w:rPr>
          <w:rFonts w:hint="eastAsia" w:ascii="方正仿宋简体" w:hAnsi="方正仿宋简体" w:eastAsia="方正仿宋简体" w:cs="宋体"/>
          <w:b/>
          <w:bCs/>
          <w:color w:val="auto"/>
          <w:kern w:val="0"/>
          <w:sz w:val="32"/>
          <w:szCs w:val="32"/>
          <w:lang w:eastAsia="zh-CN"/>
        </w:rPr>
        <w:t>中，</w:t>
      </w:r>
      <w:r>
        <w:rPr>
          <w:rFonts w:hint="eastAsia" w:ascii="方正仿宋简体" w:hAnsi="方正仿宋简体" w:eastAsia="方正仿宋简体" w:cs="宋体"/>
          <w:b/>
          <w:bCs/>
          <w:color w:val="auto"/>
          <w:kern w:val="0"/>
          <w:sz w:val="32"/>
          <w:szCs w:val="32"/>
        </w:rPr>
        <w:t>反映物业服务企业基本状况的信息</w:t>
      </w:r>
      <w:r>
        <w:rPr>
          <w:rFonts w:hint="eastAsia" w:ascii="方正仿宋简体" w:hAnsi="方正仿宋简体" w:eastAsia="方正仿宋简体" w:cs="宋体"/>
          <w:b/>
          <w:bCs/>
          <w:color w:val="auto"/>
          <w:kern w:val="0"/>
          <w:sz w:val="32"/>
          <w:szCs w:val="32"/>
          <w:lang w:eastAsia="zh-CN"/>
        </w:rPr>
        <w:t>长期有效</w:t>
      </w:r>
      <w:r>
        <w:rPr>
          <w:rFonts w:hint="eastAsia" w:ascii="方正仿宋简体" w:hAnsi="方正仿宋简体" w:eastAsia="方正仿宋简体" w:cs="宋体"/>
          <w:b/>
          <w:bCs/>
          <w:color w:val="auto"/>
          <w:kern w:val="0"/>
          <w:sz w:val="32"/>
          <w:szCs w:val="32"/>
        </w:rPr>
        <w:t>，</w:t>
      </w:r>
      <w:r>
        <w:rPr>
          <w:rFonts w:hint="eastAsia" w:ascii="方正仿宋简体" w:hAnsi="方正仿宋简体" w:eastAsia="方正仿宋简体" w:cs="宋体"/>
          <w:b/>
          <w:bCs/>
          <w:color w:val="auto"/>
          <w:kern w:val="0"/>
          <w:sz w:val="32"/>
          <w:szCs w:val="32"/>
          <w:u w:val="none"/>
        </w:rPr>
        <w:t>信息发生变更，分值随之实时变动</w:t>
      </w:r>
      <w:r>
        <w:rPr>
          <w:rFonts w:hint="eastAsia" w:ascii="方正仿宋简体" w:hAnsi="方正仿宋简体" w:eastAsia="方正仿宋简体" w:cs="宋体"/>
          <w:b/>
          <w:bCs/>
          <w:color w:val="auto"/>
          <w:kern w:val="0"/>
          <w:sz w:val="32"/>
          <w:szCs w:val="32"/>
          <w:u w:val="none"/>
          <w:lang w:eastAsia="zh-CN"/>
        </w:rPr>
        <w:t>；其他信息</w:t>
      </w:r>
      <w:r>
        <w:rPr>
          <w:rFonts w:hint="eastAsia" w:ascii="方正仿宋简体" w:hAnsi="方正仿宋简体" w:eastAsia="方正仿宋简体" w:cs="宋体"/>
          <w:b/>
          <w:bCs/>
          <w:color w:val="auto"/>
          <w:kern w:val="0"/>
          <w:sz w:val="32"/>
          <w:szCs w:val="32"/>
          <w:u w:val="none"/>
        </w:rPr>
        <w:t>的计分周期原则上按照信息的有效时限同步计算</w:t>
      </w:r>
      <w:r>
        <w:rPr>
          <w:rFonts w:hint="eastAsia" w:ascii="方正仿宋简体" w:hAnsi="方正仿宋简体" w:eastAsia="方正仿宋简体" w:cs="宋体"/>
          <w:b/>
          <w:bCs/>
          <w:color w:val="auto"/>
          <w:kern w:val="0"/>
          <w:sz w:val="32"/>
          <w:szCs w:val="32"/>
          <w:u w:val="none"/>
          <w:lang w:eastAsia="zh-CN"/>
        </w:rPr>
        <w:t>，</w:t>
      </w:r>
      <w:r>
        <w:rPr>
          <w:rFonts w:hint="eastAsia" w:ascii="方正仿宋简体" w:hAnsi="方正仿宋简体" w:eastAsia="方正仿宋简体" w:cs="宋体"/>
          <w:b/>
          <w:bCs/>
          <w:color w:val="auto"/>
          <w:kern w:val="0"/>
          <w:sz w:val="32"/>
          <w:szCs w:val="32"/>
          <w:u w:val="none"/>
        </w:rPr>
        <w:t>没有有效时限的，原则上计分周期为一年（自获得优良信用信息之日起计算）。</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u w:val="single"/>
          <w:lang w:eastAsia="zh-CN"/>
        </w:rPr>
      </w:pPr>
      <w:r>
        <w:rPr>
          <w:rFonts w:hint="eastAsia" w:ascii="方正仿宋简体" w:hAnsi="方正仿宋简体" w:eastAsia="方正仿宋简体" w:cs="宋体"/>
          <w:b/>
          <w:bCs/>
          <w:color w:val="auto"/>
          <w:kern w:val="0"/>
          <w:sz w:val="32"/>
          <w:szCs w:val="32"/>
          <w:lang w:eastAsia="zh-CN"/>
        </w:rPr>
        <w:t>（二）项目绩效信用信息（乙类）中，</w:t>
      </w:r>
      <w:r>
        <w:rPr>
          <w:rFonts w:hint="eastAsia" w:ascii="方正仿宋简体" w:hAnsi="方正仿宋简体" w:eastAsia="方正仿宋简体" w:cs="宋体"/>
          <w:b/>
          <w:bCs/>
          <w:color w:val="auto"/>
          <w:kern w:val="0"/>
          <w:sz w:val="32"/>
          <w:szCs w:val="32"/>
          <w:u w:val="none"/>
        </w:rPr>
        <w:t>日常考评情况采取分值覆盖方式</w:t>
      </w:r>
      <w:r>
        <w:rPr>
          <w:rFonts w:hint="eastAsia" w:ascii="方正仿宋简体" w:hAnsi="方正仿宋简体" w:eastAsia="方正仿宋简体" w:cs="宋体"/>
          <w:b/>
          <w:bCs/>
          <w:color w:val="auto"/>
          <w:kern w:val="0"/>
          <w:sz w:val="32"/>
          <w:szCs w:val="32"/>
          <w:u w:val="none"/>
          <w:lang w:eastAsia="zh-CN"/>
        </w:rPr>
        <w:t>，新分数</w:t>
      </w:r>
      <w:r>
        <w:rPr>
          <w:rFonts w:hint="eastAsia" w:ascii="方正仿宋简体" w:hAnsi="方正仿宋简体" w:eastAsia="方正仿宋简体" w:cs="宋体"/>
          <w:b/>
          <w:bCs/>
          <w:color w:val="auto"/>
          <w:kern w:val="0"/>
          <w:sz w:val="32"/>
          <w:szCs w:val="32"/>
          <w:u w:val="none"/>
        </w:rPr>
        <w:t>录入后自动覆盖上一次分值</w:t>
      </w:r>
      <w:r>
        <w:rPr>
          <w:rFonts w:hint="eastAsia" w:ascii="方正仿宋简体" w:hAnsi="方正仿宋简体" w:eastAsia="方正仿宋简体" w:cs="宋体"/>
          <w:b/>
          <w:bCs/>
          <w:color w:val="auto"/>
          <w:kern w:val="0"/>
          <w:sz w:val="32"/>
          <w:szCs w:val="32"/>
          <w:u w:val="none"/>
          <w:lang w:eastAsia="zh-CN"/>
        </w:rPr>
        <w:t>；其他信息</w:t>
      </w:r>
      <w:r>
        <w:rPr>
          <w:rFonts w:hint="eastAsia" w:ascii="方正仿宋简体" w:hAnsi="方正仿宋简体" w:eastAsia="方正仿宋简体" w:cs="宋体"/>
          <w:b/>
          <w:bCs/>
          <w:color w:val="auto"/>
          <w:kern w:val="0"/>
          <w:sz w:val="32"/>
          <w:szCs w:val="32"/>
          <w:u w:val="none"/>
        </w:rPr>
        <w:t>计分周期为一年（自信息录入之日起计算）</w:t>
      </w:r>
      <w:r>
        <w:rPr>
          <w:rFonts w:hint="eastAsia" w:ascii="方正仿宋简体" w:hAnsi="方正仿宋简体" w:eastAsia="方正仿宋简体" w:cs="宋体"/>
          <w:b/>
          <w:bCs/>
          <w:color w:val="auto"/>
          <w:kern w:val="0"/>
          <w:sz w:val="32"/>
          <w:szCs w:val="32"/>
          <w:u w:val="none"/>
          <w:lang w:eastAsia="zh-CN"/>
        </w:rPr>
        <w:t>，</w:t>
      </w:r>
      <w:r>
        <w:rPr>
          <w:rFonts w:hint="eastAsia" w:ascii="方正仿宋简体" w:hAnsi="方正仿宋简体" w:eastAsia="方正仿宋简体" w:cs="宋体"/>
          <w:b/>
          <w:bCs/>
          <w:color w:val="auto"/>
          <w:kern w:val="0"/>
          <w:sz w:val="32"/>
          <w:szCs w:val="32"/>
          <w:u w:val="none"/>
        </w:rPr>
        <w:t>一年内</w:t>
      </w:r>
      <w:r>
        <w:rPr>
          <w:rFonts w:ascii="方正仿宋简体" w:hAnsi="方正仿宋简体" w:eastAsia="方正仿宋简体" w:cs="宋体"/>
          <w:b/>
          <w:bCs/>
          <w:color w:val="auto"/>
          <w:kern w:val="0"/>
          <w:sz w:val="32"/>
          <w:szCs w:val="32"/>
          <w:u w:val="none"/>
        </w:rPr>
        <w:t>企业主动申报整改完成</w:t>
      </w:r>
      <w:r>
        <w:rPr>
          <w:rFonts w:hint="eastAsia" w:ascii="方正仿宋简体" w:hAnsi="方正仿宋简体" w:eastAsia="方正仿宋简体" w:cs="宋体"/>
          <w:b/>
          <w:bCs/>
          <w:color w:val="auto"/>
          <w:kern w:val="0"/>
          <w:sz w:val="32"/>
          <w:szCs w:val="32"/>
          <w:u w:val="none"/>
        </w:rPr>
        <w:t>的，核实后返还相应扣分分值；</w:t>
      </w:r>
      <w:r>
        <w:rPr>
          <w:rFonts w:ascii="方正仿宋简体" w:hAnsi="方正仿宋简体" w:eastAsia="方正仿宋简体" w:cs="宋体"/>
          <w:b/>
          <w:bCs/>
          <w:color w:val="auto"/>
          <w:kern w:val="0"/>
          <w:sz w:val="32"/>
          <w:szCs w:val="32"/>
          <w:u w:val="none"/>
        </w:rPr>
        <w:t>企业未主动申报的</w:t>
      </w:r>
      <w:r>
        <w:rPr>
          <w:rFonts w:hint="eastAsia" w:ascii="方正仿宋简体" w:hAnsi="方正仿宋简体" w:eastAsia="方正仿宋简体" w:cs="宋体"/>
          <w:b/>
          <w:bCs/>
          <w:color w:val="auto"/>
          <w:kern w:val="0"/>
          <w:sz w:val="32"/>
          <w:szCs w:val="32"/>
          <w:u w:val="none"/>
        </w:rPr>
        <w:t>，一年后自动返还相应扣分分值</w:t>
      </w:r>
      <w:r>
        <w:rPr>
          <w:rFonts w:hint="eastAsia" w:ascii="方正仿宋简体" w:hAnsi="方正仿宋简体" w:eastAsia="方正仿宋简体" w:cs="宋体"/>
          <w:b/>
          <w:bCs/>
          <w:color w:val="auto"/>
          <w:kern w:val="0"/>
          <w:sz w:val="32"/>
          <w:szCs w:val="32"/>
          <w:u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eastAsia="zh-CN"/>
        </w:rPr>
      </w:pPr>
      <w:r>
        <w:rPr>
          <w:rFonts w:hint="eastAsia" w:ascii="方正仿宋简体" w:hAnsi="方正仿宋简体" w:eastAsia="方正仿宋简体" w:cs="宋体"/>
          <w:b/>
          <w:bCs/>
          <w:color w:val="auto"/>
          <w:kern w:val="0"/>
          <w:sz w:val="32"/>
          <w:szCs w:val="32"/>
          <w:u w:val="none"/>
          <w:lang w:eastAsia="zh-CN"/>
        </w:rPr>
        <w:t>（三）企业不良信用信息（丙类）中，</w:t>
      </w:r>
      <w:r>
        <w:rPr>
          <w:rFonts w:hint="eastAsia" w:ascii="方正仿宋简体" w:hAnsi="方正仿宋简体" w:eastAsia="方正仿宋简体" w:cs="宋体"/>
          <w:b/>
          <w:bCs/>
          <w:color w:val="auto"/>
          <w:kern w:val="0"/>
          <w:sz w:val="32"/>
          <w:szCs w:val="32"/>
          <w:u w:val="none"/>
        </w:rPr>
        <w:t>企业一般不良信用信息的计分周期为一年（自信息产生之日起计算）。在一年内整改的，视整改情况在一年后返还相应分值，一年内未进行整改的维持扣分。涉及严重不良信用信息事项的，有效期根据企业整改情况确定。</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第十</w:t>
      </w:r>
      <w:r>
        <w:rPr>
          <w:rFonts w:hint="eastAsia" w:ascii="黑体" w:hAnsi="黑体" w:eastAsia="方正黑体简体" w:cs="宋体"/>
          <w:b/>
          <w:bCs/>
          <w:color w:val="auto"/>
          <w:kern w:val="0"/>
          <w:sz w:val="32"/>
          <w:szCs w:val="32"/>
          <w:lang w:val="en-US" w:eastAsia="zh-CN"/>
        </w:rPr>
        <w:t>七</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物业服务企业信用等级根据信用得分情况，由市物业信用系统实时生成，评级结果分为AAA级、AA级、A级、B级、C级。</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信用得分在</w:t>
      </w:r>
      <w:r>
        <w:rPr>
          <w:rFonts w:ascii="方正仿宋简体" w:hAnsi="方正仿宋简体" w:eastAsia="方正仿宋简体" w:cs="宋体"/>
          <w:b/>
          <w:bCs/>
          <w:color w:val="auto"/>
          <w:kern w:val="0"/>
          <w:sz w:val="32"/>
          <w:szCs w:val="32"/>
        </w:rPr>
        <w:t>8</w:t>
      </w:r>
      <w:r>
        <w:rPr>
          <w:rFonts w:hint="eastAsia" w:ascii="方正仿宋简体" w:hAnsi="方正仿宋简体" w:eastAsia="方正仿宋简体" w:cs="宋体"/>
          <w:b/>
          <w:bCs/>
          <w:color w:val="auto"/>
          <w:kern w:val="0"/>
          <w:sz w:val="32"/>
          <w:szCs w:val="32"/>
        </w:rPr>
        <w:t>5分（含）以上的，信用等级为：AAA级。</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信用得分在80分（含）至85分的，信用等级为：AA级。</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信用得分在70分（含）至80分的，信用等级为：A级。</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信用得分在60分（含）至70分的，或在60分以下且没有企业不良信用信息（丙类）的，信用等级为：B级。</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信用得分在6</w:t>
      </w:r>
      <w:r>
        <w:rPr>
          <w:rFonts w:ascii="方正仿宋简体" w:hAnsi="方正仿宋简体" w:eastAsia="方正仿宋简体" w:cs="宋体"/>
          <w:b/>
          <w:bCs/>
          <w:color w:val="auto"/>
          <w:kern w:val="0"/>
          <w:sz w:val="32"/>
          <w:szCs w:val="32"/>
        </w:rPr>
        <w:t>0</w:t>
      </w:r>
      <w:r>
        <w:rPr>
          <w:rFonts w:hint="eastAsia" w:ascii="方正仿宋简体" w:hAnsi="方正仿宋简体" w:eastAsia="方正仿宋简体" w:cs="宋体"/>
          <w:b/>
          <w:bCs/>
          <w:color w:val="auto"/>
          <w:kern w:val="0"/>
          <w:sz w:val="32"/>
          <w:szCs w:val="32"/>
        </w:rPr>
        <w:t>分以下，且有企业不良信用信息（丙类）的，信用等级为：C级。</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经</w:t>
      </w:r>
      <w:r>
        <w:rPr>
          <w:rFonts w:ascii="方正仿宋简体" w:hAnsi="方正仿宋简体" w:eastAsia="方正仿宋简体" w:cs="宋体"/>
          <w:b/>
          <w:bCs/>
          <w:color w:val="auto"/>
          <w:kern w:val="0"/>
          <w:sz w:val="32"/>
          <w:szCs w:val="32"/>
        </w:rPr>
        <w:t>物业主管部门核实，企业实际从事物业服务活动，但未按要</w:t>
      </w:r>
      <w:r>
        <w:rPr>
          <w:rFonts w:hint="eastAsia" w:ascii="方正仿宋简体" w:hAnsi="方正仿宋简体" w:eastAsia="方正仿宋简体" w:cs="宋体"/>
          <w:b/>
          <w:bCs/>
          <w:color w:val="auto"/>
          <w:kern w:val="0"/>
          <w:sz w:val="32"/>
          <w:szCs w:val="32"/>
        </w:rPr>
        <w:t>求参加信用信息管理的，信用等级为：C级（缺失）。</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w:t>
      </w:r>
      <w:r>
        <w:rPr>
          <w:rFonts w:hint="eastAsia" w:ascii="黑体" w:hAnsi="黑体" w:eastAsia="方正黑体简体" w:cs="宋体"/>
          <w:b/>
          <w:bCs/>
          <w:color w:val="auto"/>
          <w:kern w:val="0"/>
          <w:sz w:val="32"/>
          <w:szCs w:val="32"/>
          <w:lang w:val="en-US" w:eastAsia="zh-CN"/>
        </w:rPr>
        <w:t>十八</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建立物业服务企业信用严重失信制度。严重失信的行为包括：</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u w:val="none"/>
        </w:rPr>
      </w:pPr>
      <w:bookmarkStart w:id="1" w:name="_Hlk18333913"/>
      <w:r>
        <w:rPr>
          <w:rFonts w:hint="eastAsia" w:ascii="方正仿宋简体" w:hAnsi="方正仿宋简体" w:eastAsia="方正仿宋简体" w:cs="宋体"/>
          <w:b/>
          <w:bCs/>
          <w:color w:val="auto"/>
          <w:kern w:val="0"/>
          <w:sz w:val="32"/>
          <w:szCs w:val="32"/>
          <w:u w:val="none"/>
        </w:rPr>
        <w:t>（一）未按规定履行物业项目退出程序，擅自停止物业服务，或经合法程序解除物业服务合同后，拒不退出物业项目、移交物业用房及相关资料的，或将一个物业管理区域内的全部物业管理一并委托给其他管理人的；</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u w:val="none"/>
        </w:rPr>
      </w:pPr>
      <w:r>
        <w:rPr>
          <w:rFonts w:hint="eastAsia" w:ascii="方正仿宋简体" w:hAnsi="方正仿宋简体" w:eastAsia="方正仿宋简体" w:cs="宋体"/>
          <w:b/>
          <w:bCs/>
          <w:color w:val="auto"/>
          <w:kern w:val="0"/>
          <w:sz w:val="32"/>
          <w:szCs w:val="32"/>
          <w:u w:val="none"/>
        </w:rPr>
        <w:t>（二）擅自侵占、挪用、套用业主公共收益或专项维修资金</w:t>
      </w:r>
      <w:r>
        <w:rPr>
          <w:rFonts w:hint="eastAsia" w:ascii="方正仿宋简体" w:hAnsi="方正仿宋简体" w:eastAsia="方正仿宋简体" w:cs="宋体"/>
          <w:b/>
          <w:bCs/>
          <w:color w:val="auto"/>
          <w:kern w:val="0"/>
          <w:sz w:val="32"/>
          <w:szCs w:val="32"/>
          <w:u w:val="none"/>
          <w:lang w:val="en-US" w:eastAsia="zh-CN"/>
        </w:rPr>
        <w:t>的</w:t>
      </w:r>
      <w:r>
        <w:rPr>
          <w:rFonts w:hint="eastAsia" w:ascii="方正仿宋简体" w:hAnsi="方正仿宋简体" w:eastAsia="方正仿宋简体" w:cs="宋体"/>
          <w:b/>
          <w:bCs/>
          <w:color w:val="auto"/>
          <w:kern w:val="0"/>
          <w:sz w:val="32"/>
          <w:szCs w:val="32"/>
          <w:u w:val="none"/>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u w:val="single"/>
        </w:rPr>
      </w:pPr>
      <w:r>
        <w:rPr>
          <w:rFonts w:hint="eastAsia" w:ascii="方正仿宋简体" w:hAnsi="方正仿宋简体" w:eastAsia="方正仿宋简体" w:cs="宋体"/>
          <w:b/>
          <w:bCs/>
          <w:color w:val="auto"/>
          <w:kern w:val="0"/>
          <w:sz w:val="32"/>
          <w:szCs w:val="32"/>
          <w:u w:val="none"/>
        </w:rPr>
        <w:t>（三）因物业服务企业过错造成严重不良后果，影响社会稳定的；</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（四）经司法机关或行政机关确认因物业服务企业全部责任或主要责任，发生重大生产安全事故的；</w:t>
      </w:r>
      <w:r>
        <w:rPr>
          <w:rFonts w:ascii="方正仿宋简体" w:hAnsi="方正仿宋简体" w:eastAsia="方正仿宋简体" w:cs="宋体"/>
          <w:b/>
          <w:bCs/>
          <w:color w:val="auto"/>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（五）在物业服务招标投标中有围标、串标等行为，严重破坏市场公平及竞争秩序和社会正常秩序的；</w:t>
      </w:r>
      <w:r>
        <w:rPr>
          <w:rFonts w:ascii="方正仿宋简体" w:hAnsi="方正仿宋简体" w:eastAsia="方正仿宋简体" w:cs="宋体"/>
          <w:b/>
          <w:bCs/>
          <w:color w:val="auto"/>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（六）物业服务企业拒不履行法定义务，严重影响司法机关、行政机关公信力的，包括在司法机关、行政机关作出判决或决定后，有履行能力但拒不履行、逃避执行的。</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物业服务企业出现第（一）至（三）项任意一项不超过1次的，信用等级暂定为C级（黄牌）；拒不整改、无法补救、出现第（一）至（三）项任意一项超过1次或发生第（四）至（六）项任意一项行为的，信用等级确定为C级（严重失信）。</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暂定为C级（黄牌）的有效期为自列入之日起</w:t>
      </w:r>
      <w:r>
        <w:rPr>
          <w:rFonts w:hint="eastAsia" w:ascii="方正仿宋简体" w:hAnsi="方正仿宋简体" w:eastAsia="方正仿宋简体" w:cs="宋体"/>
          <w:b/>
          <w:bCs/>
          <w:color w:val="auto"/>
          <w:kern w:val="0"/>
          <w:sz w:val="32"/>
          <w:szCs w:val="32"/>
          <w:lang w:val="en-US" w:eastAsia="zh-CN"/>
        </w:rPr>
        <w:t>12</w:t>
      </w:r>
      <w:r>
        <w:rPr>
          <w:rFonts w:hint="eastAsia" w:ascii="方正仿宋简体" w:hAnsi="方正仿宋简体" w:eastAsia="方正仿宋简体" w:cs="宋体"/>
          <w:b/>
          <w:bCs/>
          <w:color w:val="auto"/>
          <w:kern w:val="0"/>
          <w:sz w:val="32"/>
          <w:szCs w:val="32"/>
        </w:rPr>
        <w:t>个月，有效期过后信用分值和信用等级重新评定，其严重不良信用信息转为信用档案长期保存。</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黑体" w:hAnsi="黑体" w:eastAsia="方正黑体简体" w:cs="宋体"/>
          <w:b/>
          <w:bCs/>
          <w:color w:val="auto"/>
          <w:kern w:val="0"/>
          <w:sz w:val="32"/>
          <w:szCs w:val="32"/>
        </w:rPr>
      </w:pPr>
      <w:r>
        <w:rPr>
          <w:rFonts w:hint="eastAsia" w:ascii="黑体" w:hAnsi="黑体" w:eastAsia="方正黑体简体" w:cs="宋体"/>
          <w:b/>
          <w:bCs/>
          <w:color w:val="auto"/>
          <w:kern w:val="0"/>
          <w:sz w:val="32"/>
          <w:szCs w:val="32"/>
        </w:rPr>
        <w:t>第十</w:t>
      </w:r>
      <w:r>
        <w:rPr>
          <w:rFonts w:hint="eastAsia" w:ascii="黑体" w:hAnsi="黑体" w:eastAsia="方正黑体简体" w:cs="宋体"/>
          <w:b/>
          <w:bCs/>
          <w:color w:val="auto"/>
          <w:kern w:val="0"/>
          <w:sz w:val="32"/>
          <w:szCs w:val="32"/>
          <w:lang w:val="en-US" w:eastAsia="zh-CN"/>
        </w:rPr>
        <w:t>九</w:t>
      </w:r>
      <w:r>
        <w:rPr>
          <w:rFonts w:hint="eastAsia" w:ascii="黑体" w:hAnsi="黑体" w:eastAsia="方正黑体简体" w:cs="宋体"/>
          <w:b/>
          <w:bCs/>
          <w:color w:val="auto"/>
          <w:kern w:val="0"/>
          <w:sz w:val="32"/>
          <w:szCs w:val="32"/>
        </w:rPr>
        <w:t>条　</w:t>
      </w:r>
      <w:r>
        <w:rPr>
          <w:rFonts w:hint="eastAsia" w:ascii="方正仿宋简体" w:hAnsi="方正仿宋简体" w:eastAsia="方正仿宋简体" w:cs="宋体"/>
          <w:b/>
          <w:bCs/>
          <w:color w:val="auto"/>
          <w:kern w:val="0"/>
          <w:sz w:val="32"/>
          <w:szCs w:val="32"/>
        </w:rPr>
        <w:t>物业服务企业对信用得分和等级等有异议的，可向</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物业主管部门书面提出。</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物业主管部门应当在收到书面异议后15个工作日内进行核查并书面答复。核查期间，应当对物业服务企业的信用得分和等级结果进行标注，直至异议处理结束。经核查确认有误的，应当及时予以纠正。</w:t>
      </w:r>
    </w:p>
    <w:bookmarkEnd w:id="1"/>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w:t>
      </w:r>
      <w:r>
        <w:rPr>
          <w:rFonts w:hint="eastAsia" w:ascii="黑体" w:hAnsi="黑体" w:eastAsia="方正黑体简体" w:cs="宋体"/>
          <w:b/>
          <w:bCs/>
          <w:color w:val="auto"/>
          <w:kern w:val="0"/>
          <w:sz w:val="32"/>
          <w:szCs w:val="32"/>
          <w:lang w:val="en-US" w:eastAsia="zh-CN"/>
        </w:rPr>
        <w:t>二十</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物业主管部门、街道</w:t>
      </w:r>
      <w:r>
        <w:rPr>
          <w:rFonts w:ascii="方正仿宋简体" w:hAnsi="方正仿宋简体" w:eastAsia="方正仿宋简体" w:cs="宋体"/>
          <w:b/>
          <w:bCs/>
          <w:color w:val="auto"/>
          <w:kern w:val="0"/>
          <w:sz w:val="32"/>
          <w:szCs w:val="32"/>
        </w:rPr>
        <w:t>办事处（</w:t>
      </w:r>
      <w:r>
        <w:rPr>
          <w:rFonts w:hint="eastAsia" w:ascii="方正仿宋简体" w:hAnsi="方正仿宋简体" w:eastAsia="方正仿宋简体" w:cs="宋体"/>
          <w:b/>
          <w:bCs/>
          <w:color w:val="auto"/>
          <w:kern w:val="0"/>
          <w:sz w:val="32"/>
          <w:szCs w:val="32"/>
        </w:rPr>
        <w:t>乡镇</w:t>
      </w:r>
      <w:r>
        <w:rPr>
          <w:rFonts w:ascii="方正仿宋简体" w:hAnsi="方正仿宋简体" w:eastAsia="方正仿宋简体" w:cs="宋体"/>
          <w:b/>
          <w:bCs/>
          <w:color w:val="auto"/>
          <w:kern w:val="0"/>
          <w:sz w:val="32"/>
          <w:szCs w:val="32"/>
        </w:rPr>
        <w:t>人民政府）和</w:t>
      </w:r>
      <w:r>
        <w:rPr>
          <w:rFonts w:hint="eastAsia" w:ascii="方正仿宋简体" w:hAnsi="方正仿宋简体" w:eastAsia="方正仿宋简体" w:cs="宋体"/>
          <w:b/>
          <w:bCs/>
          <w:color w:val="auto"/>
          <w:kern w:val="0"/>
          <w:sz w:val="32"/>
          <w:szCs w:val="32"/>
        </w:rPr>
        <w:t>社区居民委员会（社区环境和物业管理委员会）应设立并公布投诉举报电话、邮箱等，受理对于物业服务企业信用信息填报、评级管理等方面的投诉举报，对查实的投诉举报，录入市物业信用系统。</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第四章　信用信息发布和应用</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方正黑体简体" w:cs="宋体"/>
          <w:b/>
          <w:bCs/>
          <w:color w:val="auto"/>
          <w:kern w:val="0"/>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第二十</w:t>
      </w:r>
      <w:r>
        <w:rPr>
          <w:rFonts w:hint="eastAsia" w:ascii="黑体" w:hAnsi="黑体" w:eastAsia="方正黑体简体" w:cs="宋体"/>
          <w:b/>
          <w:bCs/>
          <w:color w:val="auto"/>
          <w:kern w:val="0"/>
          <w:sz w:val="32"/>
          <w:szCs w:val="32"/>
          <w:lang w:val="en-US" w:eastAsia="zh-CN"/>
        </w:rPr>
        <w:t>一</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w:t>
      </w:r>
      <w:r>
        <w:rPr>
          <w:rFonts w:hint="eastAsia" w:ascii="方正仿宋简体" w:hAnsi="方正仿宋简体" w:eastAsia="方正仿宋简体" w:cs="宋体"/>
          <w:b/>
          <w:bCs/>
          <w:color w:val="auto"/>
          <w:kern w:val="0"/>
          <w:sz w:val="32"/>
          <w:szCs w:val="32"/>
          <w:lang w:eastAsia="zh-CN"/>
        </w:rPr>
        <w:t>物业服务企业</w:t>
      </w:r>
      <w:r>
        <w:rPr>
          <w:rFonts w:hint="eastAsia" w:ascii="方正仿宋简体" w:hAnsi="方正仿宋简体" w:eastAsia="方正仿宋简体" w:cs="宋体"/>
          <w:b/>
          <w:bCs/>
          <w:color w:val="auto"/>
          <w:kern w:val="0"/>
          <w:sz w:val="32"/>
          <w:szCs w:val="32"/>
        </w:rPr>
        <w:t>信用评级结果在市物业信用系统公开，并按规定实现与“信用济宁”“国家企业信用信息公示系统”等公共信用信息平台的互通共享。物业服务企业根据需要可通过市物业信用系统查询信用</w:t>
      </w:r>
      <w:r>
        <w:rPr>
          <w:rFonts w:ascii="方正仿宋简体" w:hAnsi="方正仿宋简体" w:eastAsia="方正仿宋简体" w:cs="宋体"/>
          <w:b/>
          <w:bCs/>
          <w:color w:val="auto"/>
          <w:kern w:val="0"/>
          <w:sz w:val="32"/>
          <w:szCs w:val="32"/>
        </w:rPr>
        <w:t>等级，并</w:t>
      </w:r>
      <w:r>
        <w:rPr>
          <w:rFonts w:hint="eastAsia" w:ascii="方正仿宋简体" w:hAnsi="方正仿宋简体" w:eastAsia="方正仿宋简体" w:cs="宋体"/>
          <w:b/>
          <w:bCs/>
          <w:color w:val="auto"/>
          <w:kern w:val="0"/>
          <w:sz w:val="32"/>
          <w:szCs w:val="32"/>
        </w:rPr>
        <w:t>打印信用报告。有关部门、单位可依法通过市物业信用系统查询物业服务企业信用等级等情况。</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第二十</w:t>
      </w:r>
      <w:r>
        <w:rPr>
          <w:rFonts w:hint="eastAsia" w:ascii="黑体" w:hAnsi="黑体" w:eastAsia="方正黑体简体" w:cs="宋体"/>
          <w:b/>
          <w:bCs/>
          <w:color w:val="auto"/>
          <w:kern w:val="0"/>
          <w:sz w:val="32"/>
          <w:szCs w:val="32"/>
          <w:lang w:val="en-US" w:eastAsia="zh-CN"/>
        </w:rPr>
        <w:t>二</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物业主管部门可以定期通报物业服务企业信用等级情况，并将企业信用等级作为实施分类监管以及前期物业服务招标、业主大会选聘物业服务企业、表彰评选推介等活动的重要参考依据，实行守信激励、失信惩戒。</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第二十</w:t>
      </w:r>
      <w:r>
        <w:rPr>
          <w:rFonts w:hint="eastAsia" w:ascii="黑体" w:hAnsi="黑体" w:eastAsia="方正黑体简体" w:cs="宋体"/>
          <w:b/>
          <w:bCs/>
          <w:color w:val="auto"/>
          <w:kern w:val="0"/>
          <w:sz w:val="32"/>
          <w:szCs w:val="32"/>
          <w:lang w:val="en-US" w:eastAsia="zh-CN"/>
        </w:rPr>
        <w:t>三</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对信用等级A级以上的物业服务企业，在同等条件下可以依法采取下列激励措施：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（一）在实施行政许可等活动中给予“绿色通道”、容缺受理等便利服务措施；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（二）在财政性资金项目安排、招商引资配套优惠政策等方面列为优先选择对象；</w:t>
      </w:r>
      <w:r>
        <w:rPr>
          <w:rFonts w:ascii="方正仿宋简体" w:hAnsi="方正仿宋简体" w:eastAsia="方正仿宋简体" w:cs="宋体"/>
          <w:b/>
          <w:bCs/>
          <w:color w:val="auto"/>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（三）在媒体推介、荣誉评选等活动中列为优先选择对象；</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（四）在有关公共资源交易活动中依法依约采取信用加分等措施；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（五）在日常检查、专项检查、“双随机、一公开”监管中，适当降低抽查比例和频次；</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（六）国家、省和市规定的其他措施。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黑体" w:hAnsi="黑体" w:eastAsia="方正黑体简体" w:cs="宋体"/>
          <w:b/>
          <w:bCs/>
          <w:color w:val="auto"/>
          <w:kern w:val="0"/>
          <w:sz w:val="32"/>
          <w:szCs w:val="32"/>
        </w:rPr>
      </w:pPr>
      <w:r>
        <w:rPr>
          <w:rFonts w:hint="eastAsia" w:ascii="黑体" w:hAnsi="黑体" w:eastAsia="方正黑体简体" w:cs="宋体"/>
          <w:b/>
          <w:bCs/>
          <w:color w:val="auto"/>
          <w:kern w:val="0"/>
          <w:sz w:val="32"/>
          <w:szCs w:val="32"/>
        </w:rPr>
        <w:t>第二十</w:t>
      </w:r>
      <w:r>
        <w:rPr>
          <w:rFonts w:hint="eastAsia" w:ascii="黑体" w:hAnsi="黑体" w:eastAsia="方正黑体简体" w:cs="宋体"/>
          <w:b/>
          <w:bCs/>
          <w:color w:val="auto"/>
          <w:kern w:val="0"/>
          <w:sz w:val="32"/>
          <w:szCs w:val="32"/>
          <w:lang w:val="en-US" w:eastAsia="zh-CN"/>
        </w:rPr>
        <w:t>四</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对于信用等级为C级的物业服务企业，可以依法采取下列措施：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eastAsia="zh-CN"/>
        </w:rPr>
      </w:pPr>
      <w:r>
        <w:rPr>
          <w:rFonts w:hint="eastAsia" w:ascii="方正仿宋简体" w:hAnsi="方正仿宋简体" w:eastAsia="方正仿宋简体" w:cs="宋体"/>
          <w:b/>
          <w:bCs/>
          <w:color w:val="auto"/>
          <w:kern w:val="0"/>
          <w:sz w:val="32"/>
          <w:szCs w:val="32"/>
        </w:rPr>
        <w:t>（一）在日常检查、专项检查、“双随机、一公开”监管中，提高抽查比例和频次</w:t>
      </w:r>
      <w:r>
        <w:rPr>
          <w:rFonts w:hint="eastAsia" w:ascii="方正仿宋简体" w:hAnsi="方正仿宋简体" w:eastAsia="方正仿宋简体" w:cs="宋体"/>
          <w:b/>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（二）作为开发建设单位、业主大会开展招标活动的参考；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（三）作为审核财政资金补助、税收优惠等政策扶持的参考；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（四）作为政府采购等公共资源交易活动的参考；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（五）作为政府部门、行业协会表彰奖励活动的参考；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（六）国家、省和市规定的其他措施。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第二十</w:t>
      </w:r>
      <w:r>
        <w:rPr>
          <w:rFonts w:hint="eastAsia" w:ascii="黑体" w:hAnsi="黑体" w:eastAsia="方正黑体简体" w:cs="宋体"/>
          <w:b/>
          <w:bCs/>
          <w:color w:val="auto"/>
          <w:kern w:val="0"/>
          <w:sz w:val="32"/>
          <w:szCs w:val="32"/>
          <w:lang w:val="en-US" w:eastAsia="zh-CN"/>
        </w:rPr>
        <w:t>五</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对信用等级为C级（严重失信）的物业服务企业，除可采取本办法第二十</w:t>
      </w:r>
      <w:r>
        <w:rPr>
          <w:rFonts w:hint="eastAsia" w:ascii="方正仿宋简体" w:hAnsi="方正仿宋简体" w:eastAsia="方正仿宋简体" w:cs="宋体"/>
          <w:b/>
          <w:bCs/>
          <w:color w:val="auto"/>
          <w:kern w:val="0"/>
          <w:sz w:val="32"/>
          <w:szCs w:val="32"/>
          <w:lang w:val="en-US" w:eastAsia="zh-CN"/>
        </w:rPr>
        <w:t>四</w:t>
      </w:r>
      <w:r>
        <w:rPr>
          <w:rFonts w:hint="eastAsia" w:ascii="方正仿宋简体" w:hAnsi="方正仿宋简体" w:eastAsia="方正仿宋简体" w:cs="宋体"/>
          <w:b/>
          <w:bCs/>
          <w:color w:val="auto"/>
          <w:kern w:val="0"/>
          <w:sz w:val="32"/>
          <w:szCs w:val="32"/>
        </w:rPr>
        <w:t>条规定的措施外，物业主管部门或街道办事处（乡镇人民政府）还可以依法采取以下措施：</w:t>
      </w:r>
      <w:r>
        <w:rPr>
          <w:rFonts w:ascii="方正仿宋简体" w:hAnsi="方正仿宋简体" w:eastAsia="方正仿宋简体" w:cs="宋体"/>
          <w:b/>
          <w:bCs/>
          <w:color w:val="auto"/>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（一）撤销企业及其法定代表人、负责人和对失信行为负有直接责任的相关人员的荣誉称号，取消参加评先评优资格；</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（二）约谈企业负责人，责令限期整改；</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eastAsia="zh-CN"/>
        </w:rPr>
      </w:pPr>
      <w:r>
        <w:rPr>
          <w:rFonts w:hint="eastAsia" w:ascii="方正仿宋简体" w:hAnsi="方正仿宋简体" w:eastAsia="方正仿宋简体" w:cs="宋体"/>
          <w:b/>
          <w:bCs/>
          <w:color w:val="auto"/>
          <w:kern w:val="0"/>
          <w:sz w:val="32"/>
          <w:szCs w:val="32"/>
        </w:rPr>
        <w:t>（三）视情节向业主大会提出解除物业服务合同或者不再续约的书面建议</w:t>
      </w:r>
      <w:r>
        <w:rPr>
          <w:rFonts w:hint="eastAsia" w:ascii="方正仿宋简体" w:hAnsi="方正仿宋简体" w:eastAsia="方正仿宋简体" w:cs="宋体"/>
          <w:b/>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lang w:eastAsia="zh-CN"/>
        </w:rPr>
        <w:t>（四）将信用信息通报信用管理部门和其他部门，实施协同监管、联合惩戒。</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第五章　附　则</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方正黑体简体" w:cs="宋体"/>
          <w:b/>
          <w:bCs/>
          <w:color w:val="auto"/>
          <w:kern w:val="0"/>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第二十</w:t>
      </w:r>
      <w:r>
        <w:rPr>
          <w:rFonts w:hint="eastAsia" w:ascii="黑体" w:hAnsi="黑体" w:eastAsia="方正黑体简体" w:cs="宋体"/>
          <w:b/>
          <w:bCs/>
          <w:color w:val="auto"/>
          <w:kern w:val="0"/>
          <w:sz w:val="32"/>
          <w:szCs w:val="32"/>
          <w:lang w:val="en-US" w:eastAsia="zh-CN"/>
        </w:rPr>
        <w:t>六</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相关管理机构及其工作人员在物业服务企业信用信息管理工作中，应当认真履行职责，不得徇私舞弊、玩忽职守、滥用职权，违者依法追究相关责任。</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第二十</w:t>
      </w:r>
      <w:r>
        <w:rPr>
          <w:rFonts w:hint="eastAsia" w:ascii="黑体" w:hAnsi="黑体" w:eastAsia="方正黑体简体" w:cs="宋体"/>
          <w:b/>
          <w:bCs/>
          <w:color w:val="auto"/>
          <w:kern w:val="0"/>
          <w:sz w:val="32"/>
          <w:szCs w:val="32"/>
          <w:lang w:val="en-US" w:eastAsia="zh-CN"/>
        </w:rPr>
        <w:t>七</w:t>
      </w:r>
      <w:r>
        <w:rPr>
          <w:rFonts w:hint="eastAsia" w:ascii="黑体" w:hAnsi="黑体" w:eastAsia="方正黑体简体" w:cs="宋体"/>
          <w:b/>
          <w:bCs/>
          <w:color w:val="auto"/>
          <w:kern w:val="0"/>
          <w:sz w:val="32"/>
          <w:szCs w:val="32"/>
        </w:rPr>
        <w:t>条　</w:t>
      </w:r>
      <w:r>
        <w:rPr>
          <w:rFonts w:hint="eastAsia" w:ascii="方正仿宋简体" w:hAnsi="方正仿宋简体" w:eastAsia="方正仿宋简体" w:cs="宋体"/>
          <w:b/>
          <w:bCs/>
          <w:color w:val="auto"/>
          <w:kern w:val="0"/>
          <w:sz w:val="32"/>
          <w:szCs w:val="32"/>
        </w:rPr>
        <w:t>本办法由济宁市住房和</w:t>
      </w:r>
      <w:r>
        <w:rPr>
          <w:rFonts w:ascii="方正仿宋简体" w:hAnsi="方正仿宋简体" w:eastAsia="方正仿宋简体" w:cs="宋体"/>
          <w:b/>
          <w:bCs/>
          <w:color w:val="auto"/>
          <w:kern w:val="0"/>
          <w:sz w:val="32"/>
          <w:szCs w:val="32"/>
        </w:rPr>
        <w:t>城乡建设</w:t>
      </w:r>
      <w:r>
        <w:rPr>
          <w:rFonts w:hint="eastAsia" w:ascii="方正仿宋简体" w:hAnsi="方正仿宋简体" w:eastAsia="方正仿宋简体" w:cs="宋体"/>
          <w:b/>
          <w:bCs/>
          <w:color w:val="auto"/>
          <w:kern w:val="0"/>
          <w:sz w:val="32"/>
          <w:szCs w:val="32"/>
        </w:rPr>
        <w:t>局负责解释。</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w:t>
      </w:r>
      <w:r>
        <w:rPr>
          <w:rFonts w:hint="eastAsia" w:ascii="黑体" w:hAnsi="黑体" w:eastAsia="方正黑体简体" w:cs="宋体"/>
          <w:b/>
          <w:bCs/>
          <w:color w:val="auto"/>
          <w:kern w:val="0"/>
          <w:sz w:val="32"/>
          <w:szCs w:val="32"/>
          <w:lang w:val="en-US" w:eastAsia="zh-CN"/>
        </w:rPr>
        <w:t>二十八</w:t>
      </w:r>
      <w:r>
        <w:rPr>
          <w:rFonts w:hint="eastAsia" w:ascii="黑体" w:hAnsi="黑体" w:eastAsia="方正黑体简体" w:cs="宋体"/>
          <w:b/>
          <w:bCs/>
          <w:color w:val="auto"/>
          <w:kern w:val="0"/>
          <w:sz w:val="32"/>
          <w:szCs w:val="32"/>
        </w:rPr>
        <w:t>条　</w:t>
      </w:r>
      <w:r>
        <w:rPr>
          <w:rFonts w:hint="eastAsia" w:ascii="方正仿宋简体" w:hAnsi="方正仿宋简体" w:eastAsia="方正仿宋简体" w:cs="宋体"/>
          <w:b/>
          <w:bCs/>
          <w:color w:val="auto"/>
          <w:kern w:val="0"/>
          <w:sz w:val="32"/>
          <w:szCs w:val="32"/>
        </w:rPr>
        <w:t>本办法自</w:t>
      </w:r>
      <w:r>
        <w:rPr>
          <w:rFonts w:hint="eastAsia" w:ascii="方正仿宋简体" w:hAnsi="方正仿宋简体" w:eastAsia="方正仿宋简体" w:cs="宋体"/>
          <w:b/>
          <w:bCs/>
          <w:color w:val="auto"/>
          <w:kern w:val="0"/>
          <w:sz w:val="32"/>
          <w:szCs w:val="32"/>
          <w:lang w:val="en-US" w:eastAsia="zh-CN"/>
        </w:rPr>
        <w:t>印发之日</w:t>
      </w:r>
      <w:r>
        <w:rPr>
          <w:rFonts w:hint="eastAsia" w:ascii="方正仿宋简体" w:hAnsi="方正仿宋简体" w:eastAsia="方正仿宋简体" w:cs="宋体"/>
          <w:b/>
          <w:bCs/>
          <w:color w:val="auto"/>
          <w:kern w:val="0"/>
          <w:sz w:val="32"/>
          <w:szCs w:val="32"/>
        </w:rPr>
        <w:t>起施行，有效期至202</w:t>
      </w:r>
      <w:r>
        <w:rPr>
          <w:rFonts w:hint="eastAsia" w:ascii="方正仿宋简体" w:hAnsi="方正仿宋简体" w:eastAsia="方正仿宋简体" w:cs="宋体"/>
          <w:b/>
          <w:bCs/>
          <w:color w:val="auto"/>
          <w:kern w:val="0"/>
          <w:sz w:val="32"/>
          <w:szCs w:val="32"/>
          <w:lang w:val="en-US" w:eastAsia="zh-CN"/>
        </w:rPr>
        <w:t>7</w:t>
      </w:r>
      <w:r>
        <w:rPr>
          <w:rFonts w:hint="eastAsia" w:ascii="方正仿宋简体" w:hAnsi="方正仿宋简体" w:eastAsia="方正仿宋简体" w:cs="宋体"/>
          <w:b/>
          <w:bCs/>
          <w:color w:val="auto"/>
          <w:kern w:val="0"/>
          <w:sz w:val="32"/>
          <w:szCs w:val="32"/>
        </w:rPr>
        <w:t>年</w:t>
      </w:r>
      <w:r>
        <w:rPr>
          <w:rFonts w:hint="eastAsia" w:ascii="方正仿宋简体" w:hAnsi="方正仿宋简体" w:eastAsia="方正仿宋简体" w:cs="宋体"/>
          <w:b/>
          <w:bCs/>
          <w:color w:val="auto"/>
          <w:kern w:val="0"/>
          <w:sz w:val="32"/>
          <w:szCs w:val="32"/>
          <w:lang w:val="en-US" w:eastAsia="zh-CN"/>
        </w:rPr>
        <w:t>5</w:t>
      </w:r>
      <w:r>
        <w:rPr>
          <w:rFonts w:hint="eastAsia" w:ascii="方正仿宋简体" w:hAnsi="方正仿宋简体" w:eastAsia="方正仿宋简体" w:cs="宋体"/>
          <w:b/>
          <w:bCs/>
          <w:color w:val="auto"/>
          <w:kern w:val="0"/>
          <w:sz w:val="32"/>
          <w:szCs w:val="32"/>
        </w:rPr>
        <w:t>月</w:t>
      </w:r>
      <w:r>
        <w:rPr>
          <w:rFonts w:hint="eastAsia" w:ascii="方正仿宋简体" w:hAnsi="方正仿宋简体" w:eastAsia="方正仿宋简体" w:cs="宋体"/>
          <w:b/>
          <w:bCs/>
          <w:color w:val="auto"/>
          <w:kern w:val="0"/>
          <w:sz w:val="32"/>
          <w:szCs w:val="32"/>
          <w:lang w:val="en-US" w:eastAsia="zh-CN"/>
        </w:rPr>
        <w:t>24</w:t>
      </w:r>
      <w:r>
        <w:rPr>
          <w:rFonts w:hint="eastAsia" w:ascii="方正仿宋简体" w:hAnsi="方正仿宋简体" w:eastAsia="方正仿宋简体" w:cs="宋体"/>
          <w:b/>
          <w:bCs/>
          <w:color w:val="auto"/>
          <w:kern w:val="0"/>
          <w:sz w:val="32"/>
          <w:szCs w:val="32"/>
        </w:rPr>
        <w:t>日。相关法律法规和政策依据发生变化或有效期届满，将依据实施情况依法评估修订。</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ascii="方正仿宋简体" w:hAnsi="方正仿宋简体" w:eastAsia="方正仿宋简体" w:cs="宋体"/>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ascii="仿宋_GB2312" w:eastAsia="仿宋_GB2312"/>
          <w:b/>
          <w:bCs/>
          <w:color w:val="auto"/>
          <w:sz w:val="32"/>
          <w:szCs w:val="32"/>
        </w:rPr>
      </w:pPr>
      <w:r>
        <w:rPr>
          <w:rFonts w:hint="eastAsia" w:ascii="方正仿宋简体" w:hAnsi="方正仿宋简体" w:eastAsia="方正仿宋简体" w:cs="宋体"/>
          <w:b/>
          <w:bCs/>
          <w:color w:val="auto"/>
          <w:kern w:val="0"/>
          <w:sz w:val="32"/>
          <w:szCs w:val="32"/>
        </w:rPr>
        <w:t>附件：济宁市物业服务企业信用信息评分标准</w:t>
      </w:r>
    </w:p>
    <w:p>
      <w:pPr>
        <w:spacing w:line="600" w:lineRule="exact"/>
        <w:jc w:val="center"/>
        <w:rPr>
          <w:rFonts w:ascii="方正小标宋简体" w:eastAsia="方正小标宋简体"/>
          <w:b/>
          <w:bCs/>
          <w:color w:val="auto"/>
          <w:sz w:val="38"/>
          <w:szCs w:val="38"/>
        </w:rPr>
        <w:sectPr>
          <w:footerReference r:id="rId3" w:type="default"/>
          <w:pgSz w:w="11906" w:h="16838"/>
          <w:pgMar w:top="1985" w:right="1587" w:bottom="1531"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600" w:lineRule="exact"/>
        <w:rPr>
          <w:rFonts w:hint="eastAsia" w:ascii="黑体" w:hAnsi="黑体" w:eastAsia="方正黑体简体" w:cs="黑体"/>
          <w:b/>
          <w:bCs/>
          <w:color w:val="auto"/>
          <w:sz w:val="32"/>
          <w:szCs w:val="32"/>
          <w:lang w:val="en-US" w:eastAsia="zh-CN"/>
        </w:rPr>
      </w:pPr>
      <w:r>
        <w:rPr>
          <w:rFonts w:hint="eastAsia" w:ascii="黑体" w:hAnsi="黑体" w:eastAsia="方正黑体简体" w:cs="黑体"/>
          <w:b/>
          <w:bCs/>
          <w:color w:val="auto"/>
          <w:sz w:val="32"/>
          <w:szCs w:val="32"/>
        </w:rPr>
        <w:t>附件</w:t>
      </w:r>
    </w:p>
    <w:p>
      <w:pPr>
        <w:jc w:val="center"/>
        <w:rPr>
          <w:rFonts w:ascii="方正小标宋简体" w:eastAsia="方正小标宋简体"/>
          <w:b/>
          <w:bCs/>
          <w:color w:val="auto"/>
          <w:sz w:val="44"/>
          <w:szCs w:val="44"/>
        </w:rPr>
      </w:pPr>
      <w:r>
        <w:rPr>
          <w:rFonts w:hint="eastAsia" w:ascii="方正小标宋简体" w:eastAsia="方正小标宋简体"/>
          <w:b/>
          <w:bCs/>
          <w:color w:val="auto"/>
          <w:sz w:val="44"/>
          <w:szCs w:val="44"/>
        </w:rPr>
        <w:t>济宁市物业服务企业信用信息评分标准</w:t>
      </w:r>
    </w:p>
    <w:p>
      <w:pPr>
        <w:jc w:val="center"/>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甲类　企业基础信用信息（共60分）</w:t>
      </w:r>
    </w:p>
    <w:tbl>
      <w:tblPr>
        <w:tblStyle w:val="1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60"/>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694" w:type="dxa"/>
            <w:gridSpan w:val="2"/>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类别</w:t>
            </w:r>
          </w:p>
        </w:tc>
        <w:tc>
          <w:tcPr>
            <w:tcW w:w="5670"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134"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企业员工信息</w:t>
            </w:r>
          </w:p>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（10分）</w:t>
            </w:r>
          </w:p>
        </w:tc>
        <w:tc>
          <w:tcPr>
            <w:tcW w:w="15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固定员工数</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（5分）</w:t>
            </w:r>
          </w:p>
        </w:tc>
        <w:tc>
          <w:tcPr>
            <w:tcW w:w="5670"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每1人得0.1分，最高不超过5分。固定员工数为缴纳基本养老保险费人数，佐证材料以缴款人为本企业的当年度社会保险基金缴纳票据为准，当年度有效。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1134" w:type="dxa"/>
            <w:vMerge w:val="continue"/>
            <w:vAlign w:val="center"/>
          </w:tcPr>
          <w:p>
            <w:pPr>
              <w:keepNext w:val="0"/>
              <w:keepLines w:val="0"/>
              <w:suppressLineNumbers w:val="0"/>
              <w:spacing w:before="0" w:beforeAutospacing="0" w:after="0" w:afterAutospacing="0"/>
              <w:ind w:left="0" w:right="0"/>
              <w:rPr>
                <w:rFonts w:hint="eastAsia" w:ascii="黑体" w:hAnsi="黑体" w:eastAsia="黑体" w:cs="黑体"/>
                <w:b/>
                <w:bCs/>
                <w:color w:val="auto"/>
                <w:sz w:val="24"/>
                <w:szCs w:val="24"/>
              </w:rPr>
            </w:pPr>
          </w:p>
        </w:tc>
        <w:tc>
          <w:tcPr>
            <w:tcW w:w="15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专业技术人员</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（3分）</w:t>
            </w:r>
          </w:p>
        </w:tc>
        <w:tc>
          <w:tcPr>
            <w:tcW w:w="5670"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每人得0.1分（其中取得工程、管理、经济相关专业类中级以上职称每人得0.2分），最高不超过3分。专业技术人员为获得人力资源部门及其他相关行业主管部门颁发的物业经理、物业从业人员证书，工程、管理、经济等相关专业类中级以上职称及物业管理相关工种证书的固定员工，佐证材料以相关证书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1134" w:type="dxa"/>
            <w:vMerge w:val="continue"/>
            <w:vAlign w:val="center"/>
          </w:tcPr>
          <w:p>
            <w:pPr>
              <w:keepNext w:val="0"/>
              <w:keepLines w:val="0"/>
              <w:suppressLineNumbers w:val="0"/>
              <w:spacing w:before="0" w:beforeAutospacing="0" w:after="0" w:afterAutospacing="0"/>
              <w:ind w:left="0" w:right="0"/>
              <w:rPr>
                <w:rFonts w:hint="eastAsia" w:ascii="黑体" w:hAnsi="黑体" w:eastAsia="黑体" w:cs="黑体"/>
                <w:b/>
                <w:bCs/>
                <w:color w:val="auto"/>
                <w:sz w:val="24"/>
                <w:szCs w:val="24"/>
              </w:rPr>
            </w:pPr>
          </w:p>
        </w:tc>
        <w:tc>
          <w:tcPr>
            <w:tcW w:w="15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物业服务人才</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（2分）</w:t>
            </w:r>
          </w:p>
        </w:tc>
        <w:tc>
          <w:tcPr>
            <w:tcW w:w="5670"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每人得0.5分，最高不超过2分。物业服务人才为项目经理或企业核心管理岗位负责人获得全日制大专及以上物业管理专业学历，或获得工程、管理等物业管理相关专业学士及以上学位。佐证材料以当事人相关证书扫描件为准。同一员工同时符合专业技术人员和物业管理人才条件的，以最高分为准</w:t>
            </w:r>
            <w:r>
              <w:rPr>
                <w:rFonts w:hint="eastAsia" w:ascii="仿宋" w:hAnsi="仿宋" w:eastAsia="仿宋" w:cs="仿宋"/>
                <w:b/>
                <w:bCs/>
                <w:color w:val="auto"/>
                <w:sz w:val="22"/>
                <w:lang w:eastAsia="zh-CN"/>
              </w:rPr>
              <w:t>，</w:t>
            </w:r>
            <w:r>
              <w:rPr>
                <w:rFonts w:hint="eastAsia" w:ascii="仿宋" w:hAnsi="仿宋" w:eastAsia="仿宋" w:cs="仿宋"/>
                <w:b/>
                <w:bCs/>
                <w:color w:val="auto"/>
                <w:sz w:val="22"/>
              </w:rPr>
              <w:t>只</w:t>
            </w:r>
            <w:r>
              <w:rPr>
                <w:rFonts w:hint="eastAsia" w:ascii="仿宋" w:hAnsi="仿宋" w:eastAsia="仿宋" w:cs="仿宋"/>
                <w:b/>
                <w:bCs/>
                <w:color w:val="auto"/>
                <w:sz w:val="22"/>
                <w:lang w:val="en-US" w:eastAsia="zh-CN"/>
              </w:rPr>
              <w:t>计算</w:t>
            </w:r>
            <w:r>
              <w:rPr>
                <w:rFonts w:hint="eastAsia" w:ascii="仿宋" w:hAnsi="仿宋" w:eastAsia="仿宋" w:cs="仿宋"/>
                <w:b/>
                <w:bCs/>
                <w:color w:val="auto"/>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1134"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企业优良信用信息</w:t>
            </w:r>
          </w:p>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（50分）</w:t>
            </w:r>
          </w:p>
        </w:tc>
        <w:tc>
          <w:tcPr>
            <w:tcW w:w="15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企业党建</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（5分）</w:t>
            </w:r>
          </w:p>
        </w:tc>
        <w:tc>
          <w:tcPr>
            <w:tcW w:w="5670"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物业服务企业单独成立党组织的，得3分；未单独成立党组织，采取联合组建、社区党组织派遣党建指导员或成立党小组等形式实现党的组织覆盖的，得2分。</w:t>
            </w:r>
          </w:p>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物业服务项目成立党组织或党小组，或通过采取联合组建、社区党组织派遣党建指导员等形式实现党的组织覆盖的，每个项目得0.2分，最高得2分。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134" w:type="dxa"/>
            <w:vMerge w:val="continue"/>
            <w:vAlign w:val="center"/>
          </w:tcPr>
          <w:p>
            <w:pPr>
              <w:keepNext w:val="0"/>
              <w:keepLines w:val="0"/>
              <w:suppressLineNumbers w:val="0"/>
              <w:spacing w:before="0" w:beforeAutospacing="0" w:after="0" w:afterAutospacing="0"/>
              <w:ind w:left="0" w:right="0"/>
              <w:rPr>
                <w:rFonts w:hint="eastAsia" w:ascii="黑体" w:hAnsi="黑体" w:eastAsia="黑体" w:cs="黑体"/>
                <w:b/>
                <w:bCs/>
                <w:color w:val="auto"/>
                <w:sz w:val="20"/>
                <w:szCs w:val="20"/>
              </w:rPr>
            </w:pPr>
          </w:p>
        </w:tc>
        <w:tc>
          <w:tcPr>
            <w:tcW w:w="15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诚信经营情况</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（1分）</w:t>
            </w:r>
          </w:p>
        </w:tc>
        <w:tc>
          <w:tcPr>
            <w:tcW w:w="5670"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获得市场监管部门“价格诚信示范单位”、“放心消费创建示范单位”或“守合同重信用”企业称号的，称号有效期内各得1分。最高得</w:t>
            </w:r>
            <w:r>
              <w:rPr>
                <w:rFonts w:hint="eastAsia" w:ascii="仿宋" w:hAnsi="仿宋" w:eastAsia="仿宋" w:cs="仿宋"/>
                <w:b/>
                <w:bCs/>
                <w:color w:val="auto"/>
              </w:rPr>
              <w:t>1</w:t>
            </w:r>
            <w:r>
              <w:rPr>
                <w:rFonts w:hint="eastAsia" w:ascii="仿宋" w:hAnsi="仿宋" w:eastAsia="仿宋" w:cs="仿宋"/>
                <w:b/>
                <w:bCs/>
                <w:color w:val="auto"/>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134" w:type="dxa"/>
            <w:vMerge w:val="continue"/>
            <w:vAlign w:val="center"/>
          </w:tcPr>
          <w:p>
            <w:pPr>
              <w:keepNext w:val="0"/>
              <w:keepLines w:val="0"/>
              <w:suppressLineNumbers w:val="0"/>
              <w:spacing w:before="0" w:beforeAutospacing="0" w:after="0" w:afterAutospacing="0"/>
              <w:ind w:left="0" w:right="0"/>
              <w:rPr>
                <w:rFonts w:hint="eastAsia" w:ascii="黑体" w:hAnsi="黑体" w:eastAsia="黑体" w:cs="黑体"/>
                <w:b/>
                <w:bCs/>
                <w:color w:val="auto"/>
                <w:sz w:val="20"/>
                <w:szCs w:val="20"/>
              </w:rPr>
            </w:pPr>
          </w:p>
        </w:tc>
        <w:tc>
          <w:tcPr>
            <w:tcW w:w="15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物业服务规模</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（10分）</w:t>
            </w:r>
          </w:p>
        </w:tc>
        <w:tc>
          <w:tcPr>
            <w:tcW w:w="5670"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实施全委托管理的，接管项目每累计3个得1分，实施专项委托管理的，接管项目每累计3个得0.5分，不足3个不得分，最高得2分。</w:t>
            </w:r>
          </w:p>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实施全委托管理的，接管项目每累计10万平方米得0.5分，不足10万平方米不得分，最高得8分。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134" w:type="dxa"/>
            <w:vMerge w:val="continue"/>
            <w:vAlign w:val="center"/>
          </w:tcPr>
          <w:p>
            <w:pPr>
              <w:keepNext w:val="0"/>
              <w:keepLines w:val="0"/>
              <w:suppressLineNumbers w:val="0"/>
              <w:spacing w:before="0" w:beforeAutospacing="0" w:after="0" w:afterAutospacing="0"/>
              <w:ind w:left="0" w:right="0"/>
              <w:rPr>
                <w:rFonts w:hint="eastAsia" w:ascii="黑体" w:hAnsi="黑体" w:eastAsia="黑体" w:cs="黑体"/>
                <w:b/>
                <w:bCs/>
                <w:color w:val="auto"/>
                <w:sz w:val="20"/>
                <w:szCs w:val="20"/>
              </w:rPr>
            </w:pPr>
          </w:p>
        </w:tc>
        <w:tc>
          <w:tcPr>
            <w:tcW w:w="15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参与老旧小区、保障性住房等物业服务（5分）</w:t>
            </w:r>
          </w:p>
        </w:tc>
        <w:tc>
          <w:tcPr>
            <w:tcW w:w="5670"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接管老旧小区每累计3万平方米得0.2分，不足3万平方米不得分；接管保障性住房的每累计5万平方米得0.1分，不足5万平方米不得分。老旧小区是指列入老旧小区改造计划的项目。</w:t>
            </w:r>
          </w:p>
        </w:tc>
      </w:tr>
    </w:tbl>
    <w:p>
      <w:pPr>
        <w:rPr>
          <w:rFonts w:ascii="黑体" w:hAnsi="黑体" w:eastAsia="方正黑体简体"/>
          <w:b/>
          <w:bCs/>
          <w:color w:val="auto"/>
          <w:sz w:val="28"/>
          <w:szCs w:val="28"/>
        </w:rPr>
      </w:pPr>
      <w:r>
        <w:rPr>
          <w:rFonts w:hint="eastAsia" w:ascii="黑体" w:hAnsi="黑体" w:eastAsia="方正黑体简体"/>
          <w:b/>
          <w:bCs/>
          <w:color w:val="auto"/>
          <w:sz w:val="28"/>
          <w:szCs w:val="28"/>
        </w:rPr>
        <w:br w:type="page"/>
      </w:r>
    </w:p>
    <w:tbl>
      <w:tblPr>
        <w:tblStyle w:val="10"/>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563"/>
        <w:gridCol w:w="5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113"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企业优良信用信息</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黑体" w:hAnsi="黑体" w:eastAsia="黑体" w:cs="黑体"/>
                <w:b/>
                <w:bCs/>
                <w:color w:val="auto"/>
                <w:sz w:val="24"/>
                <w:szCs w:val="24"/>
              </w:rPr>
              <w:t>（50分）</w:t>
            </w:r>
          </w:p>
        </w:tc>
        <w:tc>
          <w:tcPr>
            <w:tcW w:w="15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标准建设成果</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（4分）</w:t>
            </w:r>
          </w:p>
        </w:tc>
        <w:tc>
          <w:tcPr>
            <w:tcW w:w="5655"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获得ISO三体系认证的得1分。作为主要起草单位或者主编单位编写物业服务国际、国家、行业、地方</w:t>
            </w:r>
            <w:r>
              <w:rPr>
                <w:rFonts w:hint="eastAsia" w:ascii="仿宋" w:hAnsi="仿宋" w:eastAsia="仿宋" w:cs="仿宋"/>
                <w:b/>
                <w:bCs/>
                <w:color w:val="auto"/>
                <w:sz w:val="22"/>
                <w:lang w:eastAsia="zh-CN"/>
              </w:rPr>
              <w:t>、团体</w:t>
            </w:r>
            <w:r>
              <w:rPr>
                <w:rFonts w:hint="eastAsia" w:ascii="仿宋" w:hAnsi="仿宋" w:eastAsia="仿宋" w:cs="仿宋"/>
                <w:b/>
                <w:bCs/>
                <w:color w:val="auto"/>
                <w:sz w:val="22"/>
              </w:rPr>
              <w:t>标准的，分别得3、3、2、1</w:t>
            </w:r>
            <w:r>
              <w:rPr>
                <w:rFonts w:hint="eastAsia" w:ascii="仿宋" w:hAnsi="仿宋" w:eastAsia="仿宋" w:cs="仿宋"/>
                <w:b/>
                <w:bCs/>
                <w:color w:val="auto"/>
                <w:sz w:val="22"/>
                <w:lang w:eastAsia="zh-CN"/>
              </w:rPr>
              <w:t>、</w:t>
            </w:r>
            <w:r>
              <w:rPr>
                <w:rFonts w:hint="eastAsia" w:ascii="仿宋" w:hAnsi="仿宋" w:eastAsia="仿宋" w:cs="仿宋"/>
                <w:b/>
                <w:bCs/>
                <w:color w:val="auto"/>
                <w:sz w:val="22"/>
                <w:lang w:val="en-US" w:eastAsia="zh-CN"/>
              </w:rPr>
              <w:t>0.5</w:t>
            </w:r>
            <w:r>
              <w:rPr>
                <w:rFonts w:hint="eastAsia" w:ascii="仿宋" w:hAnsi="仿宋" w:eastAsia="仿宋" w:cs="仿宋"/>
                <w:b/>
                <w:bCs/>
                <w:color w:val="auto"/>
                <w:sz w:val="22"/>
              </w:rPr>
              <w:t>分，可累计得分。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11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p>
        </w:tc>
        <w:tc>
          <w:tcPr>
            <w:tcW w:w="15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拓展经营市场</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（3分）</w:t>
            </w:r>
          </w:p>
        </w:tc>
        <w:tc>
          <w:tcPr>
            <w:tcW w:w="5655"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企业跨县（市、区）开展物业服务活动的，得1分；跨市从事物业服务活动的，得2分；跨省（直辖市、自治区）从事物业服务活动的，得3分。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11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p>
        </w:tc>
        <w:tc>
          <w:tcPr>
            <w:tcW w:w="15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履行社会责任</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（4分）</w:t>
            </w:r>
          </w:p>
        </w:tc>
        <w:tc>
          <w:tcPr>
            <w:tcW w:w="5655"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为行业作出突出贡献、积极参加社会公益活动，企业、项目或企业员工受到相关职能部门、物业行业协会表彰或被</w:t>
            </w: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及以上官方新闻媒体宣传报道的，得1分，表彰个人的得0.5分。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11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p>
        </w:tc>
        <w:tc>
          <w:tcPr>
            <w:tcW w:w="15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企业、个人获得表彰奖励</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（9分）</w:t>
            </w:r>
          </w:p>
        </w:tc>
        <w:tc>
          <w:tcPr>
            <w:tcW w:w="5655"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企业或企业员工获得国家级、省级、地级、</w:t>
            </w: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党委、人民政府、物业主管部门表彰的，分别得5、4、3、2分，获得乡级党委、政府表彰的得1分，表彰个人的减半得分。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11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p>
        </w:tc>
        <w:tc>
          <w:tcPr>
            <w:tcW w:w="15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物业服务项目</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创优（9分）</w:t>
            </w:r>
          </w:p>
        </w:tc>
        <w:tc>
          <w:tcPr>
            <w:tcW w:w="5655"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在合同期内服务的物管项目获得住建部、省住建厅、市住建局、</w:t>
            </w: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物业主管部门表彰分别得5、4、3、2分，最高不超过9分。</w:t>
            </w:r>
          </w:p>
        </w:tc>
      </w:tr>
    </w:tbl>
    <w:p>
      <w:pPr>
        <w:rPr>
          <w:rFonts w:hint="eastAsia" w:ascii="方正黑体简体" w:hAnsi="方正黑体简体" w:eastAsia="方正黑体简体" w:cs="方正黑体简体"/>
          <w:b/>
          <w:bCs/>
          <w:color w:val="auto"/>
          <w:sz w:val="32"/>
          <w:szCs w:val="32"/>
        </w:rPr>
      </w:pPr>
    </w:p>
    <w:p>
      <w:pPr>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br w:type="page"/>
      </w:r>
    </w:p>
    <w:p>
      <w:pPr>
        <w:jc w:val="center"/>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乙类　项目绩效信用信息（共60分）</w:t>
      </w:r>
    </w:p>
    <w:tbl>
      <w:tblPr>
        <w:tblStyle w:val="1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60"/>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94" w:type="dxa"/>
            <w:gridSpan w:val="2"/>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类别</w:t>
            </w:r>
          </w:p>
        </w:tc>
        <w:tc>
          <w:tcPr>
            <w:tcW w:w="5670"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34"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项目服务质量监督</w:t>
            </w:r>
          </w:p>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（15分）</w:t>
            </w: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日常考评情况</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（10分）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物业主管部门、街道（乡镇）、社区</w:t>
            </w:r>
            <w:r>
              <w:rPr>
                <w:rFonts w:hint="eastAsia" w:ascii="仿宋" w:hAnsi="仿宋" w:eastAsia="仿宋" w:cs="仿宋"/>
                <w:b/>
                <w:bCs/>
                <w:color w:val="auto"/>
                <w:sz w:val="22"/>
                <w:lang w:val="en-US" w:eastAsia="zh-CN"/>
              </w:rPr>
              <w:t>日常</w:t>
            </w:r>
            <w:r>
              <w:rPr>
                <w:rFonts w:hint="eastAsia" w:ascii="仿宋" w:hAnsi="仿宋" w:eastAsia="仿宋" w:cs="仿宋"/>
                <w:b/>
                <w:bCs/>
                <w:color w:val="auto"/>
                <w:sz w:val="22"/>
              </w:rPr>
              <w:t>对物管项目考评检查的百分制得分，分别乘3%、3%、4%（保留两位小数）后相加。考评检查可委托第三方机构进行。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34" w:type="dxa"/>
            <w:vMerge w:val="continue"/>
            <w:vAlign w:val="center"/>
          </w:tcPr>
          <w:p>
            <w:pPr>
              <w:keepNext w:val="0"/>
              <w:keepLines w:val="0"/>
              <w:suppressLineNumbers w:val="0"/>
              <w:spacing w:before="0" w:beforeAutospacing="0" w:after="0" w:afterAutospacing="0"/>
              <w:ind w:left="0" w:right="0"/>
              <w:rPr>
                <w:rFonts w:hint="eastAsia" w:ascii="黑体" w:hAnsi="黑体" w:eastAsia="黑体" w:cs="黑体"/>
                <w:b/>
                <w:bCs/>
                <w:color w:val="auto"/>
                <w:sz w:val="24"/>
                <w:szCs w:val="24"/>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strike w:val="0"/>
                <w:dstrike w:val="0"/>
                <w:color w:val="auto"/>
                <w:sz w:val="22"/>
              </w:rPr>
            </w:pPr>
            <w:r>
              <w:rPr>
                <w:rFonts w:hint="eastAsia" w:asciiTheme="minorEastAsia" w:hAnsiTheme="minorEastAsia"/>
                <w:b/>
                <w:bCs/>
                <w:strike w:val="0"/>
                <w:dstrike w:val="0"/>
                <w:color w:val="auto"/>
                <w:sz w:val="22"/>
              </w:rPr>
              <w:t>共用设施设备维护情况</w:t>
            </w:r>
          </w:p>
          <w:p>
            <w:pPr>
              <w:keepNext w:val="0"/>
              <w:keepLines w:val="0"/>
              <w:suppressLineNumbers w:val="0"/>
              <w:spacing w:before="0" w:beforeAutospacing="0" w:after="0" w:afterAutospacing="0"/>
              <w:ind w:left="0" w:right="0"/>
              <w:jc w:val="center"/>
              <w:rPr>
                <w:rFonts w:hint="default" w:asciiTheme="minorEastAsia" w:hAnsiTheme="minorEastAsia"/>
                <w:b/>
                <w:bCs/>
                <w:strike w:val="0"/>
                <w:dstrike w:val="0"/>
                <w:color w:val="auto"/>
                <w:sz w:val="22"/>
              </w:rPr>
            </w:pPr>
            <w:r>
              <w:rPr>
                <w:rFonts w:hint="eastAsia" w:asciiTheme="minorEastAsia" w:hAnsiTheme="minorEastAsia"/>
                <w:b/>
                <w:bCs/>
                <w:strike w:val="0"/>
                <w:dstrike w:val="0"/>
                <w:color w:val="auto"/>
                <w:sz w:val="22"/>
              </w:rPr>
              <w:t>（5分）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对共用部位及共用设施设备管理维护不到位，经</w:t>
            </w: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物业主管部门、街道（乡镇）、社区或其他相关职能部门指出问题拒不整改的，每一项扣0.5分；特种设备未签订维保合同或超出检验期限未检验的，每一项扣1分，最多扣5分。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1134"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信访投诉处理（20分）</w:t>
            </w: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市、</w:t>
            </w:r>
            <w:r>
              <w:rPr>
                <w:rFonts w:hint="eastAsia" w:asciiTheme="minorEastAsia" w:hAnsiTheme="minorEastAsia"/>
                <w:b/>
                <w:bCs/>
                <w:color w:val="auto"/>
                <w:sz w:val="22"/>
                <w:lang w:eastAsia="zh-CN"/>
              </w:rPr>
              <w:t>县（市、区）</w:t>
            </w:r>
            <w:r>
              <w:rPr>
                <w:rFonts w:hint="eastAsia" w:asciiTheme="minorEastAsia" w:hAnsiTheme="minorEastAsia"/>
                <w:b/>
                <w:bCs/>
                <w:color w:val="auto"/>
                <w:sz w:val="22"/>
              </w:rPr>
              <w:t>平台信访投诉处理情况（20分）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因物业服务企业原因，造成业主、物业使用人在</w:t>
            </w: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及</w:t>
            </w: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以上投诉平台信访投诉，物业服务企业处理不及时的每一件扣0.4分；信访投诉人对物业服务企业处理结果不满意的，每一件加扣0.6分，物业服务企业认为已妥善处理的可进行申诉（信访人满意的无需申诉），经</w:t>
            </w: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物业主管部门认定，返还相应扣分。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134"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街道（乡镇）物业管理</w:t>
            </w:r>
          </w:p>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（10分）</w:t>
            </w: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群众诉求</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（6分）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业主、物业使用人在向街道（乡镇）提出物业管理方面合理诉求时，物业企业拒不配合或故意拖延整改的，每出现1次扣1分。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34" w:type="dxa"/>
            <w:vMerge w:val="continue"/>
            <w:vAlign w:val="center"/>
          </w:tcPr>
          <w:p>
            <w:pPr>
              <w:keepNext w:val="0"/>
              <w:keepLines w:val="0"/>
              <w:suppressLineNumbers w:val="0"/>
              <w:spacing w:before="0" w:beforeAutospacing="0" w:after="0" w:afterAutospacing="0"/>
              <w:ind w:left="0" w:right="0"/>
              <w:rPr>
                <w:rFonts w:hint="eastAsia" w:ascii="黑体" w:hAnsi="黑体" w:eastAsia="黑体" w:cs="黑体"/>
                <w:b/>
                <w:bCs/>
                <w:color w:val="auto"/>
                <w:sz w:val="24"/>
                <w:szCs w:val="24"/>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联席会议工作</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（2分）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拒不配合街道（乡镇）开展联席会议等街道物业管理工作的，每有1次扣1分。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134" w:type="dxa"/>
            <w:vMerge w:val="continue"/>
            <w:vAlign w:val="center"/>
          </w:tcPr>
          <w:p>
            <w:pPr>
              <w:keepNext w:val="0"/>
              <w:keepLines w:val="0"/>
              <w:suppressLineNumbers w:val="0"/>
              <w:spacing w:before="0" w:beforeAutospacing="0" w:after="0" w:afterAutospacing="0"/>
              <w:ind w:left="0" w:right="0"/>
              <w:rPr>
                <w:rFonts w:hint="eastAsia" w:ascii="黑体" w:hAnsi="黑体" w:eastAsia="黑体" w:cs="黑体"/>
                <w:b/>
                <w:bCs/>
                <w:color w:val="auto"/>
                <w:sz w:val="24"/>
                <w:szCs w:val="24"/>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业主大会、业主委员会工作</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（2分）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拒不配合街道（乡镇）、社区组织或筹备成立业主大会、选举业主委员会工作的，视情节扣1-2分，未开展此项工作的不扣分。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134"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社区物业管理</w:t>
            </w:r>
          </w:p>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（15分）</w:t>
            </w: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群众诉求</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（6分）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业主、物业使用人在向社区提出物业管理方面合理诉求时，物业企业拒不配合、故意拖延整改的，每出现1次扣1分。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default" w:ascii="黑体" w:hAnsi="黑体" w:eastAsia="黑体"/>
                <w:b/>
                <w:bCs/>
                <w:color w:val="auto"/>
                <w:sz w:val="20"/>
                <w:szCs w:val="20"/>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重点工作落实（3分）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物业企业拒不配合社区开展工作的，每有1次扣1分。向社区报送材料不及时或报送虚假材料的，视情节每有1次扣0.5-1分。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default" w:ascii="黑体" w:hAnsi="黑体" w:eastAsia="黑体"/>
                <w:b/>
                <w:bCs/>
                <w:color w:val="auto"/>
                <w:sz w:val="20"/>
                <w:szCs w:val="20"/>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“三会三公开”工作</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（6分）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拒不配合开展业主恳谈会、人民调解委员会等社区物业管理工作的，每有1次扣1分，最多扣2分；未在显著区域公示服务标准和价格、投诉渠道和方式的，每缺少1项扣1分，物管项目内存在由物业服务企业代为收取、保管的公共收益但未公示的，扣2分，相关信息发生变动后公开公示不及时超过30天的，扣0.5分。</w:t>
            </w:r>
          </w:p>
        </w:tc>
      </w:tr>
    </w:tbl>
    <w:p>
      <w:pPr>
        <w:widowControl/>
        <w:jc w:val="left"/>
        <w:rPr>
          <w:rFonts w:ascii="黑体" w:hAnsi="黑体" w:eastAsia="方正黑体简体"/>
          <w:b/>
          <w:bCs/>
          <w:color w:val="auto"/>
          <w:sz w:val="32"/>
          <w:szCs w:val="32"/>
        </w:rPr>
      </w:pPr>
      <w:r>
        <w:rPr>
          <w:rFonts w:ascii="黑体" w:hAnsi="黑体" w:eastAsia="方正黑体简体"/>
          <w:b/>
          <w:bCs/>
          <w:color w:val="auto"/>
          <w:sz w:val="32"/>
          <w:szCs w:val="32"/>
        </w:rPr>
        <w:br w:type="page"/>
      </w:r>
    </w:p>
    <w:p>
      <w:pPr>
        <w:jc w:val="center"/>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丙类　企业不良信用信息</w:t>
      </w:r>
    </w:p>
    <w:tbl>
      <w:tblPr>
        <w:tblStyle w:val="1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60"/>
        <w:gridCol w:w="36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694" w:type="dxa"/>
            <w:gridSpan w:val="2"/>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类别</w:t>
            </w:r>
          </w:p>
        </w:tc>
        <w:tc>
          <w:tcPr>
            <w:tcW w:w="5670" w:type="dxa"/>
            <w:gridSpan w:val="2"/>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34"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企业一般不良信用信息</w:t>
            </w: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政府、物业主管部门重点工作落实情况（10分）</w:t>
            </w:r>
          </w:p>
        </w:tc>
        <w:tc>
          <w:tcPr>
            <w:tcW w:w="5670" w:type="dxa"/>
            <w:gridSpan w:val="2"/>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无故缺勤物业主管部门重点工作会议或不按规定报送相关材料的，每次扣0.5分；因思想不重视、行动迟缓等直接影响市、县两级政府重点工作，造成后果的，视情节扣2-4分。最多扣10分。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负面社会影响</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（10分）</w:t>
            </w:r>
          </w:p>
        </w:tc>
        <w:tc>
          <w:tcPr>
            <w:tcW w:w="5670" w:type="dxa"/>
            <w:gridSpan w:val="2"/>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被</w:t>
            </w: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及以上政府部门、官方媒体等通报或曝光的由物业服务企业承担主要责任的物业服务问题，经查属实的，视情节扣0.2-0.5分，整改不到位被再次通报或曝光的，视情节加扣0.4-1分，造成恶劣影响的，视情节加扣0.8-2分。最多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违法违规行为</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（8分）</w:t>
            </w:r>
          </w:p>
        </w:tc>
        <w:tc>
          <w:tcPr>
            <w:tcW w:w="5670" w:type="dxa"/>
            <w:gridSpan w:val="2"/>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物业服务企业违反相关法律、法规，被物业主管部门或相关执法部门依法下达责令整改通知书的；采取威胁、恐吓、擅自或者变相停水、停电、停用门禁卡、电梯卡等手段强制收取物业费经查属实的，每次扣2分；拒不整改的，每次加扣2分。最多扣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司法责任</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（6分）</w:t>
            </w:r>
          </w:p>
        </w:tc>
        <w:tc>
          <w:tcPr>
            <w:tcW w:w="5670" w:type="dxa"/>
            <w:gridSpan w:val="2"/>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物业服务企业承担主要责任的法院判决、仲裁的生效判决，每一案件扣2分，最多扣6分。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安全生产责任</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（8分）</w:t>
            </w:r>
          </w:p>
        </w:tc>
        <w:tc>
          <w:tcPr>
            <w:tcW w:w="5670" w:type="dxa"/>
            <w:gridSpan w:val="2"/>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因管理不善发生一般、较大安全责任事故尚未造成严重后果的，每次分别扣2分、4分。最多扣8分。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134"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企业严重不良信用信息</w:t>
            </w:r>
          </w:p>
        </w:tc>
        <w:tc>
          <w:tcPr>
            <w:tcW w:w="5245" w:type="dxa"/>
            <w:gridSpan w:val="2"/>
            <w:vAlign w:val="center"/>
          </w:tcPr>
          <w:p>
            <w:pPr>
              <w:keepNext w:val="0"/>
              <w:keepLines w:val="0"/>
              <w:suppressLineNumbers w:val="0"/>
              <w:spacing w:before="0" w:beforeAutospacing="0" w:after="0" w:afterAutospacing="0"/>
              <w:ind w:left="0" w:right="0"/>
              <w:rPr>
                <w:rFonts w:hint="default" w:asciiTheme="minorEastAsia" w:hAnsiTheme="minorEastAsia"/>
                <w:b/>
                <w:bCs/>
                <w:color w:val="auto"/>
                <w:sz w:val="22"/>
              </w:rPr>
            </w:pPr>
            <w:r>
              <w:rPr>
                <w:rFonts w:hint="eastAsia" w:asciiTheme="minorEastAsia" w:hAnsiTheme="minorEastAsia"/>
                <w:b/>
                <w:bCs/>
                <w:color w:val="auto"/>
                <w:sz w:val="22"/>
              </w:rPr>
              <w:t>未按规定履行物业项目退出程序，擅自停止物业服务，或经合法程序解聘后，拒不退出物业项目、移交物业用房及相关资料的，或将一个物业管理区域内的全部物业管理一并委托给其他管理人的</w:t>
            </w:r>
          </w:p>
        </w:tc>
        <w:tc>
          <w:tcPr>
            <w:tcW w:w="1985" w:type="dxa"/>
            <w:vMerge w:val="restart"/>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出现所列行为1次的，信用分值清零，信用等级暂定为C 级（黄牌）。拒不整改、无法补救或出现所列行为超过1次的，信用等级确定为C级（严重失信）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default" w:ascii="黑体" w:hAnsi="黑体" w:eastAsia="黑体"/>
                <w:b/>
                <w:bCs/>
                <w:color w:val="auto"/>
                <w:sz w:val="20"/>
                <w:szCs w:val="20"/>
              </w:rPr>
            </w:pPr>
          </w:p>
        </w:tc>
        <w:tc>
          <w:tcPr>
            <w:tcW w:w="5245" w:type="dxa"/>
            <w:gridSpan w:val="2"/>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b/>
                <w:bCs/>
                <w:color w:val="auto"/>
                <w:sz w:val="22"/>
                <w:lang w:val="en-US" w:eastAsia="zh-CN"/>
              </w:rPr>
            </w:pPr>
            <w:r>
              <w:rPr>
                <w:rFonts w:hint="eastAsia" w:asciiTheme="minorEastAsia" w:hAnsiTheme="minorEastAsia"/>
                <w:b/>
                <w:bCs/>
                <w:color w:val="auto"/>
                <w:sz w:val="22"/>
              </w:rPr>
              <w:t>擅自侵占、挪用、套用业主公共收益或专项维修资金</w:t>
            </w:r>
            <w:r>
              <w:rPr>
                <w:rFonts w:hint="eastAsia" w:asciiTheme="minorEastAsia" w:hAnsiTheme="minorEastAsia"/>
                <w:b/>
                <w:bCs/>
                <w:color w:val="auto"/>
                <w:sz w:val="22"/>
                <w:lang w:val="en-US" w:eastAsia="zh-CN"/>
              </w:rPr>
              <w:t>的</w:t>
            </w:r>
          </w:p>
        </w:tc>
        <w:tc>
          <w:tcPr>
            <w:tcW w:w="1985" w:type="dxa"/>
            <w:vMerge w:val="continue"/>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default" w:ascii="黑体" w:hAnsi="黑体" w:eastAsia="黑体"/>
                <w:b/>
                <w:bCs/>
                <w:color w:val="auto"/>
                <w:sz w:val="20"/>
                <w:szCs w:val="20"/>
              </w:rPr>
            </w:pPr>
          </w:p>
        </w:tc>
        <w:tc>
          <w:tcPr>
            <w:tcW w:w="5245" w:type="dxa"/>
            <w:gridSpan w:val="2"/>
            <w:vAlign w:val="center"/>
          </w:tcPr>
          <w:p>
            <w:pPr>
              <w:keepNext w:val="0"/>
              <w:keepLines w:val="0"/>
              <w:suppressLineNumbers w:val="0"/>
              <w:spacing w:before="0" w:beforeAutospacing="0" w:after="0" w:afterAutospacing="0"/>
              <w:ind w:left="0" w:right="0"/>
              <w:rPr>
                <w:rFonts w:hint="default" w:asciiTheme="minorEastAsia" w:hAnsiTheme="minorEastAsia"/>
                <w:b/>
                <w:bCs/>
                <w:color w:val="auto"/>
                <w:sz w:val="22"/>
              </w:rPr>
            </w:pPr>
            <w:r>
              <w:rPr>
                <w:rFonts w:hint="eastAsia" w:asciiTheme="minorEastAsia" w:hAnsiTheme="minorEastAsia"/>
                <w:b/>
                <w:bCs/>
                <w:color w:val="auto"/>
                <w:sz w:val="22"/>
              </w:rPr>
              <w:t>因物业服务企业过错造成严重不良后果，影响社会稳定的</w:t>
            </w:r>
          </w:p>
        </w:tc>
        <w:tc>
          <w:tcPr>
            <w:tcW w:w="1985" w:type="dxa"/>
            <w:vMerge w:val="continue"/>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default" w:ascii="黑体" w:hAnsi="黑体" w:eastAsia="黑体"/>
                <w:b/>
                <w:bCs/>
                <w:color w:val="auto"/>
                <w:sz w:val="20"/>
                <w:szCs w:val="20"/>
              </w:rPr>
            </w:pPr>
          </w:p>
        </w:tc>
        <w:tc>
          <w:tcPr>
            <w:tcW w:w="5245" w:type="dxa"/>
            <w:gridSpan w:val="2"/>
            <w:vAlign w:val="center"/>
          </w:tcPr>
          <w:p>
            <w:pPr>
              <w:keepNext w:val="0"/>
              <w:keepLines w:val="0"/>
              <w:suppressLineNumbers w:val="0"/>
              <w:spacing w:before="0" w:beforeAutospacing="0" w:after="0" w:afterAutospacing="0"/>
              <w:ind w:left="0" w:right="0"/>
              <w:rPr>
                <w:rFonts w:hint="default" w:asciiTheme="minorEastAsia" w:hAnsiTheme="minorEastAsia"/>
                <w:b/>
                <w:bCs/>
                <w:color w:val="auto"/>
                <w:sz w:val="22"/>
              </w:rPr>
            </w:pPr>
            <w:r>
              <w:rPr>
                <w:rFonts w:hint="eastAsia" w:asciiTheme="minorEastAsia" w:hAnsiTheme="minorEastAsia"/>
                <w:b/>
                <w:bCs/>
                <w:color w:val="auto"/>
                <w:sz w:val="22"/>
              </w:rPr>
              <w:t>经司法机关或行政机关确认因物业服务企业全部责任或主要责任，发生重大安全事故的</w:t>
            </w:r>
          </w:p>
        </w:tc>
        <w:tc>
          <w:tcPr>
            <w:tcW w:w="1985" w:type="dxa"/>
            <w:vMerge w:val="restart"/>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信用等级确定为C级（严重失信）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default" w:ascii="黑体" w:hAnsi="黑体" w:eastAsia="黑体"/>
                <w:b/>
                <w:bCs/>
                <w:color w:val="auto"/>
                <w:sz w:val="20"/>
                <w:szCs w:val="20"/>
              </w:rPr>
            </w:pPr>
          </w:p>
        </w:tc>
        <w:tc>
          <w:tcPr>
            <w:tcW w:w="5245" w:type="dxa"/>
            <w:gridSpan w:val="2"/>
            <w:vAlign w:val="center"/>
          </w:tcPr>
          <w:p>
            <w:pPr>
              <w:keepNext w:val="0"/>
              <w:keepLines w:val="0"/>
              <w:suppressLineNumbers w:val="0"/>
              <w:spacing w:before="0" w:beforeAutospacing="0" w:after="0" w:afterAutospacing="0"/>
              <w:ind w:left="0" w:right="0"/>
              <w:rPr>
                <w:rFonts w:hint="default" w:asciiTheme="minorEastAsia" w:hAnsiTheme="minorEastAsia"/>
                <w:b/>
                <w:bCs/>
                <w:color w:val="auto"/>
                <w:sz w:val="22"/>
              </w:rPr>
            </w:pPr>
            <w:r>
              <w:rPr>
                <w:rFonts w:hint="eastAsia" w:asciiTheme="minorEastAsia" w:hAnsiTheme="minorEastAsia"/>
                <w:b/>
                <w:bCs/>
                <w:color w:val="auto"/>
                <w:sz w:val="22"/>
              </w:rPr>
              <w:t>在物业服务招标投标中有围标、串标等行为，严重破坏市场公平竞争秩序及社会正常秩序的</w:t>
            </w:r>
          </w:p>
        </w:tc>
        <w:tc>
          <w:tcPr>
            <w:tcW w:w="1985" w:type="dxa"/>
            <w:vMerge w:val="continue"/>
            <w:vAlign w:val="center"/>
          </w:tcPr>
          <w:p>
            <w:pPr>
              <w:keepNext w:val="0"/>
              <w:keepLines w:val="0"/>
              <w:suppressLineNumbers w:val="0"/>
              <w:spacing w:before="0" w:beforeAutospacing="0" w:after="0" w:afterAutospacing="0"/>
              <w:ind w:left="0" w:right="0"/>
              <w:rPr>
                <w:rFonts w:hint="default" w:ascii="黑体" w:hAnsi="黑体" w:eastAsia="黑体"/>
                <w:b/>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default" w:ascii="黑体" w:hAnsi="黑体" w:eastAsia="黑体"/>
                <w:b/>
                <w:bCs/>
                <w:color w:val="auto"/>
                <w:sz w:val="20"/>
                <w:szCs w:val="20"/>
              </w:rPr>
            </w:pPr>
          </w:p>
        </w:tc>
        <w:tc>
          <w:tcPr>
            <w:tcW w:w="5245" w:type="dxa"/>
            <w:gridSpan w:val="2"/>
            <w:vAlign w:val="center"/>
          </w:tcPr>
          <w:p>
            <w:pPr>
              <w:keepNext w:val="0"/>
              <w:keepLines w:val="0"/>
              <w:suppressLineNumbers w:val="0"/>
              <w:spacing w:before="0" w:beforeAutospacing="0" w:after="0" w:afterAutospacing="0"/>
              <w:ind w:left="0" w:right="0"/>
              <w:rPr>
                <w:rFonts w:hint="default" w:asciiTheme="minorEastAsia" w:hAnsiTheme="minorEastAsia"/>
                <w:b/>
                <w:bCs/>
                <w:color w:val="auto"/>
                <w:sz w:val="22"/>
              </w:rPr>
            </w:pPr>
            <w:r>
              <w:rPr>
                <w:rFonts w:hint="eastAsia" w:asciiTheme="minorEastAsia" w:hAnsiTheme="minorEastAsia"/>
                <w:b/>
                <w:bCs/>
                <w:color w:val="auto"/>
                <w:sz w:val="22"/>
              </w:rPr>
              <w:t>物业服务企业拒不履行法定义务，严重影响司法机关、行政机关公信力的，包括在司法机关、行政机关作出判决或决定后，有履行能力但拒不履行、逃避执行的</w:t>
            </w:r>
          </w:p>
        </w:tc>
        <w:tc>
          <w:tcPr>
            <w:tcW w:w="1985" w:type="dxa"/>
            <w:vMerge w:val="continue"/>
            <w:vAlign w:val="center"/>
          </w:tcPr>
          <w:p>
            <w:pPr>
              <w:keepNext w:val="0"/>
              <w:keepLines w:val="0"/>
              <w:suppressLineNumbers w:val="0"/>
              <w:spacing w:before="0" w:beforeAutospacing="0" w:after="0" w:afterAutospacing="0"/>
              <w:ind w:left="0" w:right="0"/>
              <w:rPr>
                <w:rFonts w:hint="default" w:ascii="黑体" w:hAnsi="黑体" w:eastAsia="黑体"/>
                <w:b/>
                <w:bCs/>
                <w:color w:val="auto"/>
                <w:sz w:val="20"/>
                <w:szCs w:val="20"/>
              </w:rPr>
            </w:pPr>
          </w:p>
        </w:tc>
      </w:tr>
    </w:tbl>
    <w:p>
      <w:pPr>
        <w:pStyle w:val="2"/>
        <w:spacing w:line="240" w:lineRule="auto"/>
        <w:ind w:left="0" w:leftChars="0" w:firstLine="0" w:firstLineChars="0"/>
        <w:jc w:val="both"/>
        <w:rPr>
          <w:rFonts w:hint="eastAsia" w:ascii="方正仿宋简体" w:hAnsi="方正仿宋简体" w:eastAsia="方正仿宋简体" w:cs="方正仿宋简体"/>
          <w:b/>
          <w:bCs/>
          <w:sz w:val="28"/>
          <w:szCs w:val="28"/>
          <w:vertAlign w:val="baseli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10"/>
        <w:tblpPr w:leftFromText="180" w:rightFromText="180" w:vertAnchor="text" w:horzAnchor="page" w:tblpX="1780" w:tblpY="12292"/>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59" w:hRule="atLeast"/>
        </w:trPr>
        <w:tc>
          <w:tcPr>
            <w:tcW w:w="8522" w:type="dxa"/>
            <w:tcBorders>
              <w:tl2br w:val="nil"/>
              <w:tr2bl w:val="nil"/>
            </w:tcBorders>
            <w:vAlign w:val="center"/>
          </w:tcPr>
          <w:p>
            <w:pPr>
              <w:pStyle w:val="2"/>
              <w:spacing w:line="240" w:lineRule="auto"/>
              <w:ind w:left="0" w:leftChars="0" w:firstLine="0" w:firstLineChars="0"/>
              <w:jc w:val="both"/>
              <w:rPr>
                <w:rFonts w:hint="default" w:ascii="方正仿宋简体" w:hAnsi="方正仿宋简体" w:eastAsia="方正仿宋简体" w:cs="方正仿宋简体"/>
                <w:b/>
                <w:bCs/>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信息公开属性：此件主动公开</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59" w:hRule="atLeast"/>
        </w:trPr>
        <w:tc>
          <w:tcPr>
            <w:tcW w:w="8522" w:type="dxa"/>
            <w:tcBorders>
              <w:tl2br w:val="nil"/>
              <w:tr2bl w:val="nil"/>
            </w:tcBorders>
            <w:vAlign w:val="center"/>
          </w:tcPr>
          <w:p>
            <w:pPr>
              <w:pStyle w:val="2"/>
              <w:spacing w:line="240" w:lineRule="auto"/>
              <w:ind w:left="0" w:leftChars="0" w:firstLine="0" w:firstLineChars="0"/>
              <w:jc w:val="distribute"/>
              <w:rPr>
                <w:rFonts w:hint="default" w:ascii="方正仿宋简体" w:hAnsi="方正仿宋简体" w:eastAsia="方正仿宋简体" w:cs="方正仿宋简体"/>
                <w:b/>
                <w:bCs/>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济宁市住房和城乡建设局办公室            2022年5月25日印发</w:t>
            </w:r>
          </w:p>
        </w:tc>
      </w:tr>
    </w:tbl>
    <w:p>
      <w:pPr>
        <w:pStyle w:val="2"/>
        <w:ind w:left="0" w:leftChars="0" w:firstLine="0" w:firstLineChars="0"/>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Roman 10cpi">
    <w:altName w:val="DejaVu Math TeX Gyre"/>
    <w:panose1 w:val="00000000000000000000"/>
    <w:charset w:val="00"/>
    <w:family w:val="modern"/>
    <w:pitch w:val="default"/>
    <w:sig w:usb0="00000000" w:usb1="00000000" w:usb2="00000000" w:usb3="00000000" w:csb0="00000001" w:csb1="00000000"/>
  </w:font>
  <w:font w:name="方正黑体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楷体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E1KUGgIAACsEAAAOAAAAZHJz&#10;L2Uyb0RvYy54bWytU0uOEzEQ3SNxB8t70kkQoyhKZxRmFIQUMSMFxNpx2+mW/JPtpDscAG7Aig17&#10;zpVzzHN/En4rxMZdv35V9apqcdtoRY7Ch8qanE5GY0qE4baozD6nH96vX8woCZGZgilrRE5PItDb&#10;5fNni9rNxdSWVhXCE4CYMK9dTssY3TzLAi+FZmFknTBwSus1i1D9Pis8q4GuVTYdj2+y2vrCectF&#10;CLDed066bPGlFDw+SBlEJCqnqC22r2/fXXqz5YLN9565suJ9GewfqtCsMkh6gbpnkZGDr/6A0hX3&#10;NlgZR9zqzEpZcdH2gG4m49+62ZbMibYXkBPchabw/2D5u+OjJ1WR01egxzCNGZ2/fjl/+3H+/pnA&#10;BoJqF+aI2zpExua1bXIa/UEMrgB7ar2RXqcvmiIIAdzpwrBoIuEwTmbT2WwMF4dvUJAiu/7ufIhv&#10;hNUkCTn1GGHLLDtuQuxCh5CUzdh1pVQ7RmVIndObl6j6Fw/AlUGO1EdXbJJis2v65na2OKE3b7v1&#10;CI6vKyTfsBAfmcc+oGDseHzAI5VFEttLlJTWf/qbPcVjTPBSUmO/cmpwAJSotwbjA2AcBD8Iu0Ew&#10;B31nsbAT3I7jrYgffFSDKL3VH7H4q5RDMhUAzAxHNoxmEO8itN6JA+JitbroB+erfXn9GcvoWNyY&#10;reP9cBODwa0OEfy2tCfOOqJ6KrGR7eD660kr/7PeRl1vfPk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J0TUpQaAgAAKw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01DC2"/>
    <w:rsid w:val="11820503"/>
    <w:rsid w:val="33601DC2"/>
    <w:rsid w:val="6D3318A8"/>
    <w:rsid w:val="7DF7D29D"/>
    <w:rsid w:val="7FE91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pPr>
      <w:snapToGrid w:val="0"/>
      <w:spacing w:line="640" w:lineRule="exact"/>
      <w:ind w:firstLine="705"/>
    </w:pPr>
    <w:rPr>
      <w:rFonts w:ascii="仿宋_GB2312" w:eastAsia="仿宋_GB2312"/>
      <w:color w:val="000000"/>
      <w:sz w:val="36"/>
      <w:szCs w:val="36"/>
    </w:rPr>
  </w:style>
  <w:style w:type="paragraph" w:styleId="3">
    <w:name w:val="Plain Text"/>
    <w:basedOn w:val="1"/>
    <w:qFormat/>
    <w:uiPriority w:val="0"/>
    <w:rPr>
      <w:rFonts w:ascii="宋体" w:hAnsi="Roman 10cpi"/>
      <w:szCs w:val="20"/>
    </w:rPr>
  </w:style>
  <w:style w:type="paragraph" w:styleId="4">
    <w:name w:val="Body Text Indent 2"/>
    <w:basedOn w:val="1"/>
    <w:next w:val="5"/>
    <w:qFormat/>
    <w:uiPriority w:val="0"/>
    <w:pPr>
      <w:ind w:right="1" w:firstLine="720"/>
    </w:pPr>
    <w:rPr>
      <w:rFonts w:ascii="Times New Roman" w:hAnsi="Times New Roman"/>
    </w:rPr>
  </w:style>
  <w:style w:type="paragraph" w:customStyle="1" w:styleId="5">
    <w:name w:val="z正文"/>
    <w:basedOn w:val="3"/>
    <w:qFormat/>
    <w:uiPriority w:val="0"/>
    <w:pPr>
      <w:snapToGrid w:val="0"/>
      <w:spacing w:line="360" w:lineRule="auto"/>
    </w:pPr>
    <w:rPr>
      <w:rFonts w:ascii="Times New Roman" w:hAnsi="宋体"/>
      <w:sz w:val="24"/>
      <w:szCs w:val="24"/>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1"/>
    <w:next w:val="4"/>
    <w:qFormat/>
    <w:uiPriority w:val="0"/>
    <w:pPr>
      <w:ind w:firstLine="420" w:firstLineChars="100"/>
    </w:pPr>
    <w:rPr>
      <w:rFonts w:ascii="Times New Roman" w:hAnsi="Times New Roman"/>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2022-05-23T14:13:00Z</dcterms:created>
  <dc:creator>admin</dc:creator>
  <cp:lastModifiedBy>user</cp:lastModifiedBy>
  <dcterms:modified xsi:type="dcterms:W3CDTF">2022-08-05T14:37:13Z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7ED6232F19394CF5914540CFD98411E4</vt:lpwstr>
  </property>
</Properties>
</file>