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F7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6E56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关于第二轮中央生态环境保护督察反馈问题第3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项整改情况公示</w:t>
      </w:r>
    </w:p>
    <w:p w14:paraId="594453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Times New Roman" w:hAnsi="Times New Roman" w:eastAsia="socialshare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Times New Roman" w:hAnsi="Times New Roman" w:eastAsia="socialshare" w:cs="Times New Roman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lang w:val="en-US" w:eastAsia="zh-CN" w:bidi="ar"/>
        </w:rPr>
        <w:fldChar w:fldCharType="begin"/>
      </w:r>
      <w:r>
        <w:rPr>
          <w:rFonts w:hint="default" w:ascii="Times New Roman" w:hAnsi="Times New Roman" w:eastAsia="socialshare" w:cs="Times New Roman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lang w:val="en-US" w:eastAsia="zh-CN" w:bidi="ar"/>
        </w:rPr>
        <w:instrText xml:space="preserve"> HYPERLINK "http://service.weibo.com/share/share.php?url=https://www.jining.gov.cn/art/2026/9/11/art_35479_2940203.html&amp;title=%E6%B5%8E%E5%AE%81%E5%B8%82%E4%BA%BA%E6%B0%91%E6%94%BF%E5%BA%9C %E9%80%9A%E7%9F%A5%E5%85%AC%E5%91%8A %E5%85%B3%E4%BA%8E%E7%AC%AC%E4%BA%8C%E8%BD%AE%E4%B8%AD%E5%A4%AE%E7%94%9F%E6%80%81%E7%8E%AF%E5%A2%83%E4%BF%9D%E6%8A%A4%E7%9D%A3%E5%AF%9F%E5%8F%8D%E9%A6%88%E9%97%AE%E9%A2%98%E7%AC%AC34%E9%A1%B9%E6%95%B4%E6%94%B9%E6%83%85%E5%86%B5%E5%85%AC%E7%A4%BA&amp;pic=https://www.jining.gov.cn/picture/213/2206091525415959170.png&amp;appkey=" \t "/home/thtf/Documents\\x/_blank" </w:instrText>
      </w:r>
      <w:r>
        <w:rPr>
          <w:rFonts w:hint="default" w:ascii="Times New Roman" w:hAnsi="Times New Roman" w:eastAsia="socialshare" w:cs="Times New Roman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lang w:val="en-US" w:eastAsia="zh-CN" w:bidi="ar"/>
        </w:rPr>
        <w:fldChar w:fldCharType="separate"/>
      </w:r>
      <w:r>
        <w:rPr>
          <w:rFonts w:hint="default" w:ascii="Times New Roman" w:hAnsi="Times New Roman" w:eastAsia="socialshare" w:cs="Times New Roman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lang w:val="en-US" w:eastAsia="zh-CN" w:bidi="ar"/>
        </w:rPr>
        <w:fldChar w:fldCharType="end"/>
      </w:r>
      <w:r>
        <w:rPr>
          <w:rFonts w:hint="default" w:ascii="Times New Roman" w:hAnsi="Times New Roman" w:eastAsia="socialshare" w:cs="Times New Roman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lang w:val="en-US" w:eastAsia="zh-CN" w:bidi="ar"/>
        </w:rPr>
        <w:fldChar w:fldCharType="begin"/>
      </w:r>
      <w:r>
        <w:rPr>
          <w:rFonts w:hint="default" w:ascii="Times New Roman" w:hAnsi="Times New Roman" w:eastAsia="socialshare" w:cs="Times New Roman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lang w:val="en-US" w:eastAsia="zh-CN" w:bidi="ar"/>
        </w:rPr>
        <w:instrText xml:space="preserve"> HYPERLINK "javascript:;" </w:instrText>
      </w:r>
      <w:r>
        <w:rPr>
          <w:rFonts w:hint="default" w:ascii="Times New Roman" w:hAnsi="Times New Roman" w:eastAsia="socialshare" w:cs="Times New Roman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lang w:val="en-US" w:eastAsia="zh-CN" w:bidi="ar"/>
        </w:rPr>
        <w:fldChar w:fldCharType="separate"/>
      </w:r>
      <w:r>
        <w:rPr>
          <w:rFonts w:hint="default" w:ascii="Times New Roman" w:hAnsi="Times New Roman" w:eastAsia="socialshare" w:cs="Times New Roman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lang w:val="en-US" w:eastAsia="zh-CN" w:bidi="ar"/>
        </w:rPr>
        <w:fldChar w:fldCharType="end"/>
      </w:r>
    </w:p>
    <w:p w14:paraId="0EDDB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</w:rPr>
        <w:t>济宁市第二轮中央生态环境保护督察反馈问题第3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</w:rPr>
        <w:t>项已完成整改，根据《山东省中央生态环境保护督察整改任务验收销号工作规定》（鲁环督改办〔2022〕8号）要求，现将整改情况予以公示。</w:t>
      </w:r>
    </w:p>
    <w:p w14:paraId="39BE125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eastAsia="国标黑体" w:cs="Times New Roman"/>
          <w:b/>
          <w:bCs/>
          <w:color w:val="auto"/>
          <w:sz w:val="21"/>
          <w:szCs w:val="21"/>
          <w:u w:val="none"/>
          <w:lang w:eastAsia="zh-CN"/>
        </w:rPr>
      </w:pPr>
      <w:r>
        <w:rPr>
          <w:rFonts w:hint="default" w:ascii="Times New Roman" w:hAnsi="Times New Roman" w:eastAsia="国标黑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一、</w:t>
      </w:r>
      <w:r>
        <w:rPr>
          <w:rFonts w:hint="default" w:ascii="Times New Roman" w:hAnsi="Times New Roman" w:eastAsia="国标黑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eastAsia="zh-CN"/>
        </w:rPr>
        <w:t>反馈问题</w:t>
      </w:r>
    </w:p>
    <w:p w14:paraId="66C94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</w:rPr>
        <w:t>大气污染防治问题依然突出。山东省大气污染防治的结构性、根源性压力仍处于高位，“十四五”大气污染防治形势依然严峻。</w:t>
      </w:r>
    </w:p>
    <w:p w14:paraId="1E6EA1F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eastAsia="国标黑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</w:pPr>
      <w:r>
        <w:rPr>
          <w:rFonts w:hint="default" w:ascii="Times New Roman" w:hAnsi="Times New Roman" w:eastAsia="国标黑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二、整改目标</w:t>
      </w:r>
    </w:p>
    <w:p w14:paraId="1CDAC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</w:rPr>
        <w:t>完成省下达的“十四五”环境空气质量目标任务。</w:t>
      </w:r>
    </w:p>
    <w:p w14:paraId="5105D0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eastAsia="国标黑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</w:pPr>
      <w:r>
        <w:rPr>
          <w:rFonts w:hint="default" w:ascii="Times New Roman" w:hAnsi="Times New Roman" w:eastAsia="国标黑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三、整改措施及落实情况</w:t>
      </w:r>
    </w:p>
    <w:p w14:paraId="79F2A72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6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方正楷体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</w:rPr>
        <w:t>（一）整改措施</w:t>
      </w:r>
    </w:p>
    <w:p w14:paraId="243451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淘汰低效落后产能。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按照省要求，聚焦钢铁、煤电、水泥、煤炭等重点行业，对“淘汰类”落后生产工艺装备和落后产品淘汰出清。济宁市无2500吨/日以下的水泥熟料生产线。</w:t>
      </w:r>
    </w:p>
    <w:p w14:paraId="39AE47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压减煤炭消费总量。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“十四五”期间，完成省定我市煤炭消费压减任务。大力发展光伏发电等可再生能源发电，力争到2025年年底，新能源和可再生能源装机规模达到450万千瓦左右。</w:t>
      </w:r>
    </w:p>
    <w:p w14:paraId="1B4AD1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优化货物运输方式。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推进大宗货物运输“公转铁、公转水”，支持砂石、煤炭、钢铁、电解铝、电力、焦化、水泥等年运输量150万吨以上的大型工矿企业以及大型物流园区新（改、扩）建铁路专用线。推广公共领域新能源汽车使用，在保留必要燃油公交车用作应急保障的基础上，新增和更新的公交车中新能源车辆占比达到100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，新增和更新的出租车中新能源及清洁能源车辆占比达到80%。</w:t>
      </w:r>
    </w:p>
    <w:p w14:paraId="39CD37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深化重点领域治污。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实施低VOCs含量原辅料使用替代。2023年年底前，完成焦化、水泥行业超低排放改造工程。持续开展非道路移动机械摸底调查和编码登记工作。通过遥感检测、检验机构监管、执法检查、OBD远程监控等方式，强化柴油货车监管。</w:t>
      </w:r>
    </w:p>
    <w:p w14:paraId="61AD2E6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方正楷体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（二）落实情况</w:t>
      </w:r>
    </w:p>
    <w:p w14:paraId="036B1B72">
      <w:pPr>
        <w:tabs>
          <w:tab w:val="left" w:pos="720"/>
        </w:tabs>
        <w:spacing w:line="600" w:lineRule="exact"/>
        <w:ind w:firstLine="643" w:firstLineChars="200"/>
        <w:rPr>
          <w:rFonts w:hint="default" w:ascii="Times New Roman" w:hAnsi="Times New Roman" w:eastAsia="方正楷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2025年，济宁市“十四五”空气质量目标任务共3项约束性指标，分别是PM2.5年均浓度42μg/m3，优良天数比率67.1%，重污染天数比率1.9%。2025年，我市PM2.5平均浓度为39μg/m3，同比改善2.5%；重污染天数2天，同比减少5天；优良天数比率73.7%，同比增加5.9个百分点。PM2.5平均浓度、优良天数比率、重污染天数比率均完成2025年考核目标。</w:t>
      </w:r>
    </w:p>
    <w:p w14:paraId="31DB12FE">
      <w:pPr>
        <w:tabs>
          <w:tab w:val="left" w:pos="720"/>
        </w:tabs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楷体简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淘汰低效落后产能情况。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聚焦重点行业，对“淘汰类”落后生产工艺装备和落后产品淘汰出清。全市唯一钢铁企业齐鲁特钢45万吨炼钢产能于2022年转移退出；曲阜中联2条2500吨/日水泥熟料生产线分别于2022年和2023年关停退出，济宁山水水泥1条2500吨/日水泥熟料于2024年关停退出；2022年，我市3.2米及以下水泥粉磨企业除保留曲阜中联工程材料分公司（特种水泥），其他已全部拆除。</w:t>
      </w:r>
    </w:p>
    <w:p w14:paraId="512E5772">
      <w:p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楷体简体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压减煤炭消费总量情况。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制定《关于优化能耗煤耗要素配置切实做好2022年能耗双控和煤炭消费压减工作的意见》《济宁市实施“加减乘除”工作法做好能耗双控和煤炭消费压减工作的实施方案》《济宁市2024年能耗双控和煤炭消费压减工作总体方案》《关于高质量做好“十四五”能耗双控和煤炭消费压减收官工作的指导意见》《济宁市2026年煤炭消费总量控制工作要点》等系列文件，建立完善节能减煤工作体系，明确煤炭消费总量控制总体要求、工作目标和重点任务，为高质量完成省定任务目标奠定坚实基础。我市2025年纳入考核的煤炭消费量比2020年压减19.8%，完成省定压减10%以上的考核任务。同时，大力发展光伏发电等可再生能源。截至2025年12月底，全市新能源和可再生能源装机规模达719.82万千瓦，同比增长18.18%，占总装机容量的39.32%。其中光伏发电装机规模达641.94万千瓦，风电装机规模达50.28万千瓦，生物质能发电装机规模达27.6万千瓦。</w:t>
      </w:r>
    </w:p>
    <w:p w14:paraId="24E7128E">
      <w:pPr>
        <w:tabs>
          <w:tab w:val="left" w:pos="720"/>
        </w:tabs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楷体简体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优化货物运输方式情况。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推进“公转铁、公转水”。一是加快铁路专用线建设。2022年以来，全市建成投用3条铁路专用线，分别是鲁西电厂铁路专用线、龙拱港铁路专用线、兖州北站扩能改造项目。其中，鲁西电厂铁路专用线于2023年1月正式运营，龙拱港铁路专用线于2024年9月9日正式运营，兖州北站扩能改造于2026年5月正式运营。目前，在建铁路专用线项目3条，分别是山东京杭多式联运联运物流项目配套铁路专用线改扩建工程、山东淄海铁路物流有限公司铁路专用线工程、济宁祥城北港务有限公司铁路专用线工程。二是大力发展水路运输。2022年全市共完成水路货运量4313.4万吨，同比增长28.56%；2023年全市共完成水路货运量5098.4万吨，同比增长18.2%；2024年全市共完成水路货运量6450.1万吨，同比增长26.51%；2025年全市共完成水路货运量7401.8万吨，同比增长14.75%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"/>
        </w:rPr>
        <w:t>三是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推广新能源汽车使用。2022年至2025年，全市更新和新增公交车302辆，均为新能源车辆。其中，2022年更新新增107辆，2023年更新新增150辆，2024年更新新增45辆。全市更新和新增巡游出租车2606辆，均为新能源或清洁能源车辆。其中，2022年更新新增巡游出租车439辆，其中新能源车130辆，占比29.6%；2023年更新新增巡游出租汽车656辆，其中新能源车566辆，占比86.3%；2024年更新新增巡游出租汽车648辆，其中新能源车639辆，占比98.6%；2025年更新新增巡游出租汽车863辆，其中新能源车852辆，占比98.7%。截至2025年底，全市公交车新能源占比99.3%，巡游出租车新能源占比53.3%。</w:t>
      </w:r>
    </w:p>
    <w:p w14:paraId="6AFD4021">
      <w:pPr>
        <w:tabs>
          <w:tab w:val="left" w:pos="720"/>
        </w:tabs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楷体简体" w:cs="Times New Roman"/>
          <w:b/>
          <w:bCs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楷体简体" w:cs="Times New Roman"/>
          <w:b/>
          <w:bCs/>
          <w:sz w:val="32"/>
          <w:szCs w:val="32"/>
        </w:rPr>
        <w:t>深化重点领域治污情况。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2025年全市低VOCs原辅材料使用比例达85.24%，较2020年提升31.66%；2024年全市低VOCs原辅材料使用比例达81.82%，较2020年提升28.24%。全面实施5家焦化企业、17家水泥企业全流程超低排放改造，截至2023年12月，全市22家水泥、焦化企业均按照省方案要求完成超低排放工程改造、通过评估验收并报市级备案，22家企业超低排放改造累计投资7.43亿元，其中有组织改造2.19亿元、无组织改造3.52亿元、清洁运输改造1.13亿元、监测监控改造0.59亿元。充分发挥遥感检测、检验机构监管、执法监管、OBD远程监控等方式，强化对柴油货车监管，2024年至2025年累计处罚检验机构25家，处罚共计286.8968万元，暂停数据采信149次，移交公安1家。2023年至2025年期间，全市累计路检路查及集中停放地检查柴油货车88035辆，处罚93辆，罚款2.03万元。</w:t>
      </w:r>
    </w:p>
    <w:p w14:paraId="5002A9C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方正黑体_GBK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四、销号验收情况</w:t>
      </w:r>
    </w:p>
    <w:p w14:paraId="04B89AC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2026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年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月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28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日，省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eastAsia="zh-CN"/>
        </w:rPr>
        <w:t>生态环境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厅反馈《关于第二轮中央生态环境保护督察第3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项整改任务的销号验收意见》，济宁市已完成第二轮中央生态环境保护督察反馈问题第3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项整改任务。</w:t>
      </w:r>
    </w:p>
    <w:p w14:paraId="261DAA6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以上整改情况向社会公示，如有异议，请在公示期内向济宁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eastAsia="zh-CN"/>
        </w:rPr>
        <w:t>市生态环境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局反映。</w:t>
      </w:r>
    </w:p>
    <w:p w14:paraId="69B0DF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公示时间：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2026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年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月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日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- 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月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19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日（10个工作日）</w:t>
      </w:r>
    </w:p>
    <w:p w14:paraId="7EB8A6A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eastAsia="微软雅黑" w:cs="Times New Roman"/>
          <w:b/>
          <w:bCs/>
          <w:color w:val="auto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电话：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0537-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2316955</w:t>
      </w:r>
    </w:p>
    <w:p w14:paraId="213C2D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邮箱：</w:t>
      </w:r>
      <w:r>
        <w:rPr>
          <w:rStyle w:val="6"/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jnhbjwfk</w:t>
      </w:r>
      <w:r>
        <w:rPr>
          <w:rStyle w:val="6"/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@ji.shandong.cn</w:t>
      </w:r>
    </w:p>
    <w:p w14:paraId="3E51D03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 </w:t>
      </w:r>
    </w:p>
    <w:p w14:paraId="385EB00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155"/>
        <w:jc w:val="right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济宁市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eastAsia="zh-CN"/>
        </w:rPr>
        <w:t>生态环境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局</w:t>
      </w:r>
    </w:p>
    <w:p w14:paraId="76D97B4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5115"/>
        <w:jc w:val="right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u w:val="none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2026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年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月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sz w:val="31"/>
          <w:szCs w:val="31"/>
          <w:u w:val="none"/>
        </w:rPr>
        <w:t>日</w:t>
      </w:r>
    </w:p>
    <w:p w14:paraId="71550D20">
      <w:pPr>
        <w:rPr>
          <w:b/>
          <w:bCs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ocialshare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方正楷体简体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简体">
    <w:altName w:val="方正楷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CDC848"/>
    <w:rsid w:val="3FEF2E25"/>
    <w:rsid w:val="7F71593A"/>
    <w:rsid w:val="99FE02C8"/>
    <w:rsid w:val="DCBEF2FC"/>
    <w:rsid w:val="DEBF620B"/>
    <w:rsid w:val="DFAD6A92"/>
    <w:rsid w:val="EFFBF81A"/>
    <w:rsid w:val="F5CDC848"/>
    <w:rsid w:val="FFE7D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2026-10-10T00:05:00Z</dcterms:created>
  <dc:creator>thtf</dc:creator>
  <cp:lastModifiedBy>thtf</cp:lastModifiedBy>
  <dcterms:modified xsi:type="dcterms:W3CDTF">2026-10-10T14:13:28Z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8FA27029C07EBE4948A0C86A3D16BD48_41</vt:lpwstr>
  </property>
</Properties>
</file>