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hint="default" w:ascii="Times New Roman" w:hAnsi="Times New Roman" w:eastAsia="方正小标宋简体" w:cs="Times New Roman"/>
          <w:b/>
          <w:color w:val="000000" w:themeColor="text1"/>
          <w:w w:val="99"/>
          <w:sz w:val="44"/>
          <w:szCs w:val="44"/>
          <w14:textFill>
            <w14:solidFill>
              <w14:schemeClr w14:val="tx1"/>
            </w14:solidFill>
          </w14:textFill>
        </w:rPr>
      </w:pPr>
      <w:r>
        <w:rPr>
          <w:rFonts w:hint="default" w:ascii="Times New Roman" w:hAnsi="Times New Roman" w:eastAsia="方正小标宋简体" w:cs="Times New Roman"/>
          <w:b/>
          <w:color w:val="000000" w:themeColor="text1"/>
          <w:w w:val="99"/>
          <w:sz w:val="44"/>
          <w:szCs w:val="44"/>
          <w:lang w:val="en-US" w:eastAsia="zh-CN"/>
          <w14:textFill>
            <w14:solidFill>
              <w14:schemeClr w14:val="tx1"/>
            </w14:solidFill>
          </w14:textFill>
        </w:rPr>
        <w:t>济宁市人民防空办公室</w:t>
      </w:r>
      <w:r>
        <w:rPr>
          <w:rFonts w:hint="default" w:ascii="Times New Roman" w:hAnsi="Times New Roman" w:eastAsia="方正小标宋简体" w:cs="Times New Roman"/>
          <w:b/>
          <w:color w:val="000000" w:themeColor="text1"/>
          <w:w w:val="99"/>
          <w:sz w:val="44"/>
          <w:szCs w:val="44"/>
          <w14:textFill>
            <w14:solidFill>
              <w14:schemeClr w14:val="tx1"/>
            </w14:solidFill>
          </w14:textFill>
        </w:rPr>
        <w:t>202</w:t>
      </w:r>
      <w:r>
        <w:rPr>
          <w:rFonts w:hint="default" w:ascii="Times New Roman" w:hAnsi="Times New Roman" w:eastAsia="方正小标宋简体" w:cs="Times New Roman"/>
          <w:b/>
          <w:color w:val="000000" w:themeColor="text1"/>
          <w:w w:val="99"/>
          <w:sz w:val="44"/>
          <w:szCs w:val="44"/>
          <w:lang w:val="en-US" w:eastAsia="zh-CN"/>
          <w14:textFill>
            <w14:solidFill>
              <w14:schemeClr w14:val="tx1"/>
            </w14:solidFill>
          </w14:textFill>
        </w:rPr>
        <w:t>2</w:t>
      </w:r>
      <w:r>
        <w:rPr>
          <w:rFonts w:hint="default" w:ascii="Times New Roman" w:hAnsi="Times New Roman" w:eastAsia="方正小标宋简体" w:cs="Times New Roman"/>
          <w:b/>
          <w:color w:val="000000" w:themeColor="text1"/>
          <w:w w:val="99"/>
          <w:sz w:val="44"/>
          <w:szCs w:val="44"/>
          <w14:textFill>
            <w14:solidFill>
              <w14:schemeClr w14:val="tx1"/>
            </w14:solidFill>
          </w14:textFill>
        </w:rPr>
        <w:t>年政府信息公开</w:t>
      </w:r>
    </w:p>
    <w:p>
      <w:pPr>
        <w:spacing w:line="590" w:lineRule="exact"/>
        <w:ind w:right="-100" w:rightChars="-50"/>
        <w:jc w:val="center"/>
        <w:rPr>
          <w:rFonts w:hint="default" w:ascii="Times New Roman" w:hAnsi="Times New Roman" w:eastAsia="方正小标宋简体" w:cs="Times New Roman"/>
          <w:b/>
          <w:color w:val="000000" w:themeColor="text1"/>
          <w:w w:val="99"/>
          <w:sz w:val="44"/>
          <w:szCs w:val="44"/>
          <w14:textFill>
            <w14:solidFill>
              <w14:schemeClr w14:val="tx1"/>
            </w14:solidFill>
          </w14:textFill>
        </w:rPr>
      </w:pPr>
      <w:r>
        <w:rPr>
          <w:rFonts w:hint="default" w:ascii="Times New Roman" w:hAnsi="Times New Roman" w:eastAsia="方正小标宋简体" w:cs="Times New Roman"/>
          <w:b/>
          <w:color w:val="000000" w:themeColor="text1"/>
          <w:w w:val="99"/>
          <w:sz w:val="44"/>
          <w:szCs w:val="44"/>
          <w14:textFill>
            <w14:solidFill>
              <w14:schemeClr w14:val="tx1"/>
            </w14:solidFill>
          </w14:textFill>
        </w:rPr>
        <w:t>工作年度报告</w:t>
      </w:r>
    </w:p>
    <w:p>
      <w:pPr>
        <w:spacing w:line="590" w:lineRule="exact"/>
        <w:ind w:right="-100" w:rightChars="-50" w:firstLine="643" w:firstLineChars="200"/>
        <w:rPr>
          <w:rFonts w:hint="default" w:ascii="Times New Roman" w:hAnsi="Times New Roman" w:eastAsia="方正仿宋简体" w:cs="Times New Roman"/>
          <w:b/>
          <w:color w:val="000000" w:themeColor="text1"/>
          <w:sz w:val="32"/>
          <w:szCs w:val="32"/>
          <w14:textFill>
            <w14:solidFill>
              <w14:schemeClr w14:val="tx1"/>
            </w14:solidFill>
          </w14:textFill>
        </w:rPr>
      </w:pPr>
    </w:p>
    <w:p>
      <w:pPr>
        <w:keepNext w:val="0"/>
        <w:keepLines w:val="0"/>
        <w:pageBreakBefore w:val="0"/>
        <w:kinsoku/>
        <w:overflowPunct/>
        <w:topLinePunct w:val="0"/>
        <w:autoSpaceDE/>
        <w:autoSpaceDN/>
        <w:bidi w:val="0"/>
        <w:adjustRightInd/>
        <w:snapToGrid/>
        <w:spacing w:line="560" w:lineRule="exact"/>
        <w:ind w:right="-100" w:rightChars="-50" w:firstLine="643" w:firstLineChars="200"/>
        <w:textAlignment w:val="auto"/>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本报告由</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济宁市人民防空办公室</w:t>
      </w:r>
      <w:r>
        <w:rPr>
          <w:rFonts w:hint="default" w:ascii="Times New Roman" w:hAnsi="Times New Roman" w:eastAsia="方正仿宋简体" w:cs="Times New Roman"/>
          <w:b/>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keepNext w:val="0"/>
        <w:keepLines w:val="0"/>
        <w:pageBreakBefore w:val="0"/>
        <w:kinsoku/>
        <w:overflowPunct/>
        <w:topLinePunct w:val="0"/>
        <w:autoSpaceDE/>
        <w:autoSpaceDN/>
        <w:bidi w:val="0"/>
        <w:adjustRightInd/>
        <w:snapToGrid/>
        <w:spacing w:line="560" w:lineRule="exact"/>
        <w:ind w:right="-100" w:rightChars="-50" w:firstLine="643" w:firstLineChars="200"/>
        <w:textAlignment w:val="auto"/>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kinsoku/>
        <w:overflowPunct/>
        <w:topLinePunct w:val="0"/>
        <w:autoSpaceDE/>
        <w:autoSpaceDN/>
        <w:bidi w:val="0"/>
        <w:adjustRightInd/>
        <w:snapToGrid/>
        <w:spacing w:line="560" w:lineRule="exact"/>
        <w:ind w:right="-100" w:rightChars="-50" w:firstLine="643" w:firstLineChars="200"/>
        <w:textAlignment w:val="auto"/>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本报告所列数据的统计期限自202</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2</w:t>
      </w:r>
      <w:r>
        <w:rPr>
          <w:rFonts w:hint="default" w:ascii="Times New Roman" w:hAnsi="Times New Roman" w:eastAsia="方正仿宋简体" w:cs="Times New Roman"/>
          <w:b/>
          <w:color w:val="000000" w:themeColor="text1"/>
          <w:sz w:val="32"/>
          <w:szCs w:val="32"/>
          <w14:textFill>
            <w14:solidFill>
              <w14:schemeClr w14:val="tx1"/>
            </w14:solidFill>
          </w14:textFill>
        </w:rPr>
        <w:t>年1月1日起至202</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2</w:t>
      </w:r>
      <w:r>
        <w:rPr>
          <w:rFonts w:hint="default" w:ascii="Times New Roman" w:hAnsi="Times New Roman" w:eastAsia="方正仿宋简体" w:cs="Times New Roman"/>
          <w:b/>
          <w:color w:val="000000" w:themeColor="text1"/>
          <w:sz w:val="32"/>
          <w:szCs w:val="32"/>
          <w14:textFill>
            <w14:solidFill>
              <w14:schemeClr w14:val="tx1"/>
            </w14:solidFill>
          </w14:textFill>
        </w:rPr>
        <w:t>年12月31日止。本报告电子版可在“中国·济宁”政府门户网站（https://www.jining.gov.cn/）查阅或下载。如对本报告有疑问，请与</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济宁市人民防空办公室</w:t>
      </w:r>
      <w:r>
        <w:rPr>
          <w:rFonts w:hint="default" w:ascii="Times New Roman" w:hAnsi="Times New Roman" w:eastAsia="方正仿宋简体" w:cs="Times New Roman"/>
          <w:b/>
          <w:color w:val="000000" w:themeColor="text1"/>
          <w:sz w:val="32"/>
          <w:szCs w:val="32"/>
          <w14:textFill>
            <w14:solidFill>
              <w14:schemeClr w14:val="tx1"/>
            </w14:solidFill>
          </w14:textFill>
        </w:rPr>
        <w:t>联系（地址：济宁市太白湖新区</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省运会</w:t>
      </w:r>
      <w:r>
        <w:rPr>
          <w:rFonts w:hint="default" w:ascii="Times New Roman" w:hAnsi="Times New Roman" w:eastAsia="方正仿宋简体" w:cs="Times New Roman"/>
          <w:b/>
          <w:color w:val="000000" w:themeColor="text1"/>
          <w:sz w:val="32"/>
          <w:szCs w:val="32"/>
          <w14:textFill>
            <w14:solidFill>
              <w14:schemeClr w14:val="tx1"/>
            </w14:solidFill>
          </w14:textFill>
        </w:rPr>
        <w:t>指挥中心</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A0351室</w:t>
      </w:r>
      <w:r>
        <w:rPr>
          <w:rFonts w:hint="default" w:ascii="Times New Roman" w:hAnsi="Times New Roman" w:eastAsia="方正仿宋简体" w:cs="Times New Roman"/>
          <w:b/>
          <w:color w:val="000000" w:themeColor="text1"/>
          <w:sz w:val="32"/>
          <w:szCs w:val="32"/>
          <w14:textFill>
            <w14:solidFill>
              <w14:schemeClr w14:val="tx1"/>
            </w14:solidFill>
          </w14:textFill>
        </w:rPr>
        <w:t>，联系电话：0537-</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2348331</w:t>
      </w:r>
      <w:r>
        <w:rPr>
          <w:rFonts w:hint="default" w:ascii="Times New Roman" w:hAnsi="Times New Roman" w:eastAsia="方正仿宋简体" w:cs="Times New Roman"/>
          <w:b/>
          <w:color w:val="000000" w:themeColor="text1"/>
          <w:sz w:val="32"/>
          <w:szCs w:val="32"/>
          <w14:textFill>
            <w14:solidFill>
              <w14:schemeClr w14:val="tx1"/>
            </w14:solidFill>
          </w14:textFill>
        </w:rPr>
        <w:t>）。</w:t>
      </w:r>
    </w:p>
    <w:p>
      <w:pPr>
        <w:keepNext w:val="0"/>
        <w:keepLines w:val="0"/>
        <w:pageBreakBefore w:val="0"/>
        <w:kinsoku/>
        <w:overflowPunct/>
        <w:topLinePunct w:val="0"/>
        <w:autoSpaceDE/>
        <w:autoSpaceDN/>
        <w:bidi w:val="0"/>
        <w:adjustRightInd/>
        <w:snapToGrid/>
        <w:spacing w:line="560" w:lineRule="exact"/>
        <w:ind w:right="-100" w:rightChars="-50" w:firstLine="643" w:firstLineChars="200"/>
        <w:textAlignment w:val="auto"/>
        <w:rPr>
          <w:rFonts w:hint="default" w:ascii="Times New Roman" w:hAnsi="Times New Roman" w:eastAsia="方正黑体简体" w:cs="Times New Roman"/>
          <w:b/>
          <w:color w:val="000000" w:themeColor="text1"/>
          <w:sz w:val="32"/>
          <w:szCs w:val="32"/>
          <w14:textFill>
            <w14:solidFill>
              <w14:schemeClr w14:val="tx1"/>
            </w14:solidFill>
          </w14:textFill>
        </w:rPr>
      </w:pPr>
      <w:r>
        <w:rPr>
          <w:rFonts w:hint="default" w:ascii="Times New Roman" w:hAnsi="Times New Roman" w:eastAsia="方正黑体简体" w:cs="Times New Roman"/>
          <w:b/>
          <w:color w:val="000000" w:themeColor="text1"/>
          <w:sz w:val="32"/>
          <w:szCs w:val="32"/>
          <w14:textFill>
            <w14:solidFill>
              <w14:schemeClr w14:val="tx1"/>
            </w14:solidFill>
          </w14:textFill>
        </w:rPr>
        <w:t>一、总体情况</w:t>
      </w:r>
    </w:p>
    <w:p>
      <w:pPr>
        <w:keepNext w:val="0"/>
        <w:keepLines w:val="0"/>
        <w:pageBreakBefore w:val="0"/>
        <w:kinsoku/>
        <w:overflowPunct/>
        <w:topLinePunct w:val="0"/>
        <w:autoSpaceDE/>
        <w:autoSpaceDN/>
        <w:bidi w:val="0"/>
        <w:adjustRightInd/>
        <w:snapToGrid/>
        <w:spacing w:line="560" w:lineRule="exact"/>
        <w:ind w:right="-100" w:rightChars="-50" w:firstLine="643" w:firstLineChars="200"/>
        <w:textAlignment w:val="auto"/>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今年以来，济宁市人民防空办公室坚持以习近平新时代中国特色社会主义思想为指导，深入</w:t>
      </w:r>
      <w:r>
        <w:rPr>
          <w:rFonts w:hint="default" w:ascii="Times New Roman" w:hAnsi="Times New Roman" w:eastAsia="方正仿宋简体" w:cs="Times New Roman"/>
          <w:b/>
          <w:color w:val="000000" w:themeColor="text1"/>
          <w:sz w:val="32"/>
          <w:szCs w:val="32"/>
          <w14:textFill>
            <w14:solidFill>
              <w14:schemeClr w14:val="tx1"/>
            </w14:solidFill>
          </w14:textFill>
        </w:rPr>
        <w:t>贯彻落实《条例》</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和国家、省、市关于政务公开工作要求，通过网站、微信公众号及新闻媒体等多种渠道，持续做好</w:t>
      </w:r>
      <w:r>
        <w:rPr>
          <w:rFonts w:hint="default" w:ascii="Times New Roman" w:hAnsi="Times New Roman" w:eastAsia="方正仿宋简体" w:cs="Times New Roman"/>
          <w:b/>
          <w:color w:val="000000" w:themeColor="text1"/>
          <w:sz w:val="32"/>
          <w:szCs w:val="32"/>
          <w14:textFill>
            <w14:solidFill>
              <w14:schemeClr w14:val="tx1"/>
            </w14:solidFill>
          </w14:textFill>
        </w:rPr>
        <w:t>主动公开、依申请公开、政府信息管理、平台建设、监督保障等</w:t>
      </w: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政务公开</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各</w:t>
      </w:r>
      <w:r>
        <w:rPr>
          <w:rFonts w:hint="default" w:ascii="Times New Roman" w:hAnsi="Times New Roman" w:eastAsia="方正仿宋简体" w:cs="Times New Roman"/>
          <w:b/>
          <w:color w:val="000000" w:themeColor="text1"/>
          <w:sz w:val="32"/>
          <w:szCs w:val="32"/>
          <w14:textFill>
            <w14:solidFill>
              <w14:schemeClr w14:val="tx1"/>
            </w14:solidFill>
          </w14:textFill>
        </w:rPr>
        <w:t>方面</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工作</w:t>
      </w:r>
      <w:r>
        <w:rPr>
          <w:rFonts w:hint="default" w:ascii="Times New Roman" w:hAnsi="Times New Roman" w:eastAsia="方正仿宋简体" w:cs="Times New Roman"/>
          <w:b/>
          <w:color w:val="000000" w:themeColor="text1"/>
          <w:sz w:val="32"/>
          <w:szCs w:val="32"/>
          <w14:textFill>
            <w14:solidFill>
              <w14:schemeClr w14:val="tx1"/>
            </w14:solidFill>
          </w14:textFill>
        </w:rPr>
        <w:t>。</w:t>
      </w:r>
    </w:p>
    <w:p>
      <w:pPr>
        <w:keepNext w:val="0"/>
        <w:keepLines w:val="0"/>
        <w:pageBreakBefore w:val="0"/>
        <w:numPr>
          <w:ilvl w:val="0"/>
          <w:numId w:val="1"/>
        </w:numPr>
        <w:kinsoku/>
        <w:overflowPunct/>
        <w:topLinePunct w:val="0"/>
        <w:autoSpaceDE/>
        <w:autoSpaceDN/>
        <w:bidi w:val="0"/>
        <w:adjustRightInd/>
        <w:snapToGrid/>
        <w:spacing w:line="560" w:lineRule="exact"/>
        <w:ind w:left="357" w:leftChars="0" w:right="-100" w:rightChars="-50" w:firstLine="643" w:firstLineChars="0"/>
        <w:textAlignment w:val="auto"/>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主动公开情况</w:t>
      </w:r>
    </w:p>
    <w:p>
      <w:pPr>
        <w:keepNext w:val="0"/>
        <w:keepLines w:val="0"/>
        <w:pageBreakBefore w:val="0"/>
        <w:numPr>
          <w:ilvl w:val="0"/>
          <w:numId w:val="0"/>
        </w:numPr>
        <w:kinsoku/>
        <w:overflowPunct/>
        <w:topLinePunct w:val="0"/>
        <w:autoSpaceDE/>
        <w:autoSpaceDN/>
        <w:bidi w:val="0"/>
        <w:adjustRightInd/>
        <w:snapToGrid/>
        <w:spacing w:line="560" w:lineRule="exact"/>
        <w:ind w:right="-100" w:rightChars="-50" w:firstLine="643" w:firstLineChars="200"/>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2022年全年，济宁市人民防空办公室通过折政府网站、政务微信等方式主动公开政府信息共478条（不同渠道和方式公开相同信息计1条），其中政府网站公开政府信息数258条，政务微信公开信息89条，其他渠道公开信息176条。</w:t>
      </w:r>
    </w:p>
    <w:p>
      <w:pPr>
        <w:keepNext w:val="0"/>
        <w:keepLines w:val="0"/>
        <w:pageBreakBefore w:val="0"/>
        <w:kinsoku/>
        <w:wordWrap w:val="0"/>
        <w:overflowPunct/>
        <w:topLinePunct w:val="0"/>
        <w:autoSpaceDE/>
        <w:autoSpaceDN/>
        <w:bidi w:val="0"/>
        <w:adjustRightInd/>
        <w:snapToGrid/>
        <w:spacing w:line="560" w:lineRule="exact"/>
        <w:ind w:firstLine="598" w:firstLineChars="186"/>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drawing>
          <wp:anchor distT="0" distB="0" distL="114300" distR="114300" simplePos="0" relativeHeight="251659264" behindDoc="1" locked="0" layoutInCell="1" allowOverlap="1">
            <wp:simplePos x="0" y="0"/>
            <wp:positionH relativeFrom="column">
              <wp:posOffset>20320</wp:posOffset>
            </wp:positionH>
            <wp:positionV relativeFrom="paragraph">
              <wp:posOffset>27940</wp:posOffset>
            </wp:positionV>
            <wp:extent cx="5222240" cy="3075305"/>
            <wp:effectExtent l="4445" t="4445" r="12065" b="6350"/>
            <wp:wrapTight wrapText="bothSides">
              <wp:wrapPolygon>
                <wp:start x="-18" y="-31"/>
                <wp:lineTo x="-18" y="21511"/>
                <wp:lineTo x="21571" y="21511"/>
                <wp:lineTo x="21571" y="-31"/>
                <wp:lineTo x="-18" y="-31"/>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结合工作要求及单位实际制定了《济宁市人民防空办公室2022年政务公开工作实施方案》，更新了济宁市人防办政务公开工作领导小组成员，修订了主动公开目录。</w:t>
      </w:r>
      <w:r>
        <w:rPr>
          <w:rFonts w:hint="default" w:ascii="Times New Roman" w:hAnsi="Times New Roman" w:eastAsia="方正仿宋简体" w:cs="Times New Roman"/>
          <w:b/>
          <w:color w:val="000000"/>
          <w:sz w:val="32"/>
          <w:szCs w:val="32"/>
          <w:lang w:val="en-US" w:eastAsia="zh-CN"/>
        </w:rPr>
        <w:t>持续做好政策解读和回应关注，解读材料2件，通过政府网站互动交流平台办理留言9次，积极回应公众关注热点问题。</w:t>
      </w:r>
    </w:p>
    <w:p>
      <w:pPr>
        <w:keepNext w:val="0"/>
        <w:keepLines w:val="0"/>
        <w:pageBreakBefore w:val="0"/>
        <w:kinsoku/>
        <w:wordWrap w:val="0"/>
        <w:overflowPunct/>
        <w:topLinePunct w:val="0"/>
        <w:autoSpaceDE/>
        <w:autoSpaceDN/>
        <w:bidi w:val="0"/>
        <w:adjustRightInd/>
        <w:snapToGrid/>
        <w:spacing w:line="560" w:lineRule="exact"/>
        <w:ind w:firstLine="598" w:firstLineChars="186"/>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sz w:val="32"/>
          <w:szCs w:val="32"/>
          <w:lang w:val="en-US" w:eastAsia="zh-CN"/>
        </w:rPr>
        <w:t>同时积极做好会议公开和文件公开，全年共</w:t>
      </w:r>
      <w:r>
        <w:rPr>
          <w:rFonts w:hint="default" w:ascii="Times New Roman" w:hAnsi="Times New Roman" w:eastAsia="方正仿宋简体" w:cs="Times New Roman"/>
          <w:b/>
          <w:color w:val="000000"/>
          <w:sz w:val="32"/>
          <w:szCs w:val="32"/>
        </w:rPr>
        <w:t>召开</w:t>
      </w:r>
      <w:r>
        <w:rPr>
          <w:rFonts w:hint="default" w:ascii="Times New Roman" w:hAnsi="Times New Roman" w:eastAsia="方正仿宋简体" w:cs="Times New Roman"/>
          <w:b/>
          <w:color w:val="000000"/>
          <w:sz w:val="32"/>
          <w:szCs w:val="32"/>
          <w:lang w:val="en-US" w:eastAsia="zh-CN"/>
        </w:rPr>
        <w:t>主任办公会10次</w:t>
      </w:r>
      <w:r>
        <w:rPr>
          <w:rFonts w:hint="default" w:ascii="Times New Roman" w:hAnsi="Times New Roman" w:eastAsia="方正仿宋简体" w:cs="Times New Roman"/>
          <w:b/>
          <w:color w:val="000000"/>
          <w:sz w:val="32"/>
          <w:szCs w:val="32"/>
        </w:rPr>
        <w:t>、专题会议</w:t>
      </w:r>
      <w:r>
        <w:rPr>
          <w:rFonts w:hint="default" w:ascii="Times New Roman" w:hAnsi="Times New Roman" w:eastAsia="方正仿宋简体" w:cs="Times New Roman"/>
          <w:b/>
          <w:color w:val="000000"/>
          <w:sz w:val="32"/>
          <w:szCs w:val="32"/>
          <w:lang w:val="en-US" w:eastAsia="zh-CN"/>
        </w:rPr>
        <w:t>3</w:t>
      </w:r>
      <w:r>
        <w:rPr>
          <w:rFonts w:hint="default" w:ascii="Times New Roman" w:hAnsi="Times New Roman" w:eastAsia="方正仿宋简体" w:cs="Times New Roman"/>
          <w:b/>
          <w:color w:val="000000"/>
          <w:sz w:val="32"/>
          <w:szCs w:val="32"/>
        </w:rPr>
        <w:t>次，除</w:t>
      </w:r>
      <w:r>
        <w:rPr>
          <w:rFonts w:hint="default" w:ascii="Times New Roman" w:hAnsi="Times New Roman" w:eastAsia="方正仿宋简体" w:cs="Times New Roman"/>
          <w:b/>
          <w:color w:val="000000"/>
          <w:sz w:val="32"/>
          <w:szCs w:val="32"/>
          <w:lang w:val="en-US" w:eastAsia="zh-CN"/>
        </w:rPr>
        <w:t>涉</w:t>
      </w:r>
      <w:r>
        <w:rPr>
          <w:rFonts w:hint="default" w:ascii="Times New Roman" w:hAnsi="Times New Roman" w:eastAsia="方正仿宋简体" w:cs="Times New Roman"/>
          <w:b/>
          <w:color w:val="000000"/>
          <w:sz w:val="32"/>
          <w:szCs w:val="32"/>
        </w:rPr>
        <w:t>密议题外，均向社会公开</w:t>
      </w:r>
      <w:r>
        <w:rPr>
          <w:rFonts w:hint="default" w:ascii="Times New Roman" w:hAnsi="Times New Roman" w:eastAsia="方正仿宋简体" w:cs="Times New Roman"/>
          <w:b/>
          <w:color w:val="000000"/>
          <w:sz w:val="32"/>
          <w:szCs w:val="32"/>
          <w:lang w:eastAsia="zh-CN"/>
        </w:rPr>
        <w:t>；</w:t>
      </w:r>
      <w:r>
        <w:rPr>
          <w:rFonts w:hint="default" w:ascii="Times New Roman" w:hAnsi="Times New Roman" w:eastAsia="方正仿宋简体" w:cs="Times New Roman"/>
          <w:b/>
          <w:color w:val="000000"/>
          <w:sz w:val="32"/>
          <w:szCs w:val="32"/>
          <w:lang w:val="en-US" w:eastAsia="zh-CN"/>
        </w:rPr>
        <w:t>公示部门文件22件</w:t>
      </w:r>
      <w:r>
        <w:rPr>
          <w:rFonts w:hint="default" w:ascii="Times New Roman" w:hAnsi="Times New Roman" w:eastAsia="方正仿宋简体" w:cs="Times New Roman"/>
          <w:b/>
          <w:color w:val="000000"/>
          <w:sz w:val="32"/>
          <w:szCs w:val="32"/>
          <w:lang w:eastAsia="zh-CN"/>
        </w:rPr>
        <w:t>，</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召开新闻发布会3次，参加政风行风1次。</w:t>
      </w:r>
    </w:p>
    <w:p>
      <w:pPr>
        <w:keepNext w:val="0"/>
        <w:keepLines w:val="0"/>
        <w:pageBreakBefore w:val="0"/>
        <w:kinsoku/>
        <w:overflowPunct/>
        <w:topLinePunct w:val="0"/>
        <w:autoSpaceDE/>
        <w:autoSpaceDN/>
        <w:bidi w:val="0"/>
        <w:adjustRightInd/>
        <w:snapToGrid/>
        <w:spacing w:line="560" w:lineRule="exact"/>
        <w:ind w:right="-100" w:rightChars="-50" w:firstLine="643" w:firstLineChars="200"/>
        <w:textAlignment w:val="auto"/>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（二）依申请公开情况</w:t>
      </w:r>
    </w:p>
    <w:p>
      <w:pPr>
        <w:keepNext w:val="0"/>
        <w:keepLines w:val="0"/>
        <w:pageBreakBefore w:val="0"/>
        <w:kinsoku/>
        <w:overflowPunct/>
        <w:topLinePunct w:val="0"/>
        <w:autoSpaceDE/>
        <w:autoSpaceDN/>
        <w:bidi w:val="0"/>
        <w:adjustRightInd/>
        <w:snapToGrid/>
        <w:spacing w:line="560" w:lineRule="exact"/>
        <w:ind w:right="-100" w:rightChars="-50" w:firstLine="643" w:firstLineChars="200"/>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2022年全年，市人民防空办公室共收到的政府信息公开申请数为1件、行政复议总数0件、行政复议败诉案件数0件、行政诉讼总数和行政诉讼败诉案件数0件。其中，收到的1件政府信息公开申请结转至2023年办理。</w:t>
      </w:r>
    </w:p>
    <w:p>
      <w:pPr>
        <w:keepNext w:val="0"/>
        <w:keepLines w:val="0"/>
        <w:pageBreakBefore w:val="0"/>
        <w:kinsoku/>
        <w:overflowPunct/>
        <w:topLinePunct w:val="0"/>
        <w:autoSpaceDE/>
        <w:autoSpaceDN/>
        <w:bidi w:val="0"/>
        <w:adjustRightInd/>
        <w:snapToGrid/>
        <w:spacing w:line="560" w:lineRule="exact"/>
        <w:ind w:right="-100" w:rightChars="-50" w:firstLine="643" w:firstLineChars="200"/>
        <w:textAlignment w:val="auto"/>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（三）政府信息管理情况</w:t>
      </w:r>
    </w:p>
    <w:p>
      <w:pPr>
        <w:keepNext w:val="0"/>
        <w:keepLines w:val="0"/>
        <w:pageBreakBefore w:val="0"/>
        <w:kinsoku/>
        <w:overflowPunct/>
        <w:topLinePunct w:val="0"/>
        <w:autoSpaceDE/>
        <w:autoSpaceDN/>
        <w:bidi w:val="0"/>
        <w:adjustRightInd/>
        <w:snapToGrid/>
        <w:spacing w:line="560" w:lineRule="exact"/>
        <w:ind w:right="-100" w:rightChars="-50" w:firstLine="643" w:firstLineChars="200"/>
        <w:textAlignment w:val="auto"/>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今年以来，我办继续强化机制体制建设，根据人员调整</w:t>
      </w:r>
      <w:r>
        <w:rPr>
          <w:rFonts w:hint="default" w:ascii="Times New Roman" w:hAnsi="Times New Roman" w:eastAsia="方正仿宋简体" w:cs="Times New Roman"/>
          <w:b/>
          <w:color w:val="000000" w:themeColor="text1"/>
          <w:sz w:val="32"/>
          <w:szCs w:val="32"/>
          <w14:textFill>
            <w14:solidFill>
              <w14:schemeClr w14:val="tx1"/>
            </w14:solidFill>
          </w14:textFill>
        </w:rPr>
        <w:t>及时</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更新</w:t>
      </w:r>
      <w:r>
        <w:rPr>
          <w:rFonts w:hint="default" w:ascii="Times New Roman" w:hAnsi="Times New Roman" w:eastAsia="方正仿宋简体" w:cs="Times New Roman"/>
          <w:b/>
          <w:color w:val="000000" w:themeColor="text1"/>
          <w:sz w:val="32"/>
          <w:szCs w:val="32"/>
          <w14:textFill>
            <w14:solidFill>
              <w14:schemeClr w14:val="tx1"/>
            </w14:solidFill>
          </w14:textFill>
        </w:rPr>
        <w:t>我办政务公开领导小组</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成员名单，根据工作实际进一步</w:t>
      </w:r>
      <w:r>
        <w:rPr>
          <w:rFonts w:hint="default" w:ascii="Times New Roman" w:hAnsi="Times New Roman" w:eastAsia="方正仿宋简体" w:cs="Times New Roman"/>
          <w:b/>
          <w:color w:val="000000" w:themeColor="text1"/>
          <w:sz w:val="32"/>
          <w:szCs w:val="32"/>
          <w14:textFill>
            <w14:solidFill>
              <w14:schemeClr w14:val="tx1"/>
            </w14:solidFill>
          </w14:textFill>
        </w:rPr>
        <w:t>完善政府信息公开指南及信息公开目录</w:t>
      </w: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，强化</w:t>
      </w:r>
      <w:r>
        <w:rPr>
          <w:rFonts w:hint="default" w:ascii="Times New Roman" w:hAnsi="Times New Roman" w:eastAsia="方正仿宋简体" w:cs="Times New Roman"/>
          <w:b/>
          <w:bCs w:val="0"/>
          <w:sz w:val="32"/>
          <w:szCs w:val="32"/>
        </w:rPr>
        <w:t>政务公开信息保密审查制度，不断规范政务公开工作流程，做到上网信息必审查，公开信息必登记。</w:t>
      </w:r>
    </w:p>
    <w:p>
      <w:pPr>
        <w:keepNext w:val="0"/>
        <w:keepLines w:val="0"/>
        <w:pageBreakBefore w:val="0"/>
        <w:kinsoku/>
        <w:overflowPunct/>
        <w:topLinePunct w:val="0"/>
        <w:autoSpaceDE/>
        <w:autoSpaceDN/>
        <w:bidi w:val="0"/>
        <w:adjustRightInd/>
        <w:snapToGrid/>
        <w:spacing w:line="560" w:lineRule="exact"/>
        <w:ind w:right="-100" w:rightChars="-50" w:firstLine="643" w:firstLineChars="200"/>
        <w:textAlignment w:val="auto"/>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（四）政府信息公开平台建设情况</w:t>
      </w:r>
    </w:p>
    <w:p>
      <w:pPr>
        <w:keepNext w:val="0"/>
        <w:keepLines w:val="0"/>
        <w:pageBreakBefore w:val="0"/>
        <w:kinsoku/>
        <w:overflowPunct/>
        <w:topLinePunct w:val="0"/>
        <w:autoSpaceDE/>
        <w:autoSpaceDN/>
        <w:bidi w:val="0"/>
        <w:adjustRightInd/>
        <w:snapToGrid/>
        <w:spacing w:line="560" w:lineRule="exact"/>
        <w:ind w:right="-100" w:rightChars="-50" w:firstLine="643" w:firstLineChars="200"/>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今年以来，我办认真做好政务公开载体建设，充分发挥政务网站效能，不断提高电子政务应用水平，加强部门网站和政务新媒体建设，拓宽政务公开的渠道和范围，继续强化同步推送、各有侧重的政务信息公开机制，不断完善新闻发布公开、网络舆情回应机制，切实打造全方位多层次的政务公开平台。</w:t>
      </w:r>
    </w:p>
    <w:p>
      <w:pPr>
        <w:keepNext w:val="0"/>
        <w:keepLines w:val="0"/>
        <w:pageBreakBefore w:val="0"/>
        <w:kinsoku/>
        <w:overflowPunct/>
        <w:topLinePunct w:val="0"/>
        <w:autoSpaceDE/>
        <w:autoSpaceDN/>
        <w:bidi w:val="0"/>
        <w:adjustRightInd/>
        <w:snapToGrid/>
        <w:spacing w:line="560" w:lineRule="exact"/>
        <w:ind w:right="-100" w:rightChars="-50" w:firstLine="643" w:firstLineChars="200"/>
        <w:textAlignment w:val="auto"/>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（五）监督保障情况</w:t>
      </w:r>
    </w:p>
    <w:p>
      <w:pPr>
        <w:keepNext w:val="0"/>
        <w:keepLines w:val="0"/>
        <w:pageBreakBefore w:val="0"/>
        <w:kinsoku/>
        <w:overflowPunct/>
        <w:topLinePunct w:val="0"/>
        <w:autoSpaceDE/>
        <w:autoSpaceDN/>
        <w:bidi w:val="0"/>
        <w:adjustRightInd/>
        <w:snapToGrid/>
        <w:spacing w:line="560" w:lineRule="exact"/>
        <w:ind w:right="-100" w:rightChars="-50" w:firstLine="643" w:firstLineChars="200"/>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切实加强对政务公开工作的监督检查，定期不定期对我办政务公开工作进行检查，督促落实政务公开和政务服务工作。把政务公开工作与“四风”行动、机关作风效能建设、文明创建工作、依法行政工作紧密结合起来，贯穿于人防行政工作全过程，并纳入我办工作年度目标的考评范围。提高我办各科室、单位提高政务公开工作意识，深入推进政务公开工作。</w:t>
      </w:r>
    </w:p>
    <w:p>
      <w:pPr>
        <w:keepNext w:val="0"/>
        <w:keepLines w:val="0"/>
        <w:pageBreakBefore w:val="0"/>
        <w:kinsoku/>
        <w:overflowPunct/>
        <w:topLinePunct w:val="0"/>
        <w:autoSpaceDE/>
        <w:autoSpaceDN/>
        <w:bidi w:val="0"/>
        <w:adjustRightInd/>
        <w:snapToGrid/>
        <w:spacing w:line="560" w:lineRule="exact"/>
        <w:ind w:right="-100" w:rightChars="-50" w:firstLine="643" w:firstLineChars="200"/>
        <w:textAlignment w:val="auto"/>
        <w:rPr>
          <w:rFonts w:hint="default" w:ascii="Times New Roman" w:hAnsi="Times New Roman" w:eastAsia="方正黑体简体" w:cs="Times New Roman"/>
          <w:b/>
          <w:color w:val="000000" w:themeColor="text1"/>
          <w:sz w:val="32"/>
          <w:szCs w:val="32"/>
          <w14:textFill>
            <w14:solidFill>
              <w14:schemeClr w14:val="tx1"/>
            </w14:solidFill>
          </w14:textFill>
        </w:rPr>
      </w:pPr>
      <w:r>
        <w:rPr>
          <w:rFonts w:hint="default" w:ascii="Times New Roman" w:hAnsi="Times New Roman" w:eastAsia="方正黑体简体" w:cs="Times New Roman"/>
          <w:b/>
          <w:color w:val="000000" w:themeColor="text1"/>
          <w:sz w:val="32"/>
          <w:szCs w:val="32"/>
          <w14:textFill>
            <w14:solidFill>
              <w14:schemeClr w14:val="tx1"/>
            </w14:solidFill>
          </w14:textFill>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sz w:val="24"/>
              </w:rPr>
            </w:pPr>
            <w:r>
              <w:rPr>
                <w:rFonts w:hint="default" w:ascii="Times New Roman" w:hAnsi="Times New Roman" w:eastAsia="方正黑体简体" w:cs="Times New Roman"/>
                <w:b/>
                <w:sz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信息内容</w:t>
            </w:r>
          </w:p>
        </w:tc>
        <w:tc>
          <w:tcPr>
            <w:tcW w:w="2133"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本年制发件数</w:t>
            </w:r>
          </w:p>
        </w:tc>
        <w:tc>
          <w:tcPr>
            <w:tcW w:w="2216"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本年废止件数</w:t>
            </w:r>
          </w:p>
        </w:tc>
        <w:tc>
          <w:tcPr>
            <w:tcW w:w="1989"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规章</w:t>
            </w:r>
          </w:p>
        </w:tc>
        <w:tc>
          <w:tcPr>
            <w:tcW w:w="2133"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4"/>
                <w:lang w:val="en-US" w:eastAsia="zh-CN"/>
              </w:rPr>
            </w:pPr>
            <w:r>
              <w:rPr>
                <w:rFonts w:hint="default" w:ascii="Times New Roman" w:hAnsi="Times New Roman" w:eastAsia="方正仿宋简体" w:cs="Times New Roman"/>
                <w:b/>
                <w:sz w:val="24"/>
                <w:lang w:val="en-US" w:eastAsia="zh-CN" w:bidi="ar"/>
              </w:rPr>
              <w:t>0</w:t>
            </w:r>
          </w:p>
        </w:tc>
        <w:tc>
          <w:tcPr>
            <w:tcW w:w="2216"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4"/>
                <w:lang w:val="en-US" w:eastAsia="zh-CN"/>
              </w:rPr>
            </w:pPr>
            <w:r>
              <w:rPr>
                <w:rFonts w:hint="default" w:ascii="Times New Roman" w:hAnsi="Times New Roman" w:eastAsia="方正仿宋简体" w:cs="Times New Roman"/>
                <w:b/>
                <w:sz w:val="24"/>
                <w:lang w:val="en-US" w:eastAsia="zh-CN" w:bidi="ar"/>
              </w:rPr>
              <w:t>0</w:t>
            </w:r>
          </w:p>
        </w:tc>
        <w:tc>
          <w:tcPr>
            <w:tcW w:w="1989"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4"/>
                <w:lang w:val="en-US" w:eastAsia="zh-CN"/>
              </w:rPr>
            </w:pPr>
            <w:r>
              <w:rPr>
                <w:rFonts w:hint="default" w:ascii="Times New Roman" w:hAnsi="Times New Roman" w:eastAsia="方正仿宋简体" w:cs="Times New Roman"/>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行政规范性文件</w:t>
            </w:r>
          </w:p>
        </w:tc>
        <w:tc>
          <w:tcPr>
            <w:tcW w:w="2133"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4"/>
                <w:lang w:val="en-US" w:eastAsia="zh-CN"/>
              </w:rPr>
            </w:pPr>
            <w:r>
              <w:rPr>
                <w:rFonts w:hint="default" w:ascii="Times New Roman" w:hAnsi="Times New Roman" w:eastAsia="方正仿宋简体" w:cs="Times New Roman"/>
                <w:b/>
                <w:sz w:val="24"/>
                <w:lang w:val="en-US" w:eastAsia="zh-CN" w:bidi="ar"/>
              </w:rPr>
              <w:t>0</w:t>
            </w:r>
          </w:p>
        </w:tc>
        <w:tc>
          <w:tcPr>
            <w:tcW w:w="2216"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4"/>
                <w:lang w:val="en-US" w:eastAsia="zh-CN"/>
              </w:rPr>
            </w:pPr>
            <w:r>
              <w:rPr>
                <w:rFonts w:hint="default" w:ascii="Times New Roman" w:hAnsi="Times New Roman" w:eastAsia="方正仿宋简体" w:cs="Times New Roman"/>
                <w:b/>
                <w:sz w:val="24"/>
                <w:lang w:val="en-US" w:eastAsia="zh-CN" w:bidi="ar"/>
              </w:rPr>
              <w:t>0</w:t>
            </w:r>
          </w:p>
        </w:tc>
        <w:tc>
          <w:tcPr>
            <w:tcW w:w="1989"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4"/>
                <w:lang w:val="en-US" w:eastAsia="zh-CN"/>
              </w:rPr>
            </w:pPr>
            <w:r>
              <w:rPr>
                <w:rFonts w:hint="default" w:ascii="Times New Roman" w:hAnsi="Times New Roman" w:eastAsia="方正仿宋简体" w:cs="Times New Roman"/>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4"/>
              </w:rPr>
            </w:pPr>
            <w:r>
              <w:rPr>
                <w:rFonts w:hint="default" w:ascii="Times New Roman" w:hAnsi="Times New Roman" w:eastAsia="方正黑体简体" w:cs="Times New Roman"/>
                <w:b/>
                <w:sz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信息内容</w:t>
            </w:r>
          </w:p>
        </w:tc>
        <w:tc>
          <w:tcPr>
            <w:tcW w:w="6338" w:type="dxa"/>
            <w:gridSpan w:val="3"/>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行政许可</w:t>
            </w:r>
          </w:p>
        </w:tc>
        <w:tc>
          <w:tcPr>
            <w:tcW w:w="6338" w:type="dxa"/>
            <w:gridSpan w:val="3"/>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4"/>
                <w:lang w:val="en-US" w:eastAsia="zh-CN"/>
              </w:rPr>
            </w:pPr>
            <w:r>
              <w:rPr>
                <w:rFonts w:hint="default" w:ascii="Times New Roman" w:hAnsi="Times New Roman" w:eastAsia="方正仿宋简体" w:cs="Times New Roman"/>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4"/>
              </w:rPr>
            </w:pPr>
            <w:r>
              <w:rPr>
                <w:rFonts w:hint="default" w:ascii="Times New Roman" w:hAnsi="Times New Roman" w:eastAsia="方正黑体简体" w:cs="Times New Roman"/>
                <w:b/>
                <w:sz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信息内容</w:t>
            </w:r>
          </w:p>
        </w:tc>
        <w:tc>
          <w:tcPr>
            <w:tcW w:w="6338" w:type="dxa"/>
            <w:gridSpan w:val="3"/>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行政处罚</w:t>
            </w:r>
          </w:p>
        </w:tc>
        <w:tc>
          <w:tcPr>
            <w:tcW w:w="6338" w:type="dxa"/>
            <w:gridSpan w:val="3"/>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4"/>
                <w:lang w:val="en-US" w:eastAsia="zh-CN"/>
              </w:rPr>
            </w:pPr>
            <w:r>
              <w:rPr>
                <w:rFonts w:hint="default" w:ascii="Times New Roman" w:hAnsi="Times New Roman" w:eastAsia="方正仿宋简体" w:cs="Times New Roman"/>
                <w:b/>
                <w:sz w:val="24"/>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行政强制</w:t>
            </w:r>
          </w:p>
        </w:tc>
        <w:tc>
          <w:tcPr>
            <w:tcW w:w="6338" w:type="dxa"/>
            <w:gridSpan w:val="3"/>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4"/>
                <w:lang w:val="en-US" w:eastAsia="zh-CN"/>
              </w:rPr>
            </w:pPr>
            <w:r>
              <w:rPr>
                <w:rFonts w:hint="default" w:ascii="Times New Roman" w:hAnsi="Times New Roman" w:eastAsia="方正仿宋简体" w:cs="Times New Roman"/>
                <w:b/>
                <w:sz w:val="24"/>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4"/>
              </w:rPr>
            </w:pPr>
            <w:r>
              <w:rPr>
                <w:rFonts w:hint="default" w:ascii="Times New Roman" w:hAnsi="Times New Roman" w:eastAsia="方正黑体简体" w:cs="Times New Roman"/>
                <w:b/>
                <w:sz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信息内容</w:t>
            </w:r>
          </w:p>
        </w:tc>
        <w:tc>
          <w:tcPr>
            <w:tcW w:w="6338" w:type="dxa"/>
            <w:gridSpan w:val="3"/>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4"/>
              </w:rPr>
            </w:pPr>
            <w:r>
              <w:rPr>
                <w:rFonts w:hint="default" w:ascii="Times New Roman" w:hAnsi="Times New Roman" w:eastAsia="方正仿宋简体" w:cs="Times New Roman"/>
                <w:b/>
                <w:sz w:val="24"/>
                <w:lang w:bidi="ar"/>
              </w:rPr>
              <w:t>行政事业性收费</w:t>
            </w:r>
          </w:p>
        </w:tc>
        <w:tc>
          <w:tcPr>
            <w:tcW w:w="6338" w:type="dxa"/>
            <w:gridSpan w:val="3"/>
            <w:shd w:val="clear" w:color="auto" w:fill="auto"/>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4"/>
                <w:lang w:val="en-US" w:eastAsia="zh-CN"/>
              </w:rPr>
            </w:pPr>
            <w:r>
              <w:rPr>
                <w:rFonts w:hint="default" w:ascii="Times New Roman" w:hAnsi="Times New Roman" w:eastAsia="方正仿宋简体" w:cs="Times New Roman"/>
                <w:b/>
                <w:sz w:val="24"/>
                <w:lang w:val="en-US" w:eastAsia="zh-CN"/>
              </w:rPr>
              <w:t>1027.6</w:t>
            </w:r>
          </w:p>
        </w:tc>
      </w:tr>
    </w:tbl>
    <w:p>
      <w:pPr>
        <w:keepNext w:val="0"/>
        <w:keepLines w:val="0"/>
        <w:pageBreakBefore w:val="0"/>
        <w:kinsoku/>
        <w:overflowPunct/>
        <w:topLinePunct w:val="0"/>
        <w:autoSpaceDE/>
        <w:autoSpaceDN/>
        <w:bidi w:val="0"/>
        <w:adjustRightInd/>
        <w:snapToGrid/>
        <w:spacing w:before="62" w:beforeLines="10" w:after="62" w:afterLines="10" w:line="560" w:lineRule="exact"/>
        <w:ind w:firstLine="643" w:firstLineChars="200"/>
        <w:textAlignment w:val="auto"/>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sz w:val="21"/>
                <w:szCs w:val="21"/>
              </w:rPr>
            </w:pPr>
          </w:p>
        </w:tc>
        <w:tc>
          <w:tcPr>
            <w:tcW w:w="791" w:type="dxa"/>
            <w:vMerge w:val="restart"/>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自然人</w:t>
            </w:r>
          </w:p>
        </w:tc>
        <w:tc>
          <w:tcPr>
            <w:tcW w:w="2917" w:type="dxa"/>
            <w:gridSpan w:val="5"/>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法人或其他组织</w:t>
            </w:r>
          </w:p>
        </w:tc>
        <w:tc>
          <w:tcPr>
            <w:tcW w:w="521" w:type="dxa"/>
            <w:vMerge w:val="restart"/>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791"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商业</w:t>
            </w:r>
          </w:p>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企业</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科研</w:t>
            </w:r>
          </w:p>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机构</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社会公益组织</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法律服务机构</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p>
        </w:tc>
        <w:tc>
          <w:tcPr>
            <w:tcW w:w="521"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一、本年新收政府信息公开申请数量</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1</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二、上年结转政府信息公开申请数量</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三、本年度办理结果</w:t>
            </w:r>
          </w:p>
        </w:tc>
        <w:tc>
          <w:tcPr>
            <w:tcW w:w="3820" w:type="dxa"/>
            <w:gridSpan w:val="2"/>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（一）予以公开</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3820" w:type="dxa"/>
            <w:gridSpan w:val="2"/>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（二）部分公开（区分处理的，只计这一情形，不计其他情形）</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（三）不予公开</w:t>
            </w:r>
          </w:p>
        </w:tc>
        <w:tc>
          <w:tcPr>
            <w:tcW w:w="2878" w:type="dxa"/>
            <w:tcMar>
              <w:left w:w="57" w:type="dxa"/>
              <w:right w:w="57" w:type="dxa"/>
            </w:tcMa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1.属于国家秘密</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2.其他法律行政法规禁止公开</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3.危及“三安全一稳定”</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4.保护第三方合法权益</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5.属于三类内部事务信息</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6.属于四类过程性信息</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7.属于行政执法案卷</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8.属于行政查询事项</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（四）无法提供</w:t>
            </w:r>
          </w:p>
        </w:tc>
        <w:tc>
          <w:tcPr>
            <w:tcW w:w="2878" w:type="dxa"/>
            <w:tcMar>
              <w:left w:w="57" w:type="dxa"/>
              <w:right w:w="57" w:type="dxa"/>
            </w:tcMa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1.本机关不掌握相关政府信息</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2.没有现成信息需要另行制作</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3.补正后申请内容仍不明确</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（五）不予处理</w:t>
            </w:r>
          </w:p>
        </w:tc>
        <w:tc>
          <w:tcPr>
            <w:tcW w:w="2878" w:type="dxa"/>
            <w:tcMar>
              <w:left w:w="57" w:type="dxa"/>
              <w:right w:w="57" w:type="dxa"/>
            </w:tcMa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1.信访举报投诉类申请</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2.重复申请</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3.要求提供公开出版物</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2878" w:type="dxa"/>
            <w:tcMar>
              <w:left w:w="57" w:type="dxa"/>
              <w:right w:w="57" w:type="dxa"/>
            </w:tcMa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4.无正当理由大量反复申请</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5.要求行政机关确认或重新出具已获取信息</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（六）其他处理</w:t>
            </w:r>
          </w:p>
        </w:tc>
        <w:tc>
          <w:tcPr>
            <w:tcW w:w="287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1.申请人无正当理由逾期不补正、行政机关不再处理其政府信息公开申请</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3.其他</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z w:val="21"/>
                <w:szCs w:val="21"/>
              </w:rPr>
            </w:pPr>
          </w:p>
        </w:tc>
        <w:tc>
          <w:tcPr>
            <w:tcW w:w="3820" w:type="dxa"/>
            <w:gridSpan w:val="2"/>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（七）总计</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四、结转下年度继续办理</w:t>
            </w:r>
          </w:p>
        </w:tc>
        <w:tc>
          <w:tcPr>
            <w:tcW w:w="79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1</w:t>
            </w:r>
          </w:p>
        </w:tc>
        <w:tc>
          <w:tcPr>
            <w:tcW w:w="59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1</w:t>
            </w:r>
          </w:p>
        </w:tc>
      </w:tr>
    </w:tbl>
    <w:p>
      <w:pPr>
        <w:keepNext w:val="0"/>
        <w:keepLines w:val="0"/>
        <w:pageBreakBefore w:val="0"/>
        <w:kinsoku/>
        <w:overflowPunct/>
        <w:topLinePunct w:val="0"/>
        <w:autoSpaceDE/>
        <w:autoSpaceDN/>
        <w:bidi w:val="0"/>
        <w:adjustRightInd/>
        <w:snapToGrid/>
        <w:spacing w:line="560" w:lineRule="exact"/>
        <w:ind w:right="-100" w:rightChars="-50" w:firstLine="643" w:firstLineChars="200"/>
        <w:textAlignment w:val="auto"/>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四、政府信息公开行政复议、行政诉讼情况</w:t>
      </w:r>
    </w:p>
    <w:tbl>
      <w:tblPr>
        <w:tblStyle w:val="5"/>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行政复议</w:t>
            </w:r>
          </w:p>
        </w:tc>
        <w:tc>
          <w:tcPr>
            <w:tcW w:w="5922" w:type="dxa"/>
            <w:gridSpan w:val="10"/>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结果维持</w:t>
            </w:r>
          </w:p>
        </w:tc>
        <w:tc>
          <w:tcPr>
            <w:tcW w:w="621" w:type="dxa"/>
            <w:vMerge w:val="restart"/>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sz w:val="21"/>
                <w:szCs w:val="21"/>
                <w:lang w:bidi="ar"/>
              </w:rPr>
            </w:pPr>
            <w:r>
              <w:rPr>
                <w:rFonts w:hint="default" w:ascii="Times New Roman" w:hAnsi="Times New Roman" w:eastAsia="方正黑体简体" w:cs="Times New Roman"/>
                <w:sz w:val="21"/>
                <w:szCs w:val="21"/>
                <w:lang w:bidi="ar"/>
              </w:rPr>
              <w:t>结果</w:t>
            </w:r>
          </w:p>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纠正</w:t>
            </w:r>
          </w:p>
        </w:tc>
        <w:tc>
          <w:tcPr>
            <w:tcW w:w="600" w:type="dxa"/>
            <w:vMerge w:val="restart"/>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其他</w:t>
            </w:r>
            <w:r>
              <w:rPr>
                <w:rFonts w:hint="default" w:ascii="Times New Roman" w:hAnsi="Times New Roman" w:eastAsia="方正黑体简体" w:cs="Times New Roman"/>
                <w:sz w:val="21"/>
                <w:szCs w:val="21"/>
                <w:lang w:bidi="ar"/>
              </w:rPr>
              <w:br w:type="textWrapping"/>
            </w:r>
            <w:r>
              <w:rPr>
                <w:rFonts w:hint="default" w:ascii="Times New Roman" w:hAnsi="Times New Roman" w:eastAsia="方正黑体简体" w:cs="Times New Roman"/>
                <w:sz w:val="21"/>
                <w:szCs w:val="21"/>
                <w:lang w:bidi="ar"/>
              </w:rPr>
              <w:t>结果</w:t>
            </w:r>
          </w:p>
        </w:tc>
        <w:tc>
          <w:tcPr>
            <w:tcW w:w="591" w:type="dxa"/>
            <w:vMerge w:val="restart"/>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尚未</w:t>
            </w:r>
            <w:r>
              <w:rPr>
                <w:rFonts w:hint="default" w:ascii="Times New Roman" w:hAnsi="Times New Roman" w:eastAsia="方正黑体简体" w:cs="Times New Roman"/>
                <w:sz w:val="21"/>
                <w:szCs w:val="21"/>
                <w:lang w:bidi="ar"/>
              </w:rPr>
              <w:br w:type="textWrapping"/>
            </w:r>
            <w:r>
              <w:rPr>
                <w:rFonts w:hint="default" w:ascii="Times New Roman" w:hAnsi="Times New Roman" w:eastAsia="方正黑体简体" w:cs="Times New Roman"/>
                <w:sz w:val="21"/>
                <w:szCs w:val="21"/>
                <w:lang w:bidi="ar"/>
              </w:rPr>
              <w:t>审结</w:t>
            </w:r>
          </w:p>
        </w:tc>
        <w:tc>
          <w:tcPr>
            <w:tcW w:w="461" w:type="dxa"/>
            <w:vMerge w:val="restart"/>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总计</w:t>
            </w:r>
          </w:p>
        </w:tc>
        <w:tc>
          <w:tcPr>
            <w:tcW w:w="3010" w:type="dxa"/>
            <w:gridSpan w:val="5"/>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未经复议直接起诉</w:t>
            </w:r>
          </w:p>
        </w:tc>
        <w:tc>
          <w:tcPr>
            <w:tcW w:w="2912" w:type="dxa"/>
            <w:gridSpan w:val="5"/>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tcMar>
              <w:left w:w="108" w:type="dxa"/>
              <w:right w:w="108" w:type="dxa"/>
            </w:tcMar>
            <w:vAlign w:val="center"/>
          </w:tcPr>
          <w:p>
            <w:pPr>
              <w:keepNext w:val="0"/>
              <w:keepLines w:val="0"/>
              <w:pageBreakBefore w:val="0"/>
              <w:kinsoku/>
              <w:overflowPunct/>
              <w:topLinePunct w:val="0"/>
              <w:autoSpaceDE/>
              <w:autoSpaceDN/>
              <w:bidi w:val="0"/>
              <w:adjustRightInd/>
              <w:snapToGrid/>
              <w:spacing w:line="560" w:lineRule="exact"/>
              <w:ind w:left="-40" w:leftChars="-20" w:right="-40" w:rightChars="-20"/>
              <w:textAlignment w:val="auto"/>
              <w:rPr>
                <w:rFonts w:hint="default" w:ascii="Times New Roman" w:hAnsi="Times New Roman" w:eastAsia="方正黑体简体" w:cs="Times New Roman"/>
                <w:sz w:val="21"/>
                <w:szCs w:val="21"/>
              </w:rPr>
            </w:pPr>
          </w:p>
        </w:tc>
        <w:tc>
          <w:tcPr>
            <w:tcW w:w="621" w:type="dxa"/>
            <w:vMerge w:val="continue"/>
            <w:tcMar>
              <w:left w:w="108" w:type="dxa"/>
              <w:right w:w="108" w:type="dxa"/>
            </w:tcMar>
            <w:vAlign w:val="center"/>
          </w:tcPr>
          <w:p>
            <w:pPr>
              <w:keepNext w:val="0"/>
              <w:keepLines w:val="0"/>
              <w:pageBreakBefore w:val="0"/>
              <w:kinsoku/>
              <w:overflowPunct/>
              <w:topLinePunct w:val="0"/>
              <w:autoSpaceDE/>
              <w:autoSpaceDN/>
              <w:bidi w:val="0"/>
              <w:adjustRightInd/>
              <w:snapToGrid/>
              <w:spacing w:line="560" w:lineRule="exact"/>
              <w:ind w:left="-40" w:leftChars="-20" w:right="-40" w:rightChars="-20"/>
              <w:textAlignment w:val="auto"/>
              <w:rPr>
                <w:rFonts w:hint="default" w:ascii="Times New Roman" w:hAnsi="Times New Roman" w:eastAsia="方正黑体简体" w:cs="Times New Roman"/>
                <w:sz w:val="21"/>
                <w:szCs w:val="21"/>
              </w:rPr>
            </w:pPr>
          </w:p>
        </w:tc>
        <w:tc>
          <w:tcPr>
            <w:tcW w:w="600" w:type="dxa"/>
            <w:vMerge w:val="continue"/>
            <w:tcMar>
              <w:left w:w="108" w:type="dxa"/>
              <w:right w:w="108" w:type="dxa"/>
            </w:tcMar>
            <w:vAlign w:val="center"/>
          </w:tcPr>
          <w:p>
            <w:pPr>
              <w:keepNext w:val="0"/>
              <w:keepLines w:val="0"/>
              <w:pageBreakBefore w:val="0"/>
              <w:kinsoku/>
              <w:overflowPunct/>
              <w:topLinePunct w:val="0"/>
              <w:autoSpaceDE/>
              <w:autoSpaceDN/>
              <w:bidi w:val="0"/>
              <w:adjustRightInd/>
              <w:snapToGrid/>
              <w:spacing w:line="560" w:lineRule="exact"/>
              <w:ind w:left="-40" w:leftChars="-20" w:right="-40" w:rightChars="-20"/>
              <w:textAlignment w:val="auto"/>
              <w:rPr>
                <w:rFonts w:hint="default" w:ascii="Times New Roman" w:hAnsi="Times New Roman" w:eastAsia="方正黑体简体" w:cs="Times New Roman"/>
                <w:sz w:val="21"/>
                <w:szCs w:val="21"/>
              </w:rPr>
            </w:pPr>
          </w:p>
        </w:tc>
        <w:tc>
          <w:tcPr>
            <w:tcW w:w="591" w:type="dxa"/>
            <w:vMerge w:val="continue"/>
            <w:tcMar>
              <w:left w:w="108" w:type="dxa"/>
              <w:right w:w="108" w:type="dxa"/>
            </w:tcMar>
            <w:vAlign w:val="center"/>
          </w:tcPr>
          <w:p>
            <w:pPr>
              <w:keepNext w:val="0"/>
              <w:keepLines w:val="0"/>
              <w:pageBreakBefore w:val="0"/>
              <w:kinsoku/>
              <w:overflowPunct/>
              <w:topLinePunct w:val="0"/>
              <w:autoSpaceDE/>
              <w:autoSpaceDN/>
              <w:bidi w:val="0"/>
              <w:adjustRightInd/>
              <w:snapToGrid/>
              <w:spacing w:line="560" w:lineRule="exact"/>
              <w:ind w:left="-40" w:leftChars="-20" w:right="-40" w:rightChars="-20"/>
              <w:textAlignment w:val="auto"/>
              <w:rPr>
                <w:rFonts w:hint="default" w:ascii="Times New Roman" w:hAnsi="Times New Roman" w:eastAsia="方正黑体简体" w:cs="Times New Roman"/>
                <w:sz w:val="21"/>
                <w:szCs w:val="21"/>
              </w:rPr>
            </w:pPr>
          </w:p>
        </w:tc>
        <w:tc>
          <w:tcPr>
            <w:tcW w:w="461" w:type="dxa"/>
            <w:vMerge w:val="continue"/>
            <w:tcMar>
              <w:left w:w="108" w:type="dxa"/>
              <w:right w:w="108" w:type="dxa"/>
            </w:tcMar>
            <w:vAlign w:val="center"/>
          </w:tcPr>
          <w:p>
            <w:pPr>
              <w:keepNext w:val="0"/>
              <w:keepLines w:val="0"/>
              <w:pageBreakBefore w:val="0"/>
              <w:kinsoku/>
              <w:overflowPunct/>
              <w:topLinePunct w:val="0"/>
              <w:autoSpaceDE/>
              <w:autoSpaceDN/>
              <w:bidi w:val="0"/>
              <w:adjustRightInd/>
              <w:snapToGrid/>
              <w:spacing w:line="560" w:lineRule="exact"/>
              <w:ind w:left="-40" w:leftChars="-20" w:right="-40" w:rightChars="-20"/>
              <w:textAlignment w:val="auto"/>
              <w:rPr>
                <w:rFonts w:hint="default" w:ascii="Times New Roman" w:hAnsi="Times New Roman" w:eastAsia="方正黑体简体" w:cs="Times New Roman"/>
                <w:sz w:val="21"/>
                <w:szCs w:val="21"/>
              </w:rPr>
            </w:pPr>
          </w:p>
        </w:tc>
        <w:tc>
          <w:tcPr>
            <w:tcW w:w="649"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结果</w:t>
            </w:r>
            <w:r>
              <w:rPr>
                <w:rFonts w:hint="default" w:ascii="Times New Roman" w:hAnsi="Times New Roman" w:eastAsia="方正黑体简体" w:cs="Times New Roman"/>
                <w:sz w:val="21"/>
                <w:szCs w:val="21"/>
                <w:lang w:bidi="ar"/>
              </w:rPr>
              <w:br w:type="textWrapping"/>
            </w:r>
            <w:r>
              <w:rPr>
                <w:rFonts w:hint="default" w:ascii="Times New Roman" w:hAnsi="Times New Roman" w:eastAsia="方正黑体简体" w:cs="Times New Roman"/>
                <w:sz w:val="21"/>
                <w:szCs w:val="21"/>
                <w:lang w:bidi="ar"/>
              </w:rPr>
              <w:t>维持</w:t>
            </w:r>
          </w:p>
        </w:tc>
        <w:tc>
          <w:tcPr>
            <w:tcW w:w="649"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结果</w:t>
            </w:r>
            <w:r>
              <w:rPr>
                <w:rFonts w:hint="default" w:ascii="Times New Roman" w:hAnsi="Times New Roman" w:eastAsia="方正黑体简体" w:cs="Times New Roman"/>
                <w:sz w:val="21"/>
                <w:szCs w:val="21"/>
                <w:lang w:bidi="ar"/>
              </w:rPr>
              <w:br w:type="textWrapping"/>
            </w:r>
            <w:r>
              <w:rPr>
                <w:rFonts w:hint="default" w:ascii="Times New Roman" w:hAnsi="Times New Roman" w:eastAsia="方正黑体简体" w:cs="Times New Roman"/>
                <w:sz w:val="21"/>
                <w:szCs w:val="21"/>
                <w:lang w:bidi="ar"/>
              </w:rPr>
              <w:t>纠正</w:t>
            </w:r>
          </w:p>
        </w:tc>
        <w:tc>
          <w:tcPr>
            <w:tcW w:w="650"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其他</w:t>
            </w:r>
            <w:r>
              <w:rPr>
                <w:rFonts w:hint="default" w:ascii="Times New Roman" w:hAnsi="Times New Roman" w:eastAsia="方正黑体简体" w:cs="Times New Roman"/>
                <w:sz w:val="21"/>
                <w:szCs w:val="21"/>
                <w:lang w:bidi="ar"/>
              </w:rPr>
              <w:br w:type="textWrapping"/>
            </w:r>
            <w:r>
              <w:rPr>
                <w:rFonts w:hint="default" w:ascii="Times New Roman" w:hAnsi="Times New Roman" w:eastAsia="方正黑体简体" w:cs="Times New Roman"/>
                <w:sz w:val="21"/>
                <w:szCs w:val="21"/>
                <w:lang w:bidi="ar"/>
              </w:rPr>
              <w:t>结果</w:t>
            </w:r>
          </w:p>
        </w:tc>
        <w:tc>
          <w:tcPr>
            <w:tcW w:w="636"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尚未</w:t>
            </w:r>
            <w:r>
              <w:rPr>
                <w:rFonts w:hint="default" w:ascii="Times New Roman" w:hAnsi="Times New Roman" w:eastAsia="方正黑体简体" w:cs="Times New Roman"/>
                <w:sz w:val="21"/>
                <w:szCs w:val="21"/>
                <w:lang w:bidi="ar"/>
              </w:rPr>
              <w:br w:type="textWrapping"/>
            </w:r>
            <w:r>
              <w:rPr>
                <w:rFonts w:hint="default" w:ascii="Times New Roman" w:hAnsi="Times New Roman" w:eastAsia="方正黑体简体" w:cs="Times New Roman"/>
                <w:sz w:val="21"/>
                <w:szCs w:val="21"/>
                <w:lang w:bidi="ar"/>
              </w:rPr>
              <w:t>审结</w:t>
            </w:r>
          </w:p>
        </w:tc>
        <w:tc>
          <w:tcPr>
            <w:tcW w:w="426"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总计</w:t>
            </w:r>
          </w:p>
        </w:tc>
        <w:tc>
          <w:tcPr>
            <w:tcW w:w="650"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结果</w:t>
            </w:r>
            <w:r>
              <w:rPr>
                <w:rFonts w:hint="default" w:ascii="Times New Roman" w:hAnsi="Times New Roman" w:eastAsia="方正黑体简体" w:cs="Times New Roman"/>
                <w:sz w:val="21"/>
                <w:szCs w:val="21"/>
                <w:lang w:bidi="ar"/>
              </w:rPr>
              <w:br w:type="textWrapping"/>
            </w:r>
            <w:r>
              <w:rPr>
                <w:rFonts w:hint="default" w:ascii="Times New Roman" w:hAnsi="Times New Roman" w:eastAsia="方正黑体简体" w:cs="Times New Roman"/>
                <w:sz w:val="21"/>
                <w:szCs w:val="21"/>
                <w:lang w:bidi="ar"/>
              </w:rPr>
              <w:t>维持</w:t>
            </w:r>
          </w:p>
        </w:tc>
        <w:tc>
          <w:tcPr>
            <w:tcW w:w="650"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结果</w:t>
            </w:r>
            <w:r>
              <w:rPr>
                <w:rFonts w:hint="default" w:ascii="Times New Roman" w:hAnsi="Times New Roman" w:eastAsia="方正黑体简体" w:cs="Times New Roman"/>
                <w:sz w:val="21"/>
                <w:szCs w:val="21"/>
                <w:lang w:bidi="ar"/>
              </w:rPr>
              <w:br w:type="textWrapping"/>
            </w:r>
            <w:r>
              <w:rPr>
                <w:rFonts w:hint="default" w:ascii="Times New Roman" w:hAnsi="Times New Roman" w:eastAsia="方正黑体简体" w:cs="Times New Roman"/>
                <w:sz w:val="21"/>
                <w:szCs w:val="21"/>
                <w:lang w:bidi="ar"/>
              </w:rPr>
              <w:t>纠正</w:t>
            </w:r>
          </w:p>
        </w:tc>
        <w:tc>
          <w:tcPr>
            <w:tcW w:w="650"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其他</w:t>
            </w:r>
            <w:r>
              <w:rPr>
                <w:rFonts w:hint="default" w:ascii="Times New Roman" w:hAnsi="Times New Roman" w:eastAsia="方正黑体简体" w:cs="Times New Roman"/>
                <w:sz w:val="21"/>
                <w:szCs w:val="21"/>
                <w:lang w:bidi="ar"/>
              </w:rPr>
              <w:br w:type="textWrapping"/>
            </w:r>
            <w:r>
              <w:rPr>
                <w:rFonts w:hint="default" w:ascii="Times New Roman" w:hAnsi="Times New Roman" w:eastAsia="方正黑体简体" w:cs="Times New Roman"/>
                <w:sz w:val="21"/>
                <w:szCs w:val="21"/>
                <w:lang w:bidi="ar"/>
              </w:rPr>
              <w:t>结果</w:t>
            </w:r>
          </w:p>
        </w:tc>
        <w:tc>
          <w:tcPr>
            <w:tcW w:w="555"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尚未</w:t>
            </w:r>
            <w:r>
              <w:rPr>
                <w:rFonts w:hint="default" w:ascii="Times New Roman" w:hAnsi="Times New Roman" w:eastAsia="方正黑体简体" w:cs="Times New Roman"/>
                <w:sz w:val="21"/>
                <w:szCs w:val="21"/>
                <w:lang w:bidi="ar"/>
              </w:rPr>
              <w:br w:type="textWrapping"/>
            </w:r>
            <w:r>
              <w:rPr>
                <w:rFonts w:hint="default" w:ascii="Times New Roman" w:hAnsi="Times New Roman" w:eastAsia="方正黑体简体" w:cs="Times New Roman"/>
                <w:sz w:val="21"/>
                <w:szCs w:val="21"/>
                <w:lang w:bidi="ar"/>
              </w:rPr>
              <w:t>审结</w:t>
            </w:r>
          </w:p>
        </w:tc>
        <w:tc>
          <w:tcPr>
            <w:tcW w:w="407"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sz w:val="21"/>
                <w:szCs w:val="21"/>
              </w:rPr>
            </w:pPr>
            <w:r>
              <w:rPr>
                <w:rFonts w:hint="default" w:ascii="Times New Roman" w:hAnsi="Times New Roman" w:eastAsia="方正黑体简体" w:cs="Times New Roman"/>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lang w:val="en-US" w:eastAsia="zh-CN" w:bidi="ar"/>
              </w:rPr>
              <w:t>0</w:t>
            </w:r>
          </w:p>
        </w:tc>
        <w:tc>
          <w:tcPr>
            <w:tcW w:w="621"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bidi="ar"/>
              </w:rPr>
              <w:t>0</w:t>
            </w:r>
          </w:p>
        </w:tc>
        <w:tc>
          <w:tcPr>
            <w:tcW w:w="600"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bidi="ar"/>
              </w:rPr>
              <w:t>0</w:t>
            </w:r>
          </w:p>
        </w:tc>
        <w:tc>
          <w:tcPr>
            <w:tcW w:w="591"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bidi="ar"/>
              </w:rPr>
              <w:t>0</w:t>
            </w:r>
          </w:p>
        </w:tc>
        <w:tc>
          <w:tcPr>
            <w:tcW w:w="461"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bidi="ar"/>
              </w:rPr>
              <w:t>0</w:t>
            </w:r>
          </w:p>
        </w:tc>
        <w:tc>
          <w:tcPr>
            <w:tcW w:w="649"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bidi="ar"/>
              </w:rPr>
              <w:t>0</w:t>
            </w:r>
          </w:p>
        </w:tc>
        <w:tc>
          <w:tcPr>
            <w:tcW w:w="649"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bidi="ar"/>
              </w:rPr>
              <w:t>0</w:t>
            </w:r>
          </w:p>
        </w:tc>
        <w:tc>
          <w:tcPr>
            <w:tcW w:w="650"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lang w:val="en-US" w:eastAsia="zh-CN" w:bidi="ar"/>
              </w:rPr>
              <w:t>0</w:t>
            </w:r>
          </w:p>
        </w:tc>
        <w:tc>
          <w:tcPr>
            <w:tcW w:w="636"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bidi="ar"/>
              </w:rPr>
              <w:t>0</w:t>
            </w:r>
          </w:p>
        </w:tc>
        <w:tc>
          <w:tcPr>
            <w:tcW w:w="426"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bidi="ar"/>
              </w:rPr>
              <w:t>0</w:t>
            </w:r>
          </w:p>
        </w:tc>
        <w:tc>
          <w:tcPr>
            <w:tcW w:w="650"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lang w:val="en-US" w:eastAsia="zh-CN" w:bidi="ar"/>
              </w:rPr>
              <w:t>0</w:t>
            </w:r>
          </w:p>
        </w:tc>
        <w:tc>
          <w:tcPr>
            <w:tcW w:w="650"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lang w:val="en-US" w:eastAsia="zh-CN" w:bidi="ar"/>
              </w:rPr>
              <w:t>0</w:t>
            </w:r>
          </w:p>
        </w:tc>
        <w:tc>
          <w:tcPr>
            <w:tcW w:w="650"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bidi="ar"/>
              </w:rPr>
              <w:t>0</w:t>
            </w:r>
          </w:p>
        </w:tc>
        <w:tc>
          <w:tcPr>
            <w:tcW w:w="555" w:type="dxa"/>
            <w:tcMar>
              <w:left w:w="108" w:type="dxa"/>
              <w:right w:w="108" w:type="dxa"/>
            </w:tcMar>
            <w:vAlign w:val="center"/>
          </w:tcPr>
          <w:p>
            <w:pPr>
              <w:keepNext w:val="0"/>
              <w:keepLines w:val="0"/>
              <w:pageBreakBefore w:val="0"/>
              <w:widowControl/>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lang w:val="en-US" w:eastAsia="zh-CN" w:bidi="ar"/>
              </w:rPr>
              <w:t>0</w:t>
            </w:r>
          </w:p>
        </w:tc>
        <w:tc>
          <w:tcPr>
            <w:tcW w:w="407" w:type="dxa"/>
            <w:tcMar>
              <w:left w:w="108" w:type="dxa"/>
              <w:right w:w="108" w:type="dxa"/>
            </w:tcMar>
            <w:vAlign w:val="center"/>
          </w:tcPr>
          <w:p>
            <w:pPr>
              <w:keepNext w:val="0"/>
              <w:keepLines w:val="0"/>
              <w:pageBreakBefore w:val="0"/>
              <w:kinsoku/>
              <w:overflowPunct/>
              <w:topLinePunct w:val="0"/>
              <w:autoSpaceDE/>
              <w:autoSpaceDN/>
              <w:bidi w:val="0"/>
              <w:adjustRightInd/>
              <w:snapToGrid/>
              <w:spacing w:line="560" w:lineRule="exact"/>
              <w:ind w:left="-40" w:leftChars="-20" w:right="-40" w:rightChars="-2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rPr>
              <w:t>0</w:t>
            </w:r>
          </w:p>
        </w:tc>
      </w:tr>
    </w:tbl>
    <w:p>
      <w:pPr>
        <w:keepNext w:val="0"/>
        <w:keepLines w:val="0"/>
        <w:pageBreakBefore w:val="0"/>
        <w:kinsoku/>
        <w:overflowPunct/>
        <w:topLinePunct w:val="0"/>
        <w:autoSpaceDE/>
        <w:autoSpaceDN/>
        <w:bidi w:val="0"/>
        <w:adjustRightInd/>
        <w:snapToGrid/>
        <w:spacing w:line="560" w:lineRule="exact"/>
        <w:ind w:right="-100" w:rightChars="-50" w:firstLine="643" w:firstLineChars="200"/>
        <w:textAlignment w:val="auto"/>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五、存在的主要问题及改进情况</w:t>
      </w:r>
    </w:p>
    <w:p>
      <w:pPr>
        <w:keepNext w:val="0"/>
        <w:keepLines w:val="0"/>
        <w:pageBreakBefore w:val="0"/>
        <w:kinsoku/>
        <w:overflowPunct/>
        <w:topLinePunct w:val="0"/>
        <w:autoSpaceDE/>
        <w:autoSpaceDN/>
        <w:bidi w:val="0"/>
        <w:adjustRightInd/>
        <w:snapToGrid/>
        <w:spacing w:line="560" w:lineRule="exact"/>
        <w:ind w:right="-100" w:rightChars="-50" w:firstLine="643" w:firstLineChars="200"/>
        <w:textAlignment w:val="auto"/>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lang w:val="en-US" w:eastAsia="zh-CN"/>
        </w:rPr>
        <w:t>2022年，市人民防空办公室积极对标先进单位，对照往年出现问题及薄弱环节强化了工作，政务公开工作取得了一定成效。一是在公开方式方面，今年创新了</w:t>
      </w:r>
      <w:r>
        <w:rPr>
          <w:rFonts w:hint="default" w:ascii="Times New Roman" w:hAnsi="Times New Roman" w:eastAsia="方正仿宋简体" w:cs="Times New Roman"/>
          <w:b/>
          <w:sz w:val="32"/>
          <w:szCs w:val="32"/>
        </w:rPr>
        <w:t>网格管理“码”，即在人防工程内统一悬挂网格化管理“二维码”</w:t>
      </w:r>
      <w:r>
        <w:rPr>
          <w:rFonts w:hint="default" w:ascii="Times New Roman" w:hAnsi="Times New Roman" w:eastAsia="方正仿宋简体" w:cs="Times New Roman"/>
          <w:b/>
          <w:sz w:val="32"/>
          <w:szCs w:val="32"/>
          <w:lang w:eastAsia="zh-CN"/>
        </w:rPr>
        <w:t>，同时依托县级人防主体公园进一步强化公开渠道，让人民群众更多的了解人防工作。二是在</w:t>
      </w:r>
      <w:r>
        <w:rPr>
          <w:rFonts w:hint="default" w:ascii="Times New Roman" w:hAnsi="Times New Roman" w:eastAsia="方正仿宋简体" w:cs="Times New Roman"/>
          <w:b/>
          <w:sz w:val="32"/>
          <w:szCs w:val="32"/>
          <w:lang w:val="en-US" w:eastAsia="zh-CN"/>
        </w:rPr>
        <w:t>文件、会议解读方面，对重要会议、文件进行了解读，并在召开的新闻发布会上进一步解读，但仍存在一定不足，下步将继续提升政策解读和发布质量，提高图文解读、数字化解读、新闻媒体解读的比例，采取多种样式进行解读，丰富解读方式和提升解读水平。</w:t>
      </w:r>
    </w:p>
    <w:p>
      <w:pPr>
        <w:keepNext w:val="0"/>
        <w:keepLines w:val="0"/>
        <w:pageBreakBefore w:val="0"/>
        <w:kinsoku/>
        <w:overflowPunct/>
        <w:topLinePunct w:val="0"/>
        <w:autoSpaceDE/>
        <w:autoSpaceDN/>
        <w:bidi w:val="0"/>
        <w:adjustRightInd/>
        <w:snapToGrid/>
        <w:spacing w:line="560" w:lineRule="exact"/>
        <w:ind w:right="-100" w:rightChars="-50" w:firstLine="643" w:firstLineChars="200"/>
        <w:textAlignment w:val="auto"/>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六、其他需要报告的事项</w:t>
      </w:r>
    </w:p>
    <w:p>
      <w:pPr>
        <w:keepNext w:val="0"/>
        <w:keepLines w:val="0"/>
        <w:pageBreakBefore w:val="0"/>
        <w:kinsoku/>
        <w:overflowPunct/>
        <w:topLinePunct w:val="0"/>
        <w:autoSpaceDE/>
        <w:autoSpaceDN/>
        <w:bidi w:val="0"/>
        <w:adjustRightInd/>
        <w:snapToGrid/>
        <w:spacing w:line="560" w:lineRule="exact"/>
        <w:ind w:right="-100" w:rightChars="-50" w:firstLine="643" w:firstLineChars="200"/>
        <w:textAlignment w:val="auto"/>
        <w:rPr>
          <w:rFonts w:hint="default" w:ascii="Times New Roman" w:hAnsi="Times New Roman" w:eastAsia="方正仿宋简体" w:cs="Times New Roman"/>
          <w:b/>
          <w:sz w:val="32"/>
          <w:szCs w:val="32"/>
          <w:lang w:eastAsia="zh-CN"/>
        </w:rPr>
      </w:pPr>
      <w:r>
        <w:rPr>
          <w:rFonts w:hint="default" w:ascii="Times New Roman" w:hAnsi="Times New Roman" w:eastAsia="方正仿宋简体" w:cs="Times New Roman"/>
          <w:b/>
          <w:sz w:val="32"/>
          <w:szCs w:val="32"/>
        </w:rPr>
        <w:t>（一）</w:t>
      </w:r>
      <w:r>
        <w:rPr>
          <w:rFonts w:hint="default" w:ascii="Times New Roman" w:hAnsi="Times New Roman" w:eastAsia="方正仿宋简体" w:cs="Times New Roman"/>
          <w:b/>
          <w:sz w:val="32"/>
          <w:szCs w:val="32"/>
          <w:lang w:val="en-US" w:eastAsia="zh-CN"/>
        </w:rPr>
        <w:t>2022年全年，市人民防空办公室收到1件信息公开申请并转接到2023年办理</w:t>
      </w:r>
      <w:r>
        <w:rPr>
          <w:rFonts w:hint="default" w:ascii="Times New Roman" w:hAnsi="Times New Roman" w:eastAsia="方正仿宋简体" w:cs="Times New Roman"/>
          <w:b/>
          <w:sz w:val="32"/>
          <w:szCs w:val="32"/>
          <w:lang w:eastAsia="zh-CN"/>
        </w:rPr>
        <w:t>，未向公民、法人收取信息处理费用。</w:t>
      </w:r>
    </w:p>
    <w:p>
      <w:pPr>
        <w:keepNext w:val="0"/>
        <w:keepLines w:val="0"/>
        <w:pageBreakBefore w:val="0"/>
        <w:kinsoku/>
        <w:overflowPunct/>
        <w:topLinePunct w:val="0"/>
        <w:autoSpaceDE/>
        <w:autoSpaceDN/>
        <w:bidi w:val="0"/>
        <w:adjustRightInd/>
        <w:snapToGrid/>
        <w:spacing w:line="560" w:lineRule="exact"/>
        <w:ind w:right="-100" w:rightChars="-50" w:firstLine="643" w:firstLineChars="200"/>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sz w:val="32"/>
          <w:szCs w:val="32"/>
          <w:lang w:eastAsia="zh-CN"/>
        </w:rPr>
        <w:t>（二）收到《关于印发2022年济宁市政务公开工作任务分解表的通知》后，</w:t>
      </w:r>
      <w:r>
        <w:rPr>
          <w:rFonts w:hint="default" w:ascii="Times New Roman" w:hAnsi="Times New Roman" w:eastAsia="方正仿宋简体" w:cs="Times New Roman"/>
          <w:b/>
          <w:bCs w:val="0"/>
          <w:kern w:val="2"/>
          <w:sz w:val="32"/>
          <w:szCs w:val="32"/>
          <w:lang w:val="en-US" w:eastAsia="zh-CN" w:bidi="ar-SA"/>
        </w:rPr>
        <w:t>市人民防空办公室高度重视，结合工作实际制定了市人民防空办公室2022年政务公开工作实施方案，</w:t>
      </w:r>
      <w:bookmarkStart w:id="0" w:name="_GoBack"/>
      <w:bookmarkEnd w:id="0"/>
      <w:r>
        <w:rPr>
          <w:rFonts w:hint="eastAsia" w:eastAsia="方正仿宋简体" w:cs="Times New Roman"/>
          <w:b/>
          <w:bCs w:val="0"/>
          <w:kern w:val="2"/>
          <w:sz w:val="32"/>
          <w:szCs w:val="32"/>
          <w:lang w:val="en-US" w:eastAsia="zh-CN" w:bidi="ar-SA"/>
        </w:rPr>
        <w:t>形成</w:t>
      </w:r>
      <w:r>
        <w:rPr>
          <w:rFonts w:hint="default" w:ascii="Times New Roman" w:hAnsi="Times New Roman" w:eastAsia="方正仿宋简体" w:cs="Times New Roman"/>
          <w:b/>
          <w:bCs w:val="0"/>
          <w:kern w:val="2"/>
          <w:sz w:val="32"/>
          <w:szCs w:val="32"/>
          <w:lang w:val="en-US" w:eastAsia="zh-CN" w:bidi="ar-SA"/>
        </w:rPr>
        <w:t>了市人防办落实2022年济宁市政务公开工作任务工作台账，对各项重点工作进行了逐项分解并落实到具体责任科室，并及时跟进任务落实情况，推进按时高效完成。</w:t>
      </w:r>
    </w:p>
    <w:p>
      <w:pPr>
        <w:keepNext w:val="0"/>
        <w:keepLines w:val="0"/>
        <w:pageBreakBefore w:val="0"/>
        <w:kinsoku/>
        <w:overflowPunct/>
        <w:topLinePunct w:val="0"/>
        <w:autoSpaceDE/>
        <w:autoSpaceDN/>
        <w:bidi w:val="0"/>
        <w:adjustRightInd/>
        <w:snapToGrid/>
        <w:spacing w:line="560" w:lineRule="exact"/>
        <w:ind w:right="-100" w:rightChars="-50" w:firstLine="643" w:firstLineChars="200"/>
        <w:textAlignment w:val="auto"/>
        <w:rPr>
          <w:rFonts w:hint="default" w:ascii="Times New Roman" w:hAnsi="Times New Roman" w:eastAsia="方正仿宋简体" w:cs="Times New Roman"/>
          <w:b/>
          <w:sz w:val="32"/>
          <w:szCs w:val="32"/>
          <w:lang w:eastAsia="zh-CN"/>
        </w:rPr>
      </w:pPr>
      <w:r>
        <w:rPr>
          <w:rFonts w:hint="default" w:ascii="Times New Roman" w:hAnsi="Times New Roman" w:eastAsia="方正仿宋简体" w:cs="Times New Roman"/>
          <w:b/>
          <w:sz w:val="32"/>
          <w:szCs w:val="32"/>
        </w:rPr>
        <w:t>（三）</w:t>
      </w:r>
      <w:r>
        <w:rPr>
          <w:rFonts w:hint="default" w:ascii="Times New Roman" w:hAnsi="Times New Roman" w:eastAsia="方正仿宋简体" w:cs="Times New Roman"/>
          <w:b/>
          <w:sz w:val="32"/>
          <w:szCs w:val="32"/>
          <w:lang w:val="en-US" w:eastAsia="zh-CN"/>
        </w:rPr>
        <w:t>2022年全年，</w:t>
      </w:r>
      <w:r>
        <w:rPr>
          <w:rFonts w:hint="default" w:ascii="Times New Roman" w:hAnsi="Times New Roman" w:eastAsia="方正仿宋简体" w:cs="Times New Roman"/>
          <w:b/>
          <w:bCs w:val="0"/>
          <w:kern w:val="2"/>
          <w:sz w:val="32"/>
          <w:szCs w:val="32"/>
          <w:lang w:val="en-US" w:eastAsia="zh-CN" w:bidi="ar-SA"/>
        </w:rPr>
        <w:t>市人民防空办公室</w:t>
      </w:r>
      <w:r>
        <w:rPr>
          <w:rFonts w:hint="default" w:ascii="Times New Roman" w:hAnsi="Times New Roman" w:eastAsia="方正仿宋简体" w:cs="Times New Roman"/>
          <w:b/>
          <w:sz w:val="32"/>
          <w:szCs w:val="32"/>
          <w:lang w:val="en-US" w:eastAsia="zh-CN"/>
        </w:rPr>
        <w:t>未收到</w:t>
      </w:r>
      <w:r>
        <w:rPr>
          <w:rFonts w:hint="default" w:ascii="Times New Roman" w:hAnsi="Times New Roman" w:eastAsia="方正仿宋简体" w:cs="Times New Roman"/>
          <w:b/>
          <w:sz w:val="32"/>
          <w:szCs w:val="32"/>
        </w:rPr>
        <w:t>人大代表建议和政协提案</w:t>
      </w:r>
      <w:r>
        <w:rPr>
          <w:rFonts w:hint="default" w:ascii="Times New Roman" w:hAnsi="Times New Roman" w:eastAsia="方正仿宋简体" w:cs="Times New Roman"/>
          <w:b/>
          <w:sz w:val="32"/>
          <w:szCs w:val="32"/>
          <w:lang w:eastAsia="zh-CN"/>
        </w:rPr>
        <w:t>。</w:t>
      </w:r>
    </w:p>
    <w:p>
      <w:pPr>
        <w:keepNext w:val="0"/>
        <w:keepLines w:val="0"/>
        <w:pageBreakBefore w:val="0"/>
        <w:kinsoku/>
        <w:overflowPunct/>
        <w:topLinePunct w:val="0"/>
        <w:autoSpaceDE/>
        <w:autoSpaceDN/>
        <w:bidi w:val="0"/>
        <w:adjustRightInd/>
        <w:snapToGrid/>
        <w:spacing w:line="560" w:lineRule="exact"/>
        <w:ind w:right="-100" w:rightChars="-50" w:firstLine="643" w:firstLineChars="200"/>
        <w:textAlignment w:val="auto"/>
        <w:rPr>
          <w:rFonts w:hint="default" w:ascii="Times New Roman" w:hAnsi="Times New Roman" w:eastAsia="方正仿宋简体" w:cs="Times New Roman"/>
          <w:b/>
          <w:bCs w:val="0"/>
          <w:sz w:val="32"/>
          <w:szCs w:val="32"/>
          <w:lang w:val="en-US" w:eastAsia="zh-CN"/>
        </w:rPr>
      </w:pPr>
      <w:r>
        <w:rPr>
          <w:rFonts w:hint="default" w:ascii="Times New Roman" w:hAnsi="Times New Roman" w:eastAsia="方正仿宋简体" w:cs="Times New Roman"/>
          <w:b/>
          <w:sz w:val="32"/>
          <w:szCs w:val="32"/>
        </w:rPr>
        <w:t>（</w:t>
      </w:r>
      <w:r>
        <w:rPr>
          <w:rFonts w:hint="default" w:ascii="Times New Roman" w:hAnsi="Times New Roman" w:eastAsia="方正仿宋简体" w:cs="Times New Roman"/>
          <w:b/>
          <w:sz w:val="32"/>
          <w:szCs w:val="32"/>
          <w:lang w:eastAsia="zh-CN"/>
        </w:rPr>
        <w:t>四</w:t>
      </w:r>
      <w:r>
        <w:rPr>
          <w:rFonts w:hint="default" w:ascii="Times New Roman" w:hAnsi="Times New Roman" w:eastAsia="方正仿宋简体" w:cs="Times New Roman"/>
          <w:b/>
          <w:sz w:val="32"/>
          <w:szCs w:val="32"/>
        </w:rPr>
        <w:t>）</w:t>
      </w:r>
      <w:r>
        <w:rPr>
          <w:rFonts w:hint="default" w:ascii="Times New Roman" w:hAnsi="Times New Roman" w:eastAsia="方正仿宋简体" w:cs="Times New Roman"/>
          <w:b/>
          <w:bCs w:val="0"/>
          <w:kern w:val="2"/>
          <w:sz w:val="32"/>
          <w:szCs w:val="32"/>
          <w:lang w:val="en-US" w:eastAsia="zh-CN" w:bidi="ar-SA"/>
        </w:rPr>
        <w:t>市人民防空办公室</w:t>
      </w:r>
      <w:r>
        <w:rPr>
          <w:rFonts w:hint="default" w:ascii="Times New Roman" w:hAnsi="Times New Roman" w:eastAsia="方正仿宋简体" w:cs="Times New Roman"/>
          <w:b/>
          <w:sz w:val="32"/>
          <w:szCs w:val="32"/>
        </w:rPr>
        <w:t>创新设立了网格管理“码”，即在人防工程内统一悬挂网格化管理“二维码”。“二维码”涵盖人防工程基本信息、工程内部空间布局示意图、网格化管理信息、工程维管制度、人防设备使用知识、应急疏散及人防科普知识等七大板块内容。群众通过手机扫描二维码，即可了解人防工程信息，学习人防知识，掌握战时疏散位置，拓宽了人防</w:t>
      </w:r>
      <w:r>
        <w:rPr>
          <w:rFonts w:hint="default" w:ascii="Times New Roman" w:hAnsi="Times New Roman" w:eastAsia="方正仿宋简体" w:cs="Times New Roman"/>
          <w:b/>
          <w:sz w:val="32"/>
          <w:szCs w:val="32"/>
          <w:lang w:eastAsia="zh-CN"/>
        </w:rPr>
        <w:t>政务信息公开</w:t>
      </w:r>
      <w:r>
        <w:rPr>
          <w:rFonts w:hint="default" w:ascii="Times New Roman" w:hAnsi="Times New Roman" w:eastAsia="方正仿宋简体" w:cs="Times New Roman"/>
          <w:b/>
          <w:sz w:val="32"/>
          <w:szCs w:val="32"/>
        </w:rPr>
        <w:t>新渠道。</w:t>
      </w:r>
    </w:p>
    <w:p>
      <w:pPr>
        <w:keepNext w:val="0"/>
        <w:keepLines w:val="0"/>
        <w:pageBreakBefore w:val="0"/>
        <w:widowControl w:val="0"/>
        <w:numPr>
          <w:ilvl w:val="0"/>
          <w:numId w:val="0"/>
        </w:numPr>
        <w:kinsoku/>
        <w:overflowPunct/>
        <w:topLinePunct w:val="0"/>
        <w:autoSpaceDE/>
        <w:autoSpaceDN/>
        <w:bidi w:val="0"/>
        <w:adjustRightInd/>
        <w:snapToGrid/>
        <w:spacing w:line="560" w:lineRule="exact"/>
        <w:ind w:firstLine="640"/>
        <w:jc w:val="both"/>
        <w:textAlignment w:val="auto"/>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lang w:val="en-US" w:eastAsia="zh-CN"/>
        </w:rPr>
        <w:t>（五）</w:t>
      </w:r>
      <w:r>
        <w:rPr>
          <w:rFonts w:hint="default" w:ascii="Times New Roman" w:hAnsi="Times New Roman" w:eastAsia="方正仿宋简体" w:cs="Times New Roman"/>
          <w:b/>
          <w:bCs w:val="0"/>
          <w:kern w:val="2"/>
          <w:sz w:val="32"/>
          <w:szCs w:val="32"/>
          <w:lang w:val="en-US" w:eastAsia="zh-CN" w:bidi="ar-SA"/>
        </w:rPr>
        <w:t>市人民防空办公室</w:t>
      </w:r>
      <w:r>
        <w:rPr>
          <w:rFonts w:hint="default" w:ascii="Times New Roman" w:hAnsi="Times New Roman" w:eastAsia="方正仿宋简体" w:cs="Times New Roman"/>
          <w:b/>
          <w:sz w:val="32"/>
          <w:szCs w:val="32"/>
          <w:lang w:val="en-US" w:eastAsia="zh-CN"/>
        </w:rPr>
        <w:t>暂无政府信息公开工作年度报告数据统计需要说明的事项。</w:t>
      </w:r>
    </w:p>
    <w:p>
      <w:pPr>
        <w:keepNext w:val="0"/>
        <w:keepLines w:val="0"/>
        <w:pageBreakBefore w:val="0"/>
        <w:widowControl w:val="0"/>
        <w:numPr>
          <w:ilvl w:val="0"/>
          <w:numId w:val="0"/>
        </w:numPr>
        <w:kinsoku/>
        <w:overflowPunct/>
        <w:topLinePunct w:val="0"/>
        <w:autoSpaceDE/>
        <w:autoSpaceDN/>
        <w:bidi w:val="0"/>
        <w:adjustRightInd/>
        <w:snapToGrid/>
        <w:spacing w:line="560" w:lineRule="exact"/>
        <w:ind w:firstLine="640"/>
        <w:jc w:val="both"/>
        <w:textAlignment w:val="auto"/>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lang w:val="en-US" w:eastAsia="zh-CN"/>
        </w:rPr>
        <w:t>（六）</w:t>
      </w:r>
      <w:r>
        <w:rPr>
          <w:rFonts w:hint="default" w:ascii="Times New Roman" w:hAnsi="Times New Roman" w:eastAsia="方正仿宋简体" w:cs="Times New Roman"/>
          <w:b/>
          <w:bCs w:val="0"/>
          <w:kern w:val="2"/>
          <w:sz w:val="32"/>
          <w:szCs w:val="32"/>
          <w:lang w:val="en-US" w:eastAsia="zh-CN" w:bidi="ar-SA"/>
        </w:rPr>
        <w:t>市人民防空办公室</w:t>
      </w:r>
      <w:r>
        <w:rPr>
          <w:rFonts w:hint="default" w:ascii="Times New Roman" w:hAnsi="Times New Roman" w:eastAsia="方正仿宋简体" w:cs="Times New Roman"/>
          <w:b/>
          <w:sz w:val="32"/>
          <w:szCs w:val="32"/>
          <w:lang w:val="en-US" w:eastAsia="zh-CN"/>
        </w:rPr>
        <w:t>暂无需要报告的其他事项。</w:t>
      </w:r>
    </w:p>
    <w:p>
      <w:pPr>
        <w:keepNext w:val="0"/>
        <w:keepLines w:val="0"/>
        <w:pageBreakBefore w:val="0"/>
        <w:widowControl w:val="0"/>
        <w:numPr>
          <w:ilvl w:val="0"/>
          <w:numId w:val="0"/>
        </w:numPr>
        <w:kinsoku/>
        <w:overflowPunct/>
        <w:topLinePunct w:val="0"/>
        <w:autoSpaceDE/>
        <w:autoSpaceDN/>
        <w:bidi w:val="0"/>
        <w:adjustRightInd/>
        <w:snapToGrid/>
        <w:spacing w:line="560" w:lineRule="exact"/>
        <w:ind w:firstLine="640"/>
        <w:jc w:val="both"/>
        <w:textAlignment w:val="auto"/>
        <w:rPr>
          <w:rFonts w:hint="default" w:ascii="Times New Roman" w:hAnsi="Times New Roman" w:cs="Times New Roman"/>
        </w:rPr>
      </w:pPr>
      <w:r>
        <w:rPr>
          <w:rFonts w:hint="default" w:ascii="Times New Roman" w:hAnsi="Times New Roman" w:eastAsia="方正仿宋简体" w:cs="Times New Roman"/>
          <w:b/>
          <w:sz w:val="32"/>
          <w:szCs w:val="32"/>
          <w:lang w:val="en-US" w:eastAsia="zh-CN"/>
        </w:rPr>
        <w:t>（七）</w:t>
      </w:r>
      <w:r>
        <w:rPr>
          <w:rFonts w:hint="default" w:ascii="Times New Roman" w:hAnsi="Times New Roman" w:eastAsia="方正仿宋简体" w:cs="Times New Roman"/>
          <w:b/>
          <w:bCs w:val="0"/>
          <w:kern w:val="2"/>
          <w:sz w:val="32"/>
          <w:szCs w:val="32"/>
          <w:lang w:val="en-US" w:eastAsia="zh-CN" w:bidi="ar-SA"/>
        </w:rPr>
        <w:t>市人民防空办公室</w:t>
      </w:r>
      <w:r>
        <w:rPr>
          <w:rFonts w:hint="default" w:ascii="Times New Roman" w:hAnsi="Times New Roman" w:eastAsia="方正仿宋简体" w:cs="Times New Roman"/>
          <w:b/>
          <w:sz w:val="32"/>
          <w:szCs w:val="32"/>
          <w:lang w:val="en-US" w:eastAsia="zh-CN"/>
        </w:rPr>
        <w:t>暂无其他有关文件专门要求通过政府信息公开工作年度报告予以报告的事项。</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D358DF"/>
    <w:multiLevelType w:val="singleLevel"/>
    <w:tmpl w:val="B4D358DF"/>
    <w:lvl w:ilvl="0" w:tentative="0">
      <w:start w:val="1"/>
      <w:numFmt w:val="chineseCounting"/>
      <w:suff w:val="nothing"/>
      <w:lvlText w:val="（%1）"/>
      <w:lvlJc w:val="left"/>
      <w:pPr>
        <w:ind w:left="357"/>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hY2FkMjk5OGI4ZTEwZjQ5ZGE2NmJmMWFlNTNjNjYifQ=="/>
  </w:docVars>
  <w:rsids>
    <w:rsidRoot w:val="00000000"/>
    <w:rsid w:val="02D12519"/>
    <w:rsid w:val="07096E75"/>
    <w:rsid w:val="071E7B0A"/>
    <w:rsid w:val="0CE4131B"/>
    <w:rsid w:val="0D6F1C73"/>
    <w:rsid w:val="13DB1ED7"/>
    <w:rsid w:val="15A00431"/>
    <w:rsid w:val="180B3BDA"/>
    <w:rsid w:val="1AF11B04"/>
    <w:rsid w:val="1BC5489E"/>
    <w:rsid w:val="1DCB1792"/>
    <w:rsid w:val="1F4B0F4C"/>
    <w:rsid w:val="25B24249"/>
    <w:rsid w:val="2B840949"/>
    <w:rsid w:val="2BCB64CF"/>
    <w:rsid w:val="34006285"/>
    <w:rsid w:val="36FA5988"/>
    <w:rsid w:val="377E6677"/>
    <w:rsid w:val="3CFB720B"/>
    <w:rsid w:val="3E8B7AED"/>
    <w:rsid w:val="455A1CC5"/>
    <w:rsid w:val="467E5693"/>
    <w:rsid w:val="4897230C"/>
    <w:rsid w:val="498C281E"/>
    <w:rsid w:val="4AB3356F"/>
    <w:rsid w:val="4BFA6070"/>
    <w:rsid w:val="4D6F47FD"/>
    <w:rsid w:val="4E12604B"/>
    <w:rsid w:val="4E88696E"/>
    <w:rsid w:val="4F1330A3"/>
    <w:rsid w:val="50313B87"/>
    <w:rsid w:val="52EC1C28"/>
    <w:rsid w:val="56BF0161"/>
    <w:rsid w:val="56EA5CFE"/>
    <w:rsid w:val="582425C8"/>
    <w:rsid w:val="5A824EF5"/>
    <w:rsid w:val="5D562BC6"/>
    <w:rsid w:val="65F22E47"/>
    <w:rsid w:val="68FA1478"/>
    <w:rsid w:val="6A39007D"/>
    <w:rsid w:val="6DDF384A"/>
    <w:rsid w:val="6E1A66EC"/>
    <w:rsid w:val="6E4A02DE"/>
    <w:rsid w:val="6EA734AC"/>
    <w:rsid w:val="6FF63E2C"/>
    <w:rsid w:val="71D03C32"/>
    <w:rsid w:val="71D95249"/>
    <w:rsid w:val="727A2685"/>
    <w:rsid w:val="73272FE7"/>
    <w:rsid w:val="79A63CE8"/>
    <w:rsid w:val="79CA2C19"/>
    <w:rsid w:val="7A370789"/>
    <w:rsid w:val="7D5B0DB8"/>
    <w:rsid w:val="7DFFCE16"/>
    <w:rsid w:val="7ED523A0"/>
    <w:rsid w:val="7F5673A2"/>
    <w:rsid w:val="7F850D84"/>
    <w:rsid w:val="7FFB901D"/>
    <w:rsid w:val="CFDBAC9B"/>
    <w:rsid w:val="DF77DD24"/>
    <w:rsid w:val="EECFA310"/>
    <w:rsid w:val="EFFEBD11"/>
    <w:rsid w:val="F9D9A4A4"/>
    <w:rsid w:val="FFC323C8"/>
    <w:rsid w:val="FFEB3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 w:type="paragraph" w:customStyle="1" w:styleId="9">
    <w:name w:val="List Paragraph1"/>
    <w:basedOn w:val="1"/>
    <w:uiPriority w:val="0"/>
    <w:pPr>
      <w:ind w:firstLine="420" w:firstLineChars="200"/>
    </w:pPr>
    <w:rPr>
      <w:rFonts w:cs="Calibri"/>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0" i="0" u="none" strike="noStrike" kern="1200" baseline="0">
                <a:solidFill>
                  <a:schemeClr val="dk1">
                    <a:lumMod val="65000"/>
                    <a:lumOff val="35000"/>
                  </a:schemeClr>
                </a:solidFill>
                <a:effectLst/>
                <a:latin typeface="+mn-lt"/>
                <a:ea typeface="+mn-ea"/>
                <a:cs typeface="+mn-cs"/>
              </a:defRPr>
            </a:pPr>
            <a:r>
              <a:t>政府信息公开情况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政府信息公开情况</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1"/>
              <c:layout/>
              <c:dLblPos val="in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inEnd"/>
            <c:showLegendKey val="0"/>
            <c:showVal val="1"/>
            <c:showCatName val="1"/>
            <c:showSerName val="0"/>
            <c:showPercent val="1"/>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Sheet1!$A$2:$A$4</c:f>
              <c:strCache>
                <c:ptCount val="3"/>
                <c:pt idx="0">
                  <c:v>网站</c:v>
                </c:pt>
                <c:pt idx="1">
                  <c:v>微信</c:v>
                </c:pt>
                <c:pt idx="2">
                  <c:v>其他</c:v>
                </c:pt>
              </c:strCache>
            </c:strRef>
          </c:cat>
          <c:val>
            <c:numRef>
              <c:f>Sheet1!$B$2:$B$4</c:f>
              <c:numCache>
                <c:formatCode>General</c:formatCode>
                <c:ptCount val="3"/>
                <c:pt idx="0">
                  <c:v>258</c:v>
                </c:pt>
                <c:pt idx="1">
                  <c:v>89</c:v>
                </c:pt>
                <c:pt idx="2">
                  <c:v>176</c:v>
                </c:pt>
              </c:numCache>
            </c:numRef>
          </c:val>
        </c:ser>
        <c:dLbls>
          <c:showLegendKey val="0"/>
          <c:showVal val="1"/>
          <c:showCatName val="0"/>
          <c:showSerName val="0"/>
          <c:showPercent val="0"/>
          <c:showBubbleSize val="0"/>
        </c:dLbls>
        <c:gapWidth val="41"/>
        <c:overlap val="0"/>
        <c:axId val="914367967"/>
        <c:axId val="163254569"/>
      </c:barChart>
      <c:catAx>
        <c:axId val="914367967"/>
        <c:scaling>
          <c:orientation val="minMax"/>
        </c:scaling>
        <c:delete val="0"/>
        <c:axPos val="b"/>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163254569"/>
        <c:crosses val="autoZero"/>
        <c:auto val="1"/>
        <c:lblAlgn val="ctr"/>
        <c:lblOffset val="100"/>
        <c:noMultiLvlLbl val="0"/>
      </c:catAx>
      <c:valAx>
        <c:axId val="163254569"/>
        <c:scaling>
          <c:orientation val="minMax"/>
        </c:scaling>
        <c:delete val="1"/>
        <c:axPos val="l"/>
        <c:numFmt formatCode="General" sourceLinked="1"/>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914367967"/>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2966</Words>
  <Characters>3087</Characters>
  <Lines>0</Lines>
  <Paragraphs>0</Paragraphs>
  <TotalTime>20</TotalTime>
  <ScaleCrop>false</ScaleCrop>
  <LinksUpToDate>false</LinksUpToDate>
  <CharactersWithSpaces>3087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2022-01-19T10:58:00Z</dcterms:created>
  <dc:creator>王国珍</dc:creator>
  <cp:lastModifiedBy>Administrator</cp:lastModifiedBy>
  <dcterms:modified xsi:type="dcterms:W3CDTF">2023-01-31T23:24:34Z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D7801A24751A59824CBDD4638C8637B1</vt:lpwstr>
  </property>
</Properties>
</file>