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2"/>
          <w:szCs w:val="72"/>
        </w:rPr>
      </w:pPr>
      <w:r>
        <w:rPr>
          <w:color w:val="FF0000"/>
          <w:sz w:val="72"/>
        </w:rPr>
        <w:pict>
          <v:line id="_x0000_s1026" o:spid="_x0000_s1026" o:spt="20" style="position:absolute;left:0pt;margin-left:-19.25pt;margin-top:56.75pt;height:0.05pt;width:476.2pt;z-index:251657216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济宁市住房公积金管理中心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济宁市住房公积金管理中心</w:t>
      </w: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b/>
          <w:color w:val="000000" w:themeColor="text1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年政府信息公开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</w:rPr>
        <w:t>年度报告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</w:rPr>
        <w:t>济宁市住房公积金管理中心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年12月31日止。本报告电子版可在“中国·济宁”政府门户网站（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http://www.jining.gov.cn/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）查阅或下载。如对本报告有疑问，请与济宁市住房公积金管理中心联系（地址：济宁市洸河路133号，联系电话：0537-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2609800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）。</w:t>
      </w:r>
    </w:p>
    <w:p>
      <w:pPr>
        <w:spacing w:line="590" w:lineRule="exact"/>
        <w:ind w:right="-105" w:rightChars="-50" w:firstLine="642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 w:firstLineChars="200"/>
        <w:jc w:val="both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pict>
          <v:line id="_x0000_s1028" o:spid="_x0000_s1028" o:spt="20" style="position:absolute;left:0pt;margin-left:-11pt;margin-top:90.9pt;height:0.05pt;width:476.2pt;z-index:251662336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</w:rPr>
        <w:t>年，</w:t>
      </w:r>
      <w:r>
        <w:rPr>
          <w:rFonts w:hint="eastAsia" w:ascii="方正仿宋简体" w:hAnsi="Times New Roman" w:eastAsia="方正仿宋简体"/>
          <w:b/>
          <w:sz w:val="32"/>
          <w:szCs w:val="32"/>
          <w:lang w:eastAsia="zh-CN"/>
        </w:rPr>
        <w:t>中心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在市委市政府的坚强领导下，在市政务公开办公室的悉心指导下，</w:t>
      </w:r>
      <w:r>
        <w:rPr>
          <w:rFonts w:hint="eastAsia" w:ascii="方正仿宋简体" w:hAnsi="Times New Roman" w:eastAsia="方正仿宋简体"/>
          <w:b/>
          <w:sz w:val="32"/>
          <w:szCs w:val="32"/>
          <w:lang w:val="en-US" w:eastAsia="zh-CN"/>
        </w:rPr>
        <w:t>坚持强化党建引领，提升服务效能，紧紧围绕市政府政务信息公开工作要求，加大主动公开力度，加强队伍建设，加强政策解读，提高工作的透明度，增进人民群众的获得感。</w:t>
      </w:r>
    </w:p>
    <w:p>
      <w:pPr>
        <w:spacing w:line="590" w:lineRule="exact"/>
        <w:ind w:right="-105" w:rightChars="-50" w:firstLine="642" w:firstLineChars="200"/>
        <w:rPr>
          <w:rFonts w:hint="default" w:ascii="方正楷体简体" w:eastAsia="方正楷体简体"/>
          <w:b/>
          <w:color w:val="000000" w:themeColor="text1"/>
          <w:sz w:val="32"/>
          <w:szCs w:val="32"/>
          <w:lang w:val="en"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（一）主动公开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力度加大加深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方正仿宋简体" w:hAnsi="Times New Roman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一是通过报纸、中心网站、中心微信公众号及多家媒体进行</w:t>
      </w:r>
      <w:r>
        <w:rPr>
          <w:rFonts w:hint="eastAsia" w:ascii="方正仿宋简体" w:hAnsi="Times New Roman" w:eastAsia="方正仿宋简体"/>
          <w:b/>
          <w:sz w:val="32"/>
          <w:szCs w:val="32"/>
          <w:lang w:val="en-US" w:eastAsia="zh-CN"/>
        </w:rPr>
        <w:t>工作进展、服务举措、政策法规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类信息公开，截止12月31日，通过市政府网站、中心门户网站共发布各类信息251条，微信公众号发布各类信息39条，通过各媒体发布新闻稿件</w:t>
      </w:r>
      <w:r>
        <w:rPr>
          <w:rFonts w:hint="default" w:ascii="方正仿宋简体" w:eastAsia="方正仿宋简体"/>
          <w:b/>
          <w:color w:val="000000" w:themeColor="text1"/>
          <w:sz w:val="32"/>
          <w:szCs w:val="32"/>
          <w:lang w:val="en" w:eastAsia="zh-CN"/>
        </w:rPr>
        <w:t>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1条。二是上半年3次进入电台直播间进行业务宣传、政策解读。三是于5月26日主持召开了“金银携手 惠民助企 共促房地产市场平稳健康发展”新闻发布会，起到了良好的宣传效果。于11月29日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</w:rPr>
        <w:t>高质量组织召开淮海经济区、鲁南经济圈和省厅现场会三个会议，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展示了中心工作成绩、树立了单位良好形象。</w:t>
      </w:r>
    </w:p>
    <w:p>
      <w:pPr>
        <w:spacing w:line="240" w:lineRule="auto"/>
        <w:ind w:right="-105" w:rightChars="-5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72000" cy="2493645"/>
            <wp:effectExtent l="0" t="0" r="0" b="1905"/>
            <wp:docPr id="1" name="图片 1" descr="截图录屏_选择区域_202301190918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录屏_选择区域_2023011909181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5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2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</w:rPr>
        <w:t>2022年中心未收到依申请公开件。</w:t>
      </w:r>
    </w:p>
    <w:p>
      <w:pPr>
        <w:spacing w:line="590" w:lineRule="exact"/>
        <w:ind w:right="-105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（三）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进一步规范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政府信息管理</w:t>
      </w:r>
    </w:p>
    <w:p>
      <w:pPr>
        <w:widowControl/>
        <w:spacing w:line="576" w:lineRule="exact"/>
        <w:ind w:firstLine="642" w:firstLineChars="200"/>
        <w:jc w:val="left"/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一是严把信息公开保密审查关。严格按照《中华人民共和国保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守国家秘密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法》（以下简称《保密法》）和《条例》等法律、法规的规定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依据“先审查、后公开，谁审查、谁负责，谁公开、谁负责”的原则，对拟公开的信息做好审查。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严把信息公开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文字内容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关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实行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拟公开信息部门负责人、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信息发布人员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、信息公开部门负责人、信息公开部门分管领导四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级联审，对发布的信息，从标点、语句到标题、内容进行严格审核，确保发布的信息内容全面、语言表述严谨、标点使用准确、信息发布规范。</w:t>
      </w:r>
    </w:p>
    <w:p>
      <w:pPr>
        <w:spacing w:line="590" w:lineRule="exact"/>
        <w:ind w:right="-105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（四）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丰富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政府信息公开平台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一是进一步优化网站栏目设置，设立信息公开、新闻中心、业务指南、政策法规、便民服务、“1+4+N”单位文化等公开专栏。本着高效、快捷、便民的原则，优化政务公开平台。二是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6月底单位建成了占地近200平米的新时代文化数字展厅，集中展示单位工作实绩。三是搭建载体，组建队伍。以45周岁以下青年干部为主体，组建了政策宣传队，组织团员青年、党员干部走上街道、社区、企业园区宣传住房公积金政策。</w:t>
      </w:r>
      <w:bookmarkStart w:id="0" w:name="_GoBack"/>
      <w:bookmarkEnd w:id="0"/>
    </w:p>
    <w:p>
      <w:pPr>
        <w:spacing w:line="590" w:lineRule="exact"/>
        <w:ind w:right="-105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（五）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以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</w:rPr>
        <w:t>监督保障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</w:rPr>
        <w:t>促工作落实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/>
          <w:b/>
          <w:sz w:val="32"/>
          <w:szCs w:val="32"/>
          <w:lang w:val="en-US" w:eastAsia="zh-CN"/>
        </w:rPr>
        <w:t>进一步健全政务公开长效机制，坚持“公开为常态、不公开为例外”的工作原则，加强政务公开队伍建设，提高政务公开意识，以政务公开促落实、促规范、促服务。为确保政务公开各项工作落到实处，各科室、分支机构均明确了政务公开工作人员，定期上报需公开内容，接受政务公开工作培训。持续加强组织领导，强化制度执行，将政务公开工作纳入工作考核，与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中心</w:t>
      </w:r>
      <w:r>
        <w:rPr>
          <w:rFonts w:hint="eastAsia" w:ascii="方正仿宋简体" w:hAnsi="Times New Roman" w:eastAsia="方正仿宋简体"/>
          <w:b/>
          <w:sz w:val="32"/>
          <w:szCs w:val="32"/>
          <w:lang w:val="en-US" w:eastAsia="zh-CN"/>
        </w:rPr>
        <w:t>业务工作同部署、同落实、同督考。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2022年，我中心政府信息公开工作虽然取得了一定成绩，但与公众的需求还有一定的差距，还面临着一些困难和问题，主要有：一是信息公开形式和载体还不够丰富；二是对部分政策解读生动性不够，解读形式不够丰富，解读内容需要深入细化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针对存在的问题，下一步中心将做好以下工作：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jc w:val="left"/>
        <w:textAlignment w:val="auto"/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一是不断丰富信息公开形式和公开载体，加大公开力度，完善主动公开信息内容。通过开展“送政策上门、送服务上门”活动，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面对面解疑答惑，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提高缴存单位和职工对住房公积金制度的认知感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二是进一步加强政策解读工作，重点做好涉及群众切身利益特别是提取、贷款等方面政策措施的宣传解读工作，要及时回应群众关切，传递权威信息。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2" w:firstLineChars="200"/>
        <w:textAlignment w:val="auto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2022年，中心认真贯彻落实国家、省、市政务公开要点要求，及时将重点任务分解至各科室、分支机构，督促各部门及时上报公开信息，认真全面依法做好政务公开工作。依据《政府信息公开信息处理费管理办法》，本中心依申请公开不收费，2022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未产生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收取信息处理费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的情况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。2022年度中心共收到两个政协委员提案，分别是《关于进一步完善我市住房公积金政策的建议》和《关于提高多孩家庭公积金贷款优惠的建议》，目前均已答复，提案人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对办理结果满意。202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年度未收到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人大代表建议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Yu Mincho Light" w:eastAsia="方正仿宋简体" w:cs="仿宋_GB2312"/>
          <w:b/>
          <w:sz w:val="32"/>
          <w:szCs w:val="32"/>
        </w:rPr>
        <w:t>202</w:t>
      </w:r>
      <w:r>
        <w:rPr>
          <w:rFonts w:hint="eastAsia" w:ascii="方正仿宋简体" w:hAnsi="Yu Mincho Light" w:eastAsia="方正仿宋简体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hAnsi="Yu Mincho Light" w:eastAsia="方正仿宋简体" w:cs="仿宋_GB2312"/>
          <w:b/>
          <w:sz w:val="32"/>
          <w:szCs w:val="32"/>
        </w:rPr>
        <w:t>年度本部门</w:t>
      </w:r>
      <w:r>
        <w:rPr>
          <w:rFonts w:hint="eastAsia" w:ascii="方正仿宋简体" w:hAnsi="Yu Mincho Light" w:eastAsia="方正仿宋简体" w:cs="仿宋_GB2312"/>
          <w:b/>
          <w:sz w:val="32"/>
          <w:szCs w:val="32"/>
          <w:lang w:eastAsia="zh-CN"/>
        </w:rPr>
        <w:t>以图文并茂、通俗易懂的形式发布了多条政策解读文件。我中心在政务公开专区建设方面积极创新，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建成了占地近200平米，涵盖党建引领、文化培元、聚力赋能、数说成果、砥砺前行五个篇章的新时代文化数字展厅，集中展示单位工作实绩。</w:t>
      </w:r>
    </w:p>
    <w:p>
      <w:pPr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 xml:space="preserve"> 济宁市住房公积金管理中心</w:t>
      </w:r>
    </w:p>
    <w:p>
      <w:pPr>
        <w:spacing w:line="576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2023年1月</w:t>
      </w:r>
      <w:r>
        <w:rPr>
          <w:rFonts w:hint="default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" w:eastAsia="zh-CN" w:bidi="ar-SA"/>
        </w:rPr>
        <w:t>2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</w:rPr>
        <w:t>9日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Yu Mincho Light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1B2098"/>
    <w:rsid w:val="0044316C"/>
    <w:rsid w:val="004544DF"/>
    <w:rsid w:val="00491960"/>
    <w:rsid w:val="005237DC"/>
    <w:rsid w:val="005C7EDD"/>
    <w:rsid w:val="005D38DA"/>
    <w:rsid w:val="00950F2E"/>
    <w:rsid w:val="00A11E50"/>
    <w:rsid w:val="00A839D5"/>
    <w:rsid w:val="00C654C5"/>
    <w:rsid w:val="00D93D70"/>
    <w:rsid w:val="0E757CFF"/>
    <w:rsid w:val="16DFEC19"/>
    <w:rsid w:val="17C59877"/>
    <w:rsid w:val="17F9C742"/>
    <w:rsid w:val="1BF7CB7B"/>
    <w:rsid w:val="1D9AED25"/>
    <w:rsid w:val="1DDF0817"/>
    <w:rsid w:val="1FDDB556"/>
    <w:rsid w:val="24377C6C"/>
    <w:rsid w:val="25F98FC9"/>
    <w:rsid w:val="3BFDDADE"/>
    <w:rsid w:val="3E53CA76"/>
    <w:rsid w:val="3E7F6D24"/>
    <w:rsid w:val="3EFEB671"/>
    <w:rsid w:val="3EFFB063"/>
    <w:rsid w:val="3F3C2EE9"/>
    <w:rsid w:val="3F67B564"/>
    <w:rsid w:val="3F7B474F"/>
    <w:rsid w:val="3F7EB65E"/>
    <w:rsid w:val="3F96D535"/>
    <w:rsid w:val="3F9B1B62"/>
    <w:rsid w:val="3FB53A77"/>
    <w:rsid w:val="3FF71AFE"/>
    <w:rsid w:val="3FFD0A85"/>
    <w:rsid w:val="3FFD5A15"/>
    <w:rsid w:val="3FFDA3DB"/>
    <w:rsid w:val="48CEFA3C"/>
    <w:rsid w:val="4D4AD7AB"/>
    <w:rsid w:val="4E684E73"/>
    <w:rsid w:val="4FE334AE"/>
    <w:rsid w:val="55FBD72F"/>
    <w:rsid w:val="565A8DC5"/>
    <w:rsid w:val="59DBCB9A"/>
    <w:rsid w:val="59FC534D"/>
    <w:rsid w:val="5A77EDFF"/>
    <w:rsid w:val="5CBF2E0C"/>
    <w:rsid w:val="5EFA22FD"/>
    <w:rsid w:val="5EFE64B3"/>
    <w:rsid w:val="5FA31D08"/>
    <w:rsid w:val="5FED3C9C"/>
    <w:rsid w:val="5FFC2BA0"/>
    <w:rsid w:val="5FFF5763"/>
    <w:rsid w:val="5FFF977D"/>
    <w:rsid w:val="66C90C3F"/>
    <w:rsid w:val="67F1A8F7"/>
    <w:rsid w:val="684FC6E4"/>
    <w:rsid w:val="6B5A42B8"/>
    <w:rsid w:val="6BFE0581"/>
    <w:rsid w:val="6EFF63BB"/>
    <w:rsid w:val="6FAF2395"/>
    <w:rsid w:val="6FAF77DD"/>
    <w:rsid w:val="6FF36BD8"/>
    <w:rsid w:val="6FFDE101"/>
    <w:rsid w:val="777F2B5C"/>
    <w:rsid w:val="777F4596"/>
    <w:rsid w:val="77CDD7E3"/>
    <w:rsid w:val="77FD316A"/>
    <w:rsid w:val="783FCC21"/>
    <w:rsid w:val="79F74271"/>
    <w:rsid w:val="7A5FF987"/>
    <w:rsid w:val="7AEBA585"/>
    <w:rsid w:val="7B79E88C"/>
    <w:rsid w:val="7BDA3F77"/>
    <w:rsid w:val="7BFBF647"/>
    <w:rsid w:val="7CDBF945"/>
    <w:rsid w:val="7D3F99C5"/>
    <w:rsid w:val="7DB720DE"/>
    <w:rsid w:val="7DBE141B"/>
    <w:rsid w:val="7DFFAF79"/>
    <w:rsid w:val="7E5950DB"/>
    <w:rsid w:val="7E7759AB"/>
    <w:rsid w:val="7EDEC783"/>
    <w:rsid w:val="7F4D5E76"/>
    <w:rsid w:val="7F5AAF19"/>
    <w:rsid w:val="7F5D1C12"/>
    <w:rsid w:val="7F9616D3"/>
    <w:rsid w:val="7FBD2D49"/>
    <w:rsid w:val="7FBFB36E"/>
    <w:rsid w:val="7FEE4873"/>
    <w:rsid w:val="7FF534EC"/>
    <w:rsid w:val="7FF67A42"/>
    <w:rsid w:val="7FFFD183"/>
    <w:rsid w:val="82DB766C"/>
    <w:rsid w:val="97FF25F8"/>
    <w:rsid w:val="9CCF9615"/>
    <w:rsid w:val="AF54718F"/>
    <w:rsid w:val="AFBF54A8"/>
    <w:rsid w:val="AFFE9DC8"/>
    <w:rsid w:val="B5572430"/>
    <w:rsid w:val="B57F314B"/>
    <w:rsid w:val="B76724DE"/>
    <w:rsid w:val="B93D9F7E"/>
    <w:rsid w:val="BAFFDF30"/>
    <w:rsid w:val="BC614D12"/>
    <w:rsid w:val="BDEC054A"/>
    <w:rsid w:val="BE3D824E"/>
    <w:rsid w:val="BF57F61E"/>
    <w:rsid w:val="BF7F5E76"/>
    <w:rsid w:val="BFF32753"/>
    <w:rsid w:val="BFFFFC74"/>
    <w:rsid w:val="CBFF5B9E"/>
    <w:rsid w:val="CCCB13FF"/>
    <w:rsid w:val="CFBDC6E7"/>
    <w:rsid w:val="D3ED93FE"/>
    <w:rsid w:val="D3FEE33A"/>
    <w:rsid w:val="D438704D"/>
    <w:rsid w:val="D71FFBFA"/>
    <w:rsid w:val="D7ACDDA4"/>
    <w:rsid w:val="D7BD38BD"/>
    <w:rsid w:val="DBD23C55"/>
    <w:rsid w:val="DDB1CA62"/>
    <w:rsid w:val="DDCE6CD1"/>
    <w:rsid w:val="DDFB8B84"/>
    <w:rsid w:val="DE622378"/>
    <w:rsid w:val="DEF7EAD3"/>
    <w:rsid w:val="DF7F4C30"/>
    <w:rsid w:val="DFDD3C88"/>
    <w:rsid w:val="DFF2C479"/>
    <w:rsid w:val="E3F74BC6"/>
    <w:rsid w:val="E67F51BB"/>
    <w:rsid w:val="E7FF2C03"/>
    <w:rsid w:val="E7FF3B69"/>
    <w:rsid w:val="E8FFB28D"/>
    <w:rsid w:val="EB7AA7BD"/>
    <w:rsid w:val="EBA7BED9"/>
    <w:rsid w:val="EBDF3B65"/>
    <w:rsid w:val="EBEFD3DF"/>
    <w:rsid w:val="EBFFEBD6"/>
    <w:rsid w:val="ECFF7280"/>
    <w:rsid w:val="EF5B9D70"/>
    <w:rsid w:val="EFDB917D"/>
    <w:rsid w:val="EFFBEE79"/>
    <w:rsid w:val="EFFC02BB"/>
    <w:rsid w:val="F4FF715B"/>
    <w:rsid w:val="F5E50778"/>
    <w:rsid w:val="F5EDDF9D"/>
    <w:rsid w:val="F5FEBAA6"/>
    <w:rsid w:val="F7BE5A4C"/>
    <w:rsid w:val="F7E5061D"/>
    <w:rsid w:val="F7F34FAF"/>
    <w:rsid w:val="F96F5148"/>
    <w:rsid w:val="FADB567F"/>
    <w:rsid w:val="FB7E2904"/>
    <w:rsid w:val="FBDF5ECE"/>
    <w:rsid w:val="FC573370"/>
    <w:rsid w:val="FCFF5462"/>
    <w:rsid w:val="FD6FC755"/>
    <w:rsid w:val="FDB0AC22"/>
    <w:rsid w:val="FDDF8808"/>
    <w:rsid w:val="FDEE80BF"/>
    <w:rsid w:val="FDF70AD2"/>
    <w:rsid w:val="FDFF420B"/>
    <w:rsid w:val="FE7FC90E"/>
    <w:rsid w:val="FEBF1367"/>
    <w:rsid w:val="FEDBC220"/>
    <w:rsid w:val="FEE69DFD"/>
    <w:rsid w:val="FEF5A61D"/>
    <w:rsid w:val="FF460500"/>
    <w:rsid w:val="FF5E42A1"/>
    <w:rsid w:val="FF77B95D"/>
    <w:rsid w:val="FF79BC8B"/>
    <w:rsid w:val="FF8546D7"/>
    <w:rsid w:val="FFADD0F8"/>
    <w:rsid w:val="FFD41E21"/>
    <w:rsid w:val="FFDFC842"/>
    <w:rsid w:val="FFEB36E5"/>
    <w:rsid w:val="FFF7E801"/>
    <w:rsid w:val="FFFCB2D8"/>
    <w:rsid w:val="FF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标题 1 Char"/>
    <w:basedOn w:val="9"/>
    <w:link w:val="4"/>
    <w:qFormat/>
    <w:uiPriority w:val="99"/>
    <w:rPr>
      <w:rFonts w:ascii="宋体" w:hAnsi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721</Words>
  <Characters>4115</Characters>
  <Lines>34</Lines>
  <Paragraphs>9</Paragraphs>
  <TotalTime>49</TotalTime>
  <ScaleCrop>false</ScaleCrop>
  <LinksUpToDate>false</LinksUpToDate>
  <CharactersWithSpaces>4827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2019-08-16T08:25:00Z</dcterms:created>
  <dc:creator>Administrator</dc:creator>
  <cp:lastModifiedBy>thtf</cp:lastModifiedBy>
  <cp:lastPrinted>2023-01-23T00:36:00Z</cp:lastPrinted>
  <dcterms:modified xsi:type="dcterms:W3CDTF">2023-04-25T16:43:59Z</dcterms:modified>
  <dc:title>济宁市住房公积金管理中心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