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Style w:val="10"/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-SA"/>
        </w:rPr>
        <w:t>关于提振消费的实施方案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Style w:val="10"/>
          <w:rFonts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Style w:val="10"/>
          <w:rFonts w:hint="eastAsia"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征求意见稿</w:t>
      </w:r>
      <w:r>
        <w:rPr>
          <w:rStyle w:val="10"/>
          <w:rFonts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为系统施策促消费，更好发挥消费对经济发展的基础性作用，根据《山东省人民政府印发&lt;关于提振消费的实施方案&gt;的通知》（鲁政字〔2025〕23号），结合我市实际，特制定本实施方案。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Style w:val="10"/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 w:bidi="ar-SA"/>
        </w:rPr>
        <w:t>一、总体要求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深入贯彻落实党中央、国务院关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于“深入实施提振消费行动”的决策部署和省委、省政府的工作要求，以全方位扩大内需为导向，以促消费惠民生为重点，着力推进供需协调发力，全方位扩大商品消费、服务消费、新型消费，培育壮大消费新业态、新场景、新模式，推出一批标志性促消费主题活动，打造一批多元化消费新场景，创新一批营销优惠措施，多渠道增加居民收入，多维度优化消费环境，不断满足居民消费日益增长的多样化、多层次、高品质需求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Style w:val="10"/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 w:bidi="ar-SA"/>
        </w:rPr>
        <w:t>二、重点任务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（一）推动商品消费升级。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1.持续激发消费潜力。紧抓节假日等重要节点和县（市、区）特色节庆，全年策划举办“迎新春消费季”“五五购物节”“仲夏消暑季”“金秋惠购季”“暖冬消费季”五大主题系列活动200场以上，擦亮“运河之都•惠购济宁”消费品牌。实施消费惠民让利行动，围绕文旅、餐饮、购物、体育等领域，以市场化方式分批次推出减免、折扣、补贴等多种促销优惠。开展“2025济宁迎新春消费季”百场促消费活动，市级发放3000万元零售餐饮和家庭乘用车购新消费券，鼓励各县（市、区）统筹资金发放消费券，以真金白银“点燃”消费市场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突出“消费季”“消费节”有机结合, 举办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场体育消费季暨嘉年华系列活动，举办奥运项目及赛事进商圈、进景区、进街区等重点活动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做到“季季有主题、月月有赛事”。</w:t>
      </w:r>
      <w:r>
        <w:rPr>
          <w:rFonts w:ascii="楷体" w:hAnsi="楷体" w:eastAsia="楷体" w:cs="楷体"/>
          <w:b/>
          <w:color w:val="auto"/>
          <w:sz w:val="32"/>
          <w:szCs w:val="32"/>
          <w:shd w:val="clear" w:color="auto" w:fill="auto"/>
          <w:lang w:bidi="ar-SA"/>
        </w:rPr>
        <w:t>(牵头单位: 市商务局; 责任单位: 市委宣传部、市财政局、市文化和旅游局、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bidi="ar-SA"/>
        </w:rPr>
        <w:t>市体育局</w:t>
      </w:r>
      <w:r>
        <w:rPr>
          <w:rFonts w:ascii="楷体" w:hAnsi="楷体" w:eastAsia="楷体" w:cs="楷体"/>
          <w:b/>
          <w:color w:val="auto"/>
          <w:sz w:val="32"/>
          <w:szCs w:val="32"/>
          <w:shd w:val="clear" w:color="auto" w:fill="auto"/>
          <w:lang w:bidi="ar-SA"/>
        </w:rPr>
        <w:t>)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-SA"/>
        </w:rPr>
        <w:t>2.强化大宗消费支撑。扎实推进消费品以旧换新补贴政策，扩大消费品以旧换新品种和规模，继续实施汽车、家电、家装、电动自行车等换新政策，新增净水器、洗碗机、电饭煲、微波炉等4类家电产品以旧换新，实施手机等数码产品购新补贴。配套组织举办汽车展销和新能源下乡活动，开展家电以旧换新进机关、进企业、进园区、进乡镇、进社区“五进”活动，扩大汽车、家电等大宗商品消费。优化补贴发放流程，配套推出低息贷款、零首付等举措，完善申请、换购、回收全链条服务，更好满足广大人民群众的换新需求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（牵头单位：市商务局；责任单位：市发展改革委、市财政局）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（二）促进服务消费提质。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仿宋" w:hAnsi="仿宋" w:eastAsia="仿宋" w:cs="仿宋"/>
          <w:b/>
          <w:color w:val="auto"/>
          <w:kern w:val="0"/>
          <w:sz w:val="32"/>
          <w:szCs w:val="32"/>
          <w:highlight w:val="none"/>
          <w:lang w:bidi="ar-SA"/>
        </w:rPr>
        <w:t>1.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 w:bidi="ar-SA"/>
        </w:rPr>
        <w:t>大力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bidi="ar-SA"/>
        </w:rPr>
        <w:t>提升文旅消费。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开展“运河大集”系列活动，集中展示民俗节庆、山东手造等好品好物。召开全民阅读大会，举办第二届图书展，鼓励各县（市、区）发放惠民书券。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bidi="ar-SA"/>
        </w:rPr>
        <w:t>聚焦大学生、返乡游子等重点人群，推出“陪着爸妈游济宁”大学生“全家福”旅行季、“情牵故里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 w:bidi="ar-SA"/>
        </w:rPr>
        <w:t>·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bidi="ar-SA"/>
        </w:rPr>
        <w:t>回家过年”返乡游子免费游活动。利用春节、五一、暑期和国庆等节假日，开展形式新颖、内容丰富的文旅消费促进活动。组织重点文旅企业参与全省“惠享冬韵”冬季文旅消费利企便民活动，推出通用支付和银行支付“双重”减免优惠。深入推进“引客入济”，持续发挥和放大国际孔子文化节、尼山世界文明论坛等重大节会效应，赴重点客源地城市举办“文化济宁”巡回推介会，不断提升济宁文旅美誉度和吸引力。</w:t>
      </w:r>
      <w:r>
        <w:rPr>
          <w:rFonts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（牵头单位：市委宣传部、市文化和旅游局；责任单位：市财政局）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仿宋"/>
          <w:b/>
          <w:color w:val="auto"/>
          <w:kern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bidi="ar-SA"/>
        </w:rPr>
        <w:t>2.释放餐饮住宿潜能。支持开展特色餐饮促消费活动，鼓励国内外知名餐饮品牌在市内开设首店、旗舰店。推动孔府菜、孟府菜等鲁菜分菜系标准制定，开展“名菜”“名厨”“名店”“名小吃”评选，推动更多餐饮企业入选“米其林”“黑珍珠”等美食品牌榜单，提升“老济宁味道”“济宁小吃”知名度和影响力。推出一批美食打卡路线，持续推广代表性美食街区，打造彰显济宁特质的美食名城。推荐符合条件的餐饮企业申报山东老字号、中华老字号。加快旅游住宿业提质增效，推动旅行社、景区与住宿企业合作，研究精准性的住酒店减免门票、门票冲抵住宿费、餐饮费等优惠，延伸产业链条，延长游客停留时间，促进景区、旅行社、酒店增加客户群体。推动住宿餐饮企业整合景区民宿、餐饮、农家乐等业态，壮大企业经营规模。</w:t>
      </w:r>
      <w:r>
        <w:rPr>
          <w:rFonts w:hint="eastAsia" w:ascii="方正仿宋简体" w:eastAsia="方正仿宋简体"/>
          <w:b/>
          <w:bCs w:val="0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积极创建四星级、五星级旅游饭店，打造一批星级旅游民宿</w:t>
      </w:r>
      <w:r>
        <w:rPr>
          <w:rFonts w:hint="eastAsia" w:ascii="仿宋" w:hAnsi="仿宋" w:eastAsia="仿宋" w:cs="仿宋"/>
          <w:b/>
          <w:kern w:val="0"/>
          <w:sz w:val="32"/>
          <w:szCs w:val="32"/>
          <w:highlight w:val="none"/>
          <w:lang w:bidi="ar-SA"/>
        </w:rPr>
        <w:t>。</w:t>
      </w:r>
      <w:r>
        <w:rPr>
          <w:rFonts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（市商务局</w:t>
      </w:r>
      <w:r>
        <w:rPr>
          <w:rFonts w:hint="eastAsia"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市文化和旅游局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按职责分工负责</w:t>
      </w:r>
      <w:r>
        <w:rPr>
          <w:rFonts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3.丰富养老托幼产品供给。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增加养老服务设施有效供给，大力推行老年助餐、助浴、助医、助洁等服务，全年建设家庭养老床位2000张、社区嵌入式养老服务机构20家，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两证齐全的医养结合机构数量突破90家。持续擦亮“幼有善育以爱托举”特色品牌，推动托育服务精准供给，加强托育服务指导阵地建设，千人口托位数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超过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5个。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积极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协调驻济高等院校及科研机构开放优质教育资源，打造“老年夜校”和中小学非学科类优质公益课后服务</w:t>
      </w:r>
      <w:r>
        <w:rPr>
          <w:rFonts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丰富“一老一小”文化生活。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</w:t>
      </w:r>
      <w:r>
        <w:rPr>
          <w:rFonts w:hint="eastAsia"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市民政局、市卫生健康委；责任单位：市教育局、市商务局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（三）强化新型消费培育。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培育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首发经济。制定首店品牌目录和评价标准，建立零售、餐饮首店首品需求清单，鼓励商业街区、综合体、商业中心引进国内外知名品牌开设区域首店、济宁首店，打造名品、名店集聚区。适时举办知名品牌招商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，搭建国内外知名品牌和本地载体宣传推介、对接交流平台。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在重点商圈、步行街、特色商业街区培育首发经济集聚区，一体带动出行、餐饮、住宿、购物以及“夜经济”等全景式消费。创新发展“IP+消费”，畅通IP授权、商品开发、营销推广全链条，形成一批国潮、原创、首发等消费新势力。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委宣传部、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发展改革委、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商务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/>
        </w:rPr>
        <w:t>局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文化和旅游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/>
        </w:rPr>
        <w:t>局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培育数智消费。鼓励电子商务企业在传统模式的基础上迭代升级，支持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直播电商、内容电商、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社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电商、循环电商等新业态发展壮大。鼓励和引导电子商务企业、大型超市和连锁生鲜超市等探索发展即时零售新模式，拓展更多线下实体商户、仓储等本地零售供给，提升即时物流履约能力。鼓励社区电商打造综合服务体系，提供社区团购、家政维修、社区养老等多样化、专业化、精准化的线上服务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（牵头单位：市商务局；责任单位：市交通运输局、市农业农村局、市文化和旅游局）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3.引导发展绿色消费。</w:t>
      </w:r>
      <w:r>
        <w:rPr>
          <w:rFonts w:hint="eastAsia" w:ascii="方正仿宋简体" w:eastAsia="方正仿宋简体"/>
          <w:b/>
          <w:bCs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组织企业参加新能源汽车、绿色建材下乡活动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加强废弃物有效分类回收、废弃物资源化再利用、重点废弃物循环利用、资源循环利用产业发展；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积极推动新材料研发，推广应用沥青冷（热）再生等技术，开展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建设领域固废资源循环利用。2025年年底前初步建成覆盖各领域、各环节的废弃物循环利用体系。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（牵头单位：市商务局；责任单位：市工业和信息化局、市住房城乡建设局、市交通运输局</w:t>
      </w:r>
      <w:r>
        <w:rPr>
          <w:rFonts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、市城市管理局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4.不断提升健康消费。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-SA"/>
        </w:rPr>
        <w:t>发展生物医药等健康产业，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深入推动“互联网+医疗健康”建设，培育壮大南四湖中医药产业集群等3个优势特色产业集群。加快推进中医生活化，深入实施“运河药膳进万家”活动，指导所有县级以上中医医疗机构营养餐厅全部开展药膳服务，试点开展南四湖水生中药材产品生活化推广，促进中医药服务融入群众生活。打造特色中医药健康旅游精品路线，丰富中医药产业应用场景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-SA"/>
        </w:rPr>
        <w:t>发挥济宁体育医院体医融合优势，推广“慢病防治”体卫融合省级示范项目模式，鼓励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社会力量提供体育健身、运动康复、健康管理等市场化服务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 w:bidi="ar-SA"/>
        </w:rPr>
        <w:t>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 w:bidi="ar-SA"/>
        </w:rPr>
        <w:t>牵头单位：市卫生健康委；责任单位：市工业和信息化局、市民政局、市商务局、市文化和旅游局、市体育局）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bidi="ar-SA"/>
        </w:rPr>
        <w:t>5.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 w:bidi="ar-SA"/>
        </w:rPr>
        <w:t>创新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bidi="ar-SA"/>
        </w:rPr>
        <w:t>拓展冰雪经济。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-SA"/>
        </w:rPr>
        <w:t>鼓励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bidi="ar-SA"/>
        </w:rPr>
        <w:t>各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县（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bidi="ar-SA"/>
        </w:rPr>
        <w:t>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 w:bidi="ar-SA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区）因地制宜开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bidi="ar-SA"/>
        </w:rPr>
        <w:t>展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特色冰雪运动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市场化支持建设冰雪运动场馆, 推广冰雪运动普及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积极促进冰雪消费,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bidi="ar-SA"/>
        </w:rPr>
        <w:t>举办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冰雪运动会和嘉年华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-SA"/>
        </w:rPr>
        <w:t>促消费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活动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推动冰雪经济场景进景区、进街区、进商圈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带动冰雪文化、冰雪旅游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 w:bidi="ar-SA"/>
        </w:rPr>
        <w:t>，</w:t>
      </w:r>
      <w:r>
        <w:rPr>
          <w:rFonts w:ascii="仿宋" w:hAnsi="仿宋" w:eastAsia="仿宋" w:cs="仿宋"/>
          <w:b/>
          <w:color w:val="auto"/>
          <w:kern w:val="0"/>
          <w:sz w:val="32"/>
          <w:szCs w:val="32"/>
          <w:lang w:eastAsia="zh-CN" w:bidi="ar-SA"/>
        </w:rPr>
        <w:t>壮大以滑雪手套和滑雪服装龙头企业的全产业链规模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 w:bidi="ar-SA"/>
        </w:rPr>
        <w:t>。促进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bidi="ar-SA"/>
        </w:rPr>
        <w:t>冰雪旅游全产业链发展。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bidi="ar-SA"/>
        </w:rPr>
        <w:t>（牵头单位：市体育局；责任单位：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 w:bidi="ar-SA"/>
        </w:rPr>
        <w:t>市商务局、市文化和旅游局）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ascii="Times New Roman" w:hAnsi="Times New Roman" w:eastAsia="楷体" w:cs="楷体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6.努力放大赛事经济。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打造“好运济宁”体育赛事品牌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围绕“山地、水上、冰雪、汽摩、航空”打造消费融合性赛事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全年组织马拉松、汽摩、自行车等比赛10场以上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举办各类体育赛事活动5千场以上。适时举办户外运动大会, 争取打造1条省级户外运动精品线路。</w:t>
      </w:r>
      <w:r>
        <w:rPr>
          <w:rFonts w:hint="eastAsia" w:ascii="Times New Roman" w:hAnsi="Times New Roman" w:eastAsia="楷体" w:cs="仿宋"/>
          <w:b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ascii="Times New Roman" w:hAnsi="Times New Roman" w:eastAsia="楷体" w:cs="仿宋"/>
          <w:b/>
          <w:color w:val="auto"/>
          <w:kern w:val="0"/>
          <w:sz w:val="32"/>
          <w:szCs w:val="32"/>
          <w:lang w:val="en-US" w:eastAsia="zh-CN" w:bidi="ar-SA"/>
        </w:rPr>
        <w:t>牵头单位: 市体育局</w:t>
      </w:r>
      <w:r>
        <w:rPr>
          <w:rFonts w:hint="eastAsia" w:ascii="Times New Roman" w:hAnsi="Times New Roman" w:eastAsia="楷体" w:cs="仿宋"/>
          <w:b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ascii="Times New Roman" w:hAnsi="Times New Roman" w:eastAsia="楷体" w:cs="仿宋"/>
          <w:b/>
          <w:color w:val="auto"/>
          <w:kern w:val="0"/>
          <w:sz w:val="32"/>
          <w:szCs w:val="32"/>
          <w:lang w:val="en-US" w:eastAsia="zh-CN" w:bidi="ar-SA"/>
        </w:rPr>
        <w:t>责任单位: 市商务局、市文化和旅游局</w:t>
      </w:r>
      <w:r>
        <w:rPr>
          <w:rFonts w:hint="eastAsia" w:ascii="Times New Roman" w:hAnsi="Times New Roman" w:eastAsia="楷体" w:cs="仿宋"/>
          <w:b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（四）创新多元化消费场景。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1.推动城市商业转型提质。创新发展零售业，争创国家级零售业创新提升试点，全年完成存量零售商业设施改造30家以上，打造一批购物、餐饮、社交、娱乐等“一站式”城市消费新地标。大力发展品牌连锁经营，培育形成一批国际化、标准化、规模化骨干企业。围绕“一县一街”改造提升特色商业街区，</w:t>
      </w:r>
      <w:r>
        <w:rPr>
          <w:rStyle w:val="10"/>
          <w:rFonts w:hint="eastAsia" w:ascii="仿宋_GB2312" w:hAnsi="Times New Roman" w:eastAsia="仿宋_GB2312" w:cs="仿宋_GB2312"/>
          <w:b/>
          <w:i w:val="0"/>
          <w:caps w:val="0"/>
          <w:smallCaps w:val="0"/>
          <w:color w:val="auto"/>
          <w:spacing w:val="0"/>
          <w:sz w:val="31"/>
          <w:szCs w:val="31"/>
          <w:u w:val="none"/>
          <w:lang w:eastAsia="zh-CN"/>
        </w:rPr>
        <w:t>打造</w:t>
      </w:r>
      <w:r>
        <w:rPr>
          <w:rStyle w:val="10"/>
          <w:rFonts w:ascii="Times New Roman" w:hAnsi="Times New Roman" w:eastAsia="微软雅黑" w:cs="Times New Roman"/>
          <w:b/>
          <w:i w:val="0"/>
          <w:caps w:val="0"/>
          <w:smallCaps w:val="0"/>
          <w:color w:val="auto"/>
          <w:spacing w:val="0"/>
          <w:sz w:val="31"/>
          <w:szCs w:val="31"/>
          <w:u w:val="none"/>
        </w:rPr>
        <w:t>15</w:t>
      </w:r>
      <w:r>
        <w:rPr>
          <w:rStyle w:val="10"/>
          <w:rFonts w:hint="eastAsia" w:ascii="仿宋_GB2312" w:hAnsi="Times New Roman" w:eastAsia="仿宋_GB2312" w:cs="仿宋_GB2312"/>
          <w:b/>
          <w:i w:val="0"/>
          <w:caps w:val="0"/>
          <w:smallCaps w:val="0"/>
          <w:color w:val="auto"/>
          <w:spacing w:val="0"/>
          <w:sz w:val="31"/>
          <w:szCs w:val="31"/>
          <w:u w:val="none"/>
        </w:rPr>
        <w:t>处</w:t>
      </w:r>
      <w:r>
        <w:rPr>
          <w:rStyle w:val="10"/>
          <w:rFonts w:hint="eastAsia" w:ascii="仿宋_GB2312" w:hAnsi="Times New Roman" w:eastAsia="仿宋_GB2312" w:cs="仿宋_GB2312"/>
          <w:b/>
          <w:i w:val="0"/>
          <w:caps w:val="0"/>
          <w:smallCaps w:val="0"/>
          <w:color w:val="auto"/>
          <w:spacing w:val="0"/>
          <w:sz w:val="31"/>
          <w:szCs w:val="31"/>
          <w:u w:val="none"/>
          <w:lang w:eastAsia="zh-CN"/>
        </w:rPr>
        <w:t>高品质</w:t>
      </w:r>
      <w:r>
        <w:rPr>
          <w:rStyle w:val="10"/>
          <w:rFonts w:hint="eastAsia" w:ascii="仿宋_GB2312" w:hAnsi="Times New Roman" w:eastAsia="仿宋_GB2312" w:cs="仿宋_GB2312"/>
          <w:b/>
          <w:i w:val="0"/>
          <w:caps w:val="0"/>
          <w:smallCaps w:val="0"/>
          <w:color w:val="auto"/>
          <w:spacing w:val="0"/>
          <w:sz w:val="31"/>
          <w:szCs w:val="31"/>
          <w:u w:val="none"/>
        </w:rPr>
        <w:t>一刻钟便民生活圈，加快太白楼路、金宇路、京杭路等重点商圈业态升级，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打造新型智慧商圈。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（牵头单位：市商务局；责任单位：市文化和旅游局）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2.加快县域商业改造提升。深化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县域商业建设行动，</w:t>
      </w:r>
      <w:r>
        <w:rPr>
          <w:rStyle w:val="10"/>
          <w:rFonts w:hint="eastAsia" w:ascii="仿宋_GB2312" w:hAnsi="Times New Roman" w:eastAsia="仿宋_GB2312" w:cs="仿宋_GB2312"/>
          <w:b/>
          <w:i w:val="0"/>
          <w:caps w:val="0"/>
          <w:smallCaps w:val="0"/>
          <w:color w:val="auto"/>
          <w:spacing w:val="0"/>
          <w:sz w:val="31"/>
          <w:szCs w:val="31"/>
          <w:u w:val="none"/>
        </w:rPr>
        <w:t>引导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型商贸流通企业、品牌连锁企业下沉乡镇（街道）和农村，改造建设乡镇商贸中心、乡村直营店等商业网点100处以上；鼓励有条件的县（市、区）争创全国县域商业“领跑县”。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打造省级乡村振兴齐鲁样板片区2个、市级乡村振兴示范片区90个，建设宜居宜业和美乡村。深化与齐鲁农超平台合作对接，组织开展鱼台龙虾、泗水甘薯、邹城食用菌、金乡大蒜等优势特色农产品专题推介活动，全年开展农产品原产地溯源探访活动3场、线上农产品直播带货8场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商务</w:t>
      </w:r>
      <w:r>
        <w:rPr>
          <w:rFonts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局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、市农业农村局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按职责分工负责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仿宋" w:hAnsi="仿宋" w:eastAsia="仿宋" w:cs="仿宋"/>
          <w:b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3.推动业态模式融合发展。大力发展演唱会经济，鼓励各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县（市、区）</w:t>
      </w:r>
      <w:r>
        <w:rPr>
          <w:rFonts w:ascii="仿宋" w:hAnsi="仿宋" w:eastAsia="仿宋" w:cs="仿宋"/>
          <w:b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举办万人以上大型演唱会、音乐节。持续做好“文旅＋百业”大文章，促进文旅与工业、农业、教育等跨界融合，发展工业旅游、乡村旅游、研学旅游等业态。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推进“鲁风运河”风景道建设，加快形成“三主三辅六支线，一环融通游济宁”的整体布局。打造高速公路“服务区+”交旅融合发展新模式。挖掘、培育市内休闲农业旅游资源，积极参加省级休闲农业精品线路推介。</w:t>
      </w:r>
      <w:r>
        <w:rPr>
          <w:rFonts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（牵头单位：市文化和旅游局；责任单位：市工业和信息化局、市交通运输局、市农业农村局）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（五）推进消费环境优化提升。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健全现代商贸流通体系。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推动商品市场优化升级，支持商贸流通领域物流设施标准化、智能化改造，降低物流成本。健全城乡商贸流通网络，发展共同配送、仓配一体等集约化模式。深化内外贸一体化改革，促进内外贸制度规则衔接。积极申建国家第二批现代商贸流通体系试点城市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围绕持续降低全社会物流成本，构建与产业发展深度融合的交通物流网络,不断提升特色农产品、先进制造业、煤炭钢材等重点供应链物流服务能力。组织各县（市、区）积极争取农村客货邮融合发展奖补政策。</w:t>
      </w:r>
      <w:r>
        <w:rPr>
          <w:rFonts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  <w:t>各县（市、区）积极争取省级奖补政策，促进农村客货邮融合发展。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（牵头单位：市商务局；责任单位：市财政局、市交通运输局、市邮政管理局）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2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全面优化产品品质。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加强区域品牌建设，加快“好品山东”品牌梯次培育，做好“好品山东”遴选申报工作。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积极开展“泰山品质”高端认证培育工作，争取1家企业通过“泰山品质”高端认证，打造企业发展新引擎，助力高质量发展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落实农机购置和应用补贴政策，引导报废老旧农机3000台（套）以上，新购置农机具1万台（套）以上，发展绿色食品、有机产品数量30个以上。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（市市场监督管理局、市农业农村局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按职责分工负责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3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.深入实施放心消费行动。建立放心消费培育库，培育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一批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放心商店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eastAsia="zh-CN" w:bidi="ar-SA"/>
        </w:rPr>
        <w:t>、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放心市场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等市场主体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；动态发展线下购物无理由退货单位</w:t>
      </w:r>
      <w:r>
        <w:rPr>
          <w:rFonts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1000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bidi="ar-SA"/>
        </w:rPr>
        <w:t>家左右、在线纠纷解决机制单位100家以上；探索异地异店无理由退货；开展放心消费教育进“千村百校”“千企百区”。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（牵头单位：市市场监督管理局；责任单位：</w:t>
      </w:r>
      <w:r>
        <w:rPr>
          <w:rFonts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市商务局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（六）切实提振消费信心。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1.着力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健全就业服务体系。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定期举办行业专场、群体专场等各类线上线下招聘会，统筹用好城乡公益性岗位，做好高校毕业生、农民工等重点人群就业工作，持续开展“济燕归巢”看家乡系列体验活动、公共就业服务进校园活动。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做好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高校毕业生等重点人群就业工作，新建大学生就业创业赋能中心1个，探索实施齐鲁绿色低碳职业技能培训项目，组织开展职业技能培训不少于3万人次。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实施“创业济宁”五大行动，培育一批创业街区，营造创新创业浓厚氛围。健全企业工资收入分配体系，宣传落实最低工资标准等调控政策，发布人力资源市场工资价位，指导企业广泛开展集体协商，促进企业职工工资合理增长。实施“创业齐鲁”行动，精准落实创业担保贷款等政策，推广“创贷+商贷”组合模式，提高创业担保贷款服务水平。</w:t>
      </w:r>
      <w:r>
        <w:rPr>
          <w:rFonts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精准开展重点群体就业帮扶，落实重点群体就业创业税费优惠政策。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/>
        </w:rPr>
        <w:t>（牵头单位：市人力资源社会保障局；责任单位：市教育局、市财政局、中国人民银行济宁市分行、市税务局）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2.全力构筑消费支撑体系。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按照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-SA"/>
        </w:rPr>
        <w:t>上级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安排部署，适时提高退休人员基础养老金、居民基础养老金、工伤保险定期待遇。全面落实企业年金、人才年金、个人养老金制度，探索建立企业年金联盟，扩大企业年金覆盖面。延续执行阶段性降低失业保险费率政策，积极落实失业保险稳岗扩岗政策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bidi="ar-SA"/>
        </w:rPr>
        <w:t>健全保障农民工工资支付机制，全面保障进城农民工等重点群体权益，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深入实施“全民参保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-SA"/>
        </w:rPr>
        <w:t>·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bidi="ar-SA"/>
        </w:rPr>
        <w:t>福暖万家”工程，促进和引导进城农民工在常住地参加企业职工基本养老保险。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 w:bidi="ar-SA"/>
        </w:rPr>
        <w:t>落实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社会救助政策，开展分层分类社会救助。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/>
        </w:rPr>
        <w:t>（牵头单位：市人力资源社会保障局；责任单位：市民政局、市财政局）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3.持续激发住房市场活力。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合理增加保障性住房供给，多渠道保障，推进人才住房筹建工作，规范优化专业性租赁服务，发放住房租赁补贴2000户以上。实施高品质住宅提升行动，加大优质地块供应力度，提高小区公共服务、商业服务、物业服务水平</w:t>
      </w:r>
      <w:r>
        <w:rPr>
          <w:rFonts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建设人民满意的好房子、好小区。适当提高公积金租房提取额度，推动房地产市场回稳。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（牵头单位：市住房城乡建设局；责任单位：市发展改革委、市财政局、市自然资源和规划局、市住房公积金管理中心）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jc w:val="left"/>
        <w:textAlignment w:val="auto"/>
        <w:rPr>
          <w:rStyle w:val="10"/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 w:bidi="ar-SA"/>
        </w:rPr>
        <w:t>三、组织保障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一</w:t>
      </w:r>
      <w:r>
        <w:rPr>
          <w:rFonts w:ascii="仿宋" w:hAnsi="仿宋" w:eastAsia="仿宋" w:cs="仿宋"/>
          <w:b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加强组织领导。要强化组织保障，压紧压实责任，密切部门协作，广泛凝聚工作合力，推动各项任务落地见效。市政府建立健全提振消费工作机制，由市商务局牵头，会同市发改、工信、民政、财政、人社、住建、农业、文旅、卫健、市场监管、体育等部门单位，统筹推进全市提振消费各项重点工作。各县（市、区）要落实主体责任，紧盯目标任务，因地制宜制定落实措施、探索创新举措,切实推动各项措施落地见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二）强化政策配套。按照山东省促消费“1+N”政策体系，坚持供需两侧协同发力，加大各级财政投入力度，商务、工信、民政、住建、农业、文旅、卫健、市场监管、体育等部门，围绕消费品以旧换新、服务消费、文化旅游消费、农业农村消费、健康消费、住房消费、体育消费、养老消费、稳产优供、消费环境等方面出台具体配套措施，创造性抓好贯彻落实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三）健全工作机制。坚持目标导向、问题导向、结果导向，健全提振消费重点工作协商推进、重点活动协同发力、重点任务调度通报机制，加大对重点任务的督导落实，及时梳理解决消费领域堵点卡点问题，及时回应消费者意见诉求，推动形成供需良性互动、消费潜力持续释放的生动局面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四）注重宣传推广。充分发挥报纸、电视、广播和微信、微博、抖音等媒体作用，广泛宣传消费新业态、新模式、新导向，深入宣传消费政策、活动成效和典型经验，营造全社会关注消费、支持消费、参与消费的浓厚氛围。</w:t>
      </w:r>
    </w:p>
    <w:sectPr>
      <w:footerReference r:id="rId4" w:type="first"/>
      <w:footerReference r:id="rId3" w:type="default"/>
      <w:pgSz w:w="11907" w:h="16840"/>
      <w:pgMar w:top="2098" w:right="1474" w:bottom="1985" w:left="1588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315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9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F0UlydUAAAADAQAADwAAAAAAAAABACAAAAA4AAAAZHJzL2Rvd25y&#10;ZXYueG1sUEsBAhQAFAAAAAgAh07iQG1L+PLrAQAArgMAAA4AAAAAAAAAAQAgAAAAOg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5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0.35pt;width:4.5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MqYvz1QAAAAIBAAAPAAAAAAAAAAEAIAAAADgAAABkcnMvZG93bnJl&#10;di54bWxQSwECFAAUAAAACACHTuJAbyGOQeoBAACtAwAADgAAAAAAAAABACAAAAA6AQAAZHJzL2Uy&#10;b0RvYy54bWxQSwUGAAAAAAYABgBZAQAAl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WUyYjkzZTRhZjgxNjU0NTkyY2JjNGNlNTcxODkyZTMifQ=="/>
  </w:docVars>
  <w:rsids>
    <w:rsidRoot w:val="00000000"/>
    <w:rsid w:val="F9FB8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0</Words>
  <Characters>4590</Characters>
  <Lines>0</Lines>
  <Paragraphs>39</Paragraphs>
  <TotalTime>718</TotalTime>
  <ScaleCrop>false</ScaleCrop>
  <LinksUpToDate>false</LinksUpToDate>
  <CharactersWithSpaces>6120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2025-02-09T14:29:00Z</dcterms:created>
  <dc:creator>user</dc:creator>
  <cp:lastModifiedBy>user</cp:lastModifiedBy>
  <cp:lastPrinted>2025-02-15T06:57:00Z</cp:lastPrinted>
  <dcterms:modified xsi:type="dcterms:W3CDTF">2025-02-21T09:18:09Z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B98D91DBF51B4AC28722D5341AE5DD76_12</vt:lpwstr>
  </property>
</Properties>
</file>