
<file path=[Content_Types].xml><?xml version="1.0" encoding="utf-8"?>
<Types xmlns="http://schemas.openxmlformats.org/package/2006/content-types">
  <Default Extension="xml" ContentType="application/xml"/>
  <Default Extension="xlsx" ContentType="application/vnd.openxmlformats-officedocument.spreadsheetml.sheet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olors1.xml" ContentType="application/vnd.ms-office.chartcolorstyle+xml"/>
  <Override PartName="/word/charts/style1.xml" ContentType="application/vnd.ms-office.chart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A29B25">
      <w:pPr>
        <w:pStyle w:val="6"/>
        <w:widowControl/>
        <w:shd w:val="clear" w:color="auto" w:fill="FFFFFF"/>
        <w:spacing w:before="0" w:beforeAutospacing="0" w:after="0" w:afterAutospacing="0" w:line="560" w:lineRule="exact"/>
        <w:jc w:val="center"/>
        <w:rPr>
          <w:rFonts w:hint="default" w:ascii="Times New Roman" w:hAnsi="Times New Roman" w:eastAsia="方正小标宋简体" w:cs="Times New Roman"/>
          <w:b/>
          <w:bCs w:val="0"/>
          <w:color w:val="auto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b/>
          <w:bCs w:val="0"/>
          <w:color w:val="auto"/>
          <w:sz w:val="44"/>
          <w:szCs w:val="44"/>
          <w:lang w:eastAsia="zh-CN"/>
        </w:rPr>
        <w:t>济宁市供销合作社</w:t>
      </w:r>
      <w:r>
        <w:rPr>
          <w:rFonts w:hint="default" w:ascii="Times New Roman" w:hAnsi="Times New Roman" w:eastAsia="方正小标宋简体" w:cs="Times New Roman"/>
          <w:b/>
          <w:bCs w:val="0"/>
          <w:color w:val="auto"/>
          <w:sz w:val="44"/>
          <w:szCs w:val="44"/>
        </w:rPr>
        <w:t>202</w:t>
      </w:r>
      <w:r>
        <w:rPr>
          <w:rFonts w:hint="default" w:ascii="Times New Roman" w:hAnsi="Times New Roman" w:eastAsia="方正小标宋简体" w:cs="Times New Roman"/>
          <w:b/>
          <w:bCs w:val="0"/>
          <w:color w:val="auto"/>
          <w:sz w:val="44"/>
          <w:szCs w:val="44"/>
          <w:lang w:val="en-US" w:eastAsia="zh-CN"/>
        </w:rPr>
        <w:t>4</w:t>
      </w:r>
      <w:r>
        <w:rPr>
          <w:rFonts w:hint="default" w:ascii="Times New Roman" w:hAnsi="Times New Roman" w:eastAsia="方正小标宋简体" w:cs="Times New Roman"/>
          <w:b/>
          <w:bCs w:val="0"/>
          <w:color w:val="auto"/>
          <w:sz w:val="44"/>
          <w:szCs w:val="44"/>
        </w:rPr>
        <w:t>年政府信息公开工作年度报告</w:t>
      </w:r>
    </w:p>
    <w:p w14:paraId="5B70FC2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textAlignment w:val="auto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2A96682C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85" w:lineRule="atLeast"/>
        <w:ind w:left="0" w:right="0" w:firstLine="630"/>
        <w:jc w:val="both"/>
        <w:rPr>
          <w:rStyle w:val="9"/>
          <w:rFonts w:hint="default" w:ascii="Times New Roman" w:hAnsi="Times New Roman" w:eastAsia="方正仿宋简体" w:cs="Times New Roman"/>
          <w:b/>
          <w:bCs w:val="0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Style w:val="9"/>
          <w:rFonts w:hint="default" w:ascii="Times New Roman" w:hAnsi="Times New Roman" w:eastAsia="方正仿宋简体" w:cs="Times New Roman"/>
          <w:b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lang w:bidi="ar-SA"/>
        </w:rPr>
        <w:t>本报告由</w:t>
      </w:r>
      <w:r>
        <w:rPr>
          <w:rStyle w:val="9"/>
          <w:rFonts w:hint="default" w:ascii="Times New Roman" w:hAnsi="Times New Roman" w:eastAsia="方正仿宋简体" w:cs="Times New Roman"/>
          <w:b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u w:val="none"/>
          <w:lang w:eastAsia="zh-CN" w:bidi="ar-SA"/>
        </w:rPr>
        <w:t>济宁市供销合作社</w:t>
      </w:r>
      <w:r>
        <w:rPr>
          <w:rStyle w:val="9"/>
          <w:rFonts w:hint="default" w:ascii="Times New Roman" w:hAnsi="Times New Roman" w:eastAsia="方正仿宋简体" w:cs="Times New Roman"/>
          <w:b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u w:val="none"/>
          <w:lang w:bidi="ar-SA"/>
        </w:rPr>
        <w:t>按</w:t>
      </w:r>
      <w:r>
        <w:rPr>
          <w:rStyle w:val="9"/>
          <w:rFonts w:hint="default" w:ascii="Times New Roman" w:hAnsi="Times New Roman" w:eastAsia="方正仿宋简体" w:cs="Times New Roman"/>
          <w:b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lang w:bidi="ar-SA"/>
        </w:rPr>
        <w:t>照《中华人民共和国政府信息公开条例》（以下简称《条例》）和《中华人民共和国政府信息公开工作年度报告格式》（国办公开办函〔2021〕30号）要求编制。</w:t>
      </w:r>
    </w:p>
    <w:p w14:paraId="4A52B725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85" w:lineRule="atLeast"/>
        <w:ind w:left="0" w:right="0" w:firstLine="630"/>
        <w:jc w:val="both"/>
        <w:rPr>
          <w:rFonts w:hint="default" w:ascii="Times New Roman" w:hAnsi="Times New Roman" w:cs="Times New Roman"/>
          <w:b/>
          <w:bCs w:val="0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Style w:val="9"/>
          <w:rFonts w:hint="default" w:ascii="Times New Roman" w:hAnsi="Times New Roman" w:eastAsia="方正仿宋简体" w:cs="Times New Roman"/>
          <w:b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lang w:bidi="ar-SA"/>
        </w:rPr>
        <w:t>本报告内容包括总体情况、主动公开政府信息情况、收到和处理政府信息公开申请情况、政府信息公开行政复议和行政诉讼情况、存在的主要问题及改进情况、其他需要报告的事项等六部分内容。</w:t>
      </w:r>
    </w:p>
    <w:p w14:paraId="2F5FC3F4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85" w:lineRule="atLeast"/>
        <w:ind w:left="0" w:right="0" w:firstLine="630"/>
        <w:jc w:val="both"/>
        <w:rPr>
          <w:rFonts w:hint="default" w:ascii="Times New Roman" w:hAnsi="Times New Roman" w:cs="Times New Roman"/>
          <w:b/>
          <w:bCs w:val="0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Style w:val="9"/>
          <w:rFonts w:hint="default" w:ascii="Times New Roman" w:hAnsi="Times New Roman" w:eastAsia="方正仿宋简体" w:cs="Times New Roman"/>
          <w:b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lang w:bidi="ar-SA"/>
        </w:rPr>
        <w:t>本报告所列数据的统计期限自202</w:t>
      </w:r>
      <w:r>
        <w:rPr>
          <w:rStyle w:val="9"/>
          <w:rFonts w:hint="default" w:ascii="Times New Roman" w:hAnsi="Times New Roman" w:eastAsia="方正仿宋简体" w:cs="Times New Roman"/>
          <w:b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lang w:val="en-US" w:eastAsia="zh-CN" w:bidi="ar-SA"/>
        </w:rPr>
        <w:t>4</w:t>
      </w:r>
      <w:r>
        <w:rPr>
          <w:rStyle w:val="9"/>
          <w:rFonts w:hint="default" w:ascii="Times New Roman" w:hAnsi="Times New Roman" w:eastAsia="方正仿宋简体" w:cs="Times New Roman"/>
          <w:b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lang w:bidi="ar-SA"/>
        </w:rPr>
        <w:t>年1月1日起至202</w:t>
      </w:r>
      <w:r>
        <w:rPr>
          <w:rStyle w:val="9"/>
          <w:rFonts w:hint="default" w:ascii="Times New Roman" w:hAnsi="Times New Roman" w:eastAsia="方正仿宋简体" w:cs="Times New Roman"/>
          <w:b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lang w:val="en-US" w:eastAsia="zh-CN" w:bidi="ar-SA"/>
        </w:rPr>
        <w:t>4</w:t>
      </w:r>
      <w:r>
        <w:rPr>
          <w:rStyle w:val="9"/>
          <w:rFonts w:hint="default" w:ascii="Times New Roman" w:hAnsi="Times New Roman" w:eastAsia="方正仿宋简体" w:cs="Times New Roman"/>
          <w:b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lang w:bidi="ar-SA"/>
        </w:rPr>
        <w:t>年12月31日止。本报告电子版可在“中国·济宁”政府门户网站（https://www.jining.gov.cn/）查阅或下载。如对本报告有疑问，请与济宁市供销合作社联系（地址：济宁市太白湖新区省运会指挥中心D区，联系电话：0537—2211487）。</w:t>
      </w:r>
    </w:p>
    <w:p w14:paraId="0C651F4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3" w:firstLineChars="200"/>
        <w:textAlignment w:val="auto"/>
        <w:rPr>
          <w:rFonts w:hint="eastAsia" w:ascii="Times New Roman" w:hAnsi="Times New Roman" w:eastAsia="方正黑体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黑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一、总体情况</w:t>
      </w:r>
    </w:p>
    <w:p w14:paraId="00F6CC3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3" w:firstLineChars="200"/>
        <w:textAlignment w:val="auto"/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2024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年，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市供销社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坚持“应公开尽公开”的工作原则，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认真贯彻落实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上级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关于政务公开工作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安排部署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完善工作制度，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明确任务目标，狠抓工作落实，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着力推进政府信息管理科学化、制度化、规范化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2E83DF7E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right="0" w:rightChars="0"/>
        <w:textAlignment w:val="auto"/>
        <w:rPr>
          <w:rFonts w:hint="default" w:ascii="Times New Roman" w:hAnsi="Times New Roman" w:eastAsia="方正楷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楷体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（一）</w:t>
      </w:r>
      <w:r>
        <w:rPr>
          <w:rFonts w:hint="default" w:ascii="Times New Roman" w:hAnsi="Times New Roman" w:eastAsia="方正楷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主动公开</w:t>
      </w:r>
    </w:p>
    <w:p w14:paraId="038C0D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3" w:firstLineChars="200"/>
        <w:textAlignment w:val="auto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2024年度，建立完善政务公开制度，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调整《市供销社政务公开工作领导小组成员名单》，制定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《政务公开工作实施方案》《主动公开目录》，完善《政务公开考核指标体系》，明确任务目标，建立职责分工台账，制定《政务公开培训计划》。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主动公开政府信息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153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条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，其中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通过门户网站政务公开平台主动公开政府信息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99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条，通过政务微信公众号发布信息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54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条。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解读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文件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1件，完成政策评估1件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公开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12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次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主任办公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会议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更新领导信息。公开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2023年决算和2024年预算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等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信息。</w:t>
      </w:r>
    </w:p>
    <w:p w14:paraId="2DCF8E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3" w:firstLineChars="200"/>
        <w:textAlignment w:val="auto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56530" cy="2988310"/>
            <wp:effectExtent l="5080" t="4445" r="15240" b="17145"/>
            <wp:docPr id="1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548299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3" w:firstLineChars="200"/>
        <w:textAlignment w:val="auto"/>
        <w:rPr>
          <w:rFonts w:hint="default" w:ascii="Times New Roman" w:hAnsi="Times New Roman" w:eastAsia="方正楷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楷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（二）依申请公开</w:t>
      </w:r>
    </w:p>
    <w:p w14:paraId="34C1B9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3" w:firstLineChars="200"/>
        <w:textAlignment w:val="auto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更新依申请公开受理渠道信息，完善依申请公开答复格式文书，按照规定和程序做好依申请公开工作。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2024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，共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受理依申请公开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均为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0件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eastAsia="zh-CN"/>
        </w:rPr>
        <w:t>未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收取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eastAsia="zh-CN"/>
        </w:rPr>
        <w:t>任何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信息处理费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eastAsia="zh-CN"/>
        </w:rPr>
        <w:t>。</w:t>
      </w:r>
    </w:p>
    <w:p w14:paraId="5B6359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3" w:firstLineChars="200"/>
        <w:textAlignment w:val="auto"/>
        <w:rPr>
          <w:rFonts w:hint="default" w:ascii="Times New Roman" w:hAnsi="Times New Roman" w:eastAsia="方正楷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楷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（三）政府信息管理</w:t>
      </w:r>
    </w:p>
    <w:p w14:paraId="3917A7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643" w:firstLineChars="200"/>
        <w:textAlignment w:val="auto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紧紧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围绕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政务公开工作任务要求，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加大信息公开力度。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明确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年度工作任务，细化分解分工，压实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工作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责任。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完善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落实信息发布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登记、审核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制度，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强化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审核把关，加强日常监测，确保信息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的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准确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性和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权威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性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。加强性文件管理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，及时跟踪做好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文件的清理、修改、废止等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变更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抓好文件的常态化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监督管理工作。</w:t>
      </w:r>
    </w:p>
    <w:p w14:paraId="60938A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3" w:firstLineChars="200"/>
        <w:textAlignment w:val="auto"/>
        <w:rPr>
          <w:rFonts w:hint="default" w:ascii="Times New Roman" w:hAnsi="Times New Roman" w:eastAsia="方正楷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楷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（四）公开平台建设</w:t>
      </w:r>
    </w:p>
    <w:p w14:paraId="22BC1B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3" w:firstLineChars="200"/>
        <w:textAlignment w:val="auto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进一步优化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单位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网站栏目设置，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新增加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“政府信息公开”专栏接入市政府网站链接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，设置无障碍浏览和长者模式，方便公众查看、查询信息。及时整理、公开各栏目信息，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确保信息发布时效性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。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通过数字、图片等方式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发布展示信息，丰富信息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浏览体验感和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快捷度。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在新媒体建设方面，2024年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通过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“济宁市供销合作社”微信公众号发布信息54条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；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举办新闻发布会1场，解读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全市供销社高质量发展重要文件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。</w:t>
      </w:r>
    </w:p>
    <w:p w14:paraId="780145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3" w:firstLineChars="200"/>
        <w:textAlignment w:val="auto"/>
        <w:rPr>
          <w:rFonts w:hint="default" w:ascii="Times New Roman" w:hAnsi="Times New Roman" w:eastAsia="方正楷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楷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（五）监督保障情况</w:t>
      </w:r>
    </w:p>
    <w:p w14:paraId="1BC06656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2024年，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调整《市供销社政务公开工作领导小组成员名单》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，明确分管领导、职责科室和具体负责人员。制定年度工作要点，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建立职责分工台账，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强化培训考核，及时做好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各项指标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公开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工作。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  <w:t>召开政务公开领导小组工作会议1次，培训会议2次，推进会议1次，考核会议1次，稳步推进政务公开</w:t>
      </w:r>
      <w:bookmarkStart w:id="0" w:name="_GoBack"/>
      <w:bookmarkEnd w:id="0"/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  <w:t>工作。</w:t>
      </w:r>
    </w:p>
    <w:p w14:paraId="0121754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3" w:firstLineChars="200"/>
        <w:textAlignment w:val="auto"/>
        <w:rPr>
          <w:rFonts w:hint="default" w:ascii="Times New Roman" w:hAnsi="Times New Roman" w:eastAsia="方正黑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黑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二、主动公开政府信息情况</w:t>
      </w:r>
    </w:p>
    <w:tbl>
      <w:tblPr>
        <w:tblStyle w:val="7"/>
        <w:tblW w:w="87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CCE8CF" w:themeFill="background1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133"/>
        <w:gridCol w:w="2216"/>
        <w:gridCol w:w="1989"/>
      </w:tblGrid>
      <w:tr w14:paraId="268F2A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CCE8C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CCE8CF" w:themeFill="background1"/>
            <w:tcMar>
              <w:left w:w="57" w:type="dxa"/>
              <w:right w:w="57" w:type="dxa"/>
            </w:tcMar>
            <w:vAlign w:val="center"/>
          </w:tcPr>
          <w:p w14:paraId="39DBBF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bidi="ar"/>
              </w:rPr>
              <w:t>第二十条第（一）项</w:t>
            </w:r>
          </w:p>
        </w:tc>
      </w:tr>
      <w:tr w14:paraId="424D15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CCE8CF" w:themeFill="background1"/>
            <w:tcMar>
              <w:left w:w="57" w:type="dxa"/>
              <w:right w:w="57" w:type="dxa"/>
            </w:tcMar>
            <w:vAlign w:val="center"/>
          </w:tcPr>
          <w:p w14:paraId="718135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2133" w:type="dxa"/>
            <w:shd w:val="clear" w:color="auto" w:fill="CCE8CF" w:themeFill="background1"/>
            <w:tcMar>
              <w:left w:w="57" w:type="dxa"/>
              <w:right w:w="57" w:type="dxa"/>
            </w:tcMar>
            <w:vAlign w:val="center"/>
          </w:tcPr>
          <w:p w14:paraId="1DC98A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本年制发件数</w:t>
            </w:r>
          </w:p>
        </w:tc>
        <w:tc>
          <w:tcPr>
            <w:tcW w:w="2216" w:type="dxa"/>
            <w:shd w:val="clear" w:color="auto" w:fill="CCE8CF" w:themeFill="background1"/>
            <w:tcMar>
              <w:left w:w="57" w:type="dxa"/>
              <w:right w:w="57" w:type="dxa"/>
            </w:tcMar>
            <w:vAlign w:val="center"/>
          </w:tcPr>
          <w:p w14:paraId="78FB50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本年废止件数</w:t>
            </w:r>
          </w:p>
        </w:tc>
        <w:tc>
          <w:tcPr>
            <w:tcW w:w="1989" w:type="dxa"/>
            <w:shd w:val="clear" w:color="auto" w:fill="CCE8CF" w:themeFill="background1"/>
            <w:tcMar>
              <w:left w:w="57" w:type="dxa"/>
              <w:right w:w="57" w:type="dxa"/>
            </w:tcMar>
            <w:vAlign w:val="center"/>
          </w:tcPr>
          <w:p w14:paraId="34ED46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现行有效件数</w:t>
            </w:r>
          </w:p>
        </w:tc>
      </w:tr>
      <w:tr w14:paraId="7C3848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CCE8CF" w:themeFill="background1"/>
            <w:tcMar>
              <w:left w:w="57" w:type="dxa"/>
              <w:right w:w="57" w:type="dxa"/>
            </w:tcMar>
            <w:vAlign w:val="center"/>
          </w:tcPr>
          <w:p w14:paraId="1FA1E7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规章</w:t>
            </w:r>
          </w:p>
        </w:tc>
        <w:tc>
          <w:tcPr>
            <w:tcW w:w="2133" w:type="dxa"/>
            <w:shd w:val="clear" w:color="auto" w:fill="CCE8CF" w:themeFill="background1"/>
            <w:tcMar>
              <w:left w:w="57" w:type="dxa"/>
              <w:right w:w="57" w:type="dxa"/>
            </w:tcMar>
            <w:vAlign w:val="center"/>
          </w:tcPr>
          <w:p w14:paraId="683F89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2216" w:type="dxa"/>
            <w:shd w:val="clear" w:color="auto" w:fill="CCE8CF" w:themeFill="background1"/>
            <w:tcMar>
              <w:left w:w="57" w:type="dxa"/>
              <w:right w:w="57" w:type="dxa"/>
            </w:tcMar>
            <w:vAlign w:val="center"/>
          </w:tcPr>
          <w:p w14:paraId="081801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1989" w:type="dxa"/>
            <w:shd w:val="clear" w:color="auto" w:fill="CCE8CF" w:themeFill="background1"/>
            <w:tcMar>
              <w:left w:w="57" w:type="dxa"/>
              <w:right w:w="57" w:type="dxa"/>
            </w:tcMar>
            <w:vAlign w:val="center"/>
          </w:tcPr>
          <w:p w14:paraId="7340E9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 w14:paraId="2C589A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CCE8CF" w:themeFill="background1"/>
            <w:tcMar>
              <w:left w:w="57" w:type="dxa"/>
              <w:right w:w="57" w:type="dxa"/>
            </w:tcMar>
            <w:vAlign w:val="center"/>
          </w:tcPr>
          <w:p w14:paraId="5E1DB4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行政规范性文件</w:t>
            </w:r>
          </w:p>
        </w:tc>
        <w:tc>
          <w:tcPr>
            <w:tcW w:w="2133" w:type="dxa"/>
            <w:shd w:val="clear" w:color="auto" w:fill="CCE8CF" w:themeFill="background1"/>
            <w:tcMar>
              <w:left w:w="57" w:type="dxa"/>
              <w:right w:w="57" w:type="dxa"/>
            </w:tcMar>
            <w:vAlign w:val="center"/>
          </w:tcPr>
          <w:p w14:paraId="5489BA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2216" w:type="dxa"/>
            <w:shd w:val="clear" w:color="auto" w:fill="CCE8CF" w:themeFill="background1"/>
            <w:tcMar>
              <w:left w:w="57" w:type="dxa"/>
              <w:right w:w="57" w:type="dxa"/>
            </w:tcMar>
            <w:vAlign w:val="center"/>
          </w:tcPr>
          <w:p w14:paraId="635AE9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1989" w:type="dxa"/>
            <w:shd w:val="clear" w:color="auto" w:fill="CCE8CF" w:themeFill="background1"/>
            <w:tcMar>
              <w:left w:w="57" w:type="dxa"/>
              <w:right w:w="57" w:type="dxa"/>
            </w:tcMar>
            <w:vAlign w:val="center"/>
          </w:tcPr>
          <w:p w14:paraId="05DC07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 w14:paraId="785DF4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CCE8CF" w:themeFill="background1"/>
            <w:tcMar>
              <w:left w:w="57" w:type="dxa"/>
              <w:right w:w="57" w:type="dxa"/>
            </w:tcMar>
            <w:vAlign w:val="center"/>
          </w:tcPr>
          <w:p w14:paraId="791D9C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bidi="ar"/>
              </w:rPr>
              <w:t>第二十条第（五）项</w:t>
            </w:r>
          </w:p>
        </w:tc>
      </w:tr>
      <w:tr w14:paraId="6F1BE3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CCE8CF" w:themeFill="background1"/>
            <w:tcMar>
              <w:left w:w="57" w:type="dxa"/>
              <w:right w:w="57" w:type="dxa"/>
            </w:tcMar>
            <w:vAlign w:val="center"/>
          </w:tcPr>
          <w:p w14:paraId="296209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CCE8CF" w:themeFill="background1"/>
            <w:tcMar>
              <w:left w:w="57" w:type="dxa"/>
              <w:right w:w="57" w:type="dxa"/>
            </w:tcMar>
            <w:vAlign w:val="center"/>
          </w:tcPr>
          <w:p w14:paraId="480CC9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本年处理决定数量</w:t>
            </w:r>
          </w:p>
        </w:tc>
      </w:tr>
      <w:tr w14:paraId="08F49B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CCE8CF" w:themeFill="background1"/>
            <w:tcMar>
              <w:left w:w="57" w:type="dxa"/>
              <w:right w:w="57" w:type="dxa"/>
            </w:tcMar>
            <w:vAlign w:val="center"/>
          </w:tcPr>
          <w:p w14:paraId="796993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行政许可</w:t>
            </w:r>
          </w:p>
        </w:tc>
        <w:tc>
          <w:tcPr>
            <w:tcW w:w="6338" w:type="dxa"/>
            <w:gridSpan w:val="3"/>
            <w:shd w:val="clear" w:color="auto" w:fill="CCE8CF" w:themeFill="background1"/>
            <w:tcMar>
              <w:left w:w="57" w:type="dxa"/>
              <w:right w:w="57" w:type="dxa"/>
            </w:tcMar>
            <w:vAlign w:val="center"/>
          </w:tcPr>
          <w:p w14:paraId="37556F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 w14:paraId="042AC6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CCE8CF" w:themeFill="background1"/>
            <w:tcMar>
              <w:left w:w="57" w:type="dxa"/>
              <w:right w:w="57" w:type="dxa"/>
            </w:tcMar>
            <w:vAlign w:val="center"/>
          </w:tcPr>
          <w:p w14:paraId="03D4A6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bidi="ar"/>
              </w:rPr>
              <w:t>第二十条第（六）项</w:t>
            </w:r>
          </w:p>
        </w:tc>
      </w:tr>
      <w:tr w14:paraId="2E025D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CCE8CF" w:themeFill="background1"/>
            <w:tcMar>
              <w:left w:w="57" w:type="dxa"/>
              <w:right w:w="57" w:type="dxa"/>
            </w:tcMar>
            <w:vAlign w:val="center"/>
          </w:tcPr>
          <w:p w14:paraId="361E7B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CCE8CF" w:themeFill="background1"/>
            <w:tcMar>
              <w:left w:w="57" w:type="dxa"/>
              <w:right w:w="57" w:type="dxa"/>
            </w:tcMar>
            <w:vAlign w:val="center"/>
          </w:tcPr>
          <w:p w14:paraId="2C9840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本年处理决定数量</w:t>
            </w:r>
          </w:p>
        </w:tc>
      </w:tr>
      <w:tr w14:paraId="7F0E5F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CCE8CF" w:themeFill="background1"/>
            <w:tcMar>
              <w:left w:w="57" w:type="dxa"/>
              <w:right w:w="57" w:type="dxa"/>
            </w:tcMar>
            <w:vAlign w:val="center"/>
          </w:tcPr>
          <w:p w14:paraId="696F04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行政处罚</w:t>
            </w:r>
          </w:p>
        </w:tc>
        <w:tc>
          <w:tcPr>
            <w:tcW w:w="6338" w:type="dxa"/>
            <w:gridSpan w:val="3"/>
            <w:shd w:val="clear" w:color="auto" w:fill="CCE8CF" w:themeFill="background1"/>
            <w:tcMar>
              <w:left w:w="57" w:type="dxa"/>
              <w:right w:w="57" w:type="dxa"/>
            </w:tcMar>
            <w:vAlign w:val="center"/>
          </w:tcPr>
          <w:p w14:paraId="6152C1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 w14:paraId="3ECAB9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CCE8CF" w:themeFill="background1"/>
            <w:tcMar>
              <w:left w:w="57" w:type="dxa"/>
              <w:right w:w="57" w:type="dxa"/>
            </w:tcMar>
            <w:vAlign w:val="center"/>
          </w:tcPr>
          <w:p w14:paraId="1EB8F9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行政强制</w:t>
            </w:r>
          </w:p>
        </w:tc>
        <w:tc>
          <w:tcPr>
            <w:tcW w:w="6338" w:type="dxa"/>
            <w:gridSpan w:val="3"/>
            <w:shd w:val="clear" w:color="auto" w:fill="CCE8CF" w:themeFill="background1"/>
            <w:tcMar>
              <w:left w:w="57" w:type="dxa"/>
              <w:right w:w="57" w:type="dxa"/>
            </w:tcMar>
            <w:vAlign w:val="center"/>
          </w:tcPr>
          <w:p w14:paraId="30A656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 w14:paraId="03D030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CCE8CF" w:themeFill="background1"/>
            <w:tcMar>
              <w:left w:w="57" w:type="dxa"/>
              <w:right w:w="57" w:type="dxa"/>
            </w:tcMar>
            <w:vAlign w:val="center"/>
          </w:tcPr>
          <w:p w14:paraId="3444B8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bidi="ar"/>
              </w:rPr>
              <w:t>第二十条第（八）项</w:t>
            </w:r>
          </w:p>
        </w:tc>
      </w:tr>
      <w:tr w14:paraId="5213BB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CCE8CF" w:themeFill="background1"/>
            <w:tcMar>
              <w:left w:w="57" w:type="dxa"/>
              <w:right w:w="57" w:type="dxa"/>
            </w:tcMar>
            <w:vAlign w:val="center"/>
          </w:tcPr>
          <w:p w14:paraId="642910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CCE8CF" w:themeFill="background1"/>
            <w:tcMar>
              <w:left w:w="57" w:type="dxa"/>
              <w:right w:w="57" w:type="dxa"/>
            </w:tcMar>
            <w:vAlign w:val="center"/>
          </w:tcPr>
          <w:p w14:paraId="36A177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本年收费金额（单位：万元）</w:t>
            </w:r>
          </w:p>
        </w:tc>
      </w:tr>
      <w:tr w14:paraId="3FBB07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CCE8CF" w:themeFill="background1"/>
            <w:tcMar>
              <w:left w:w="57" w:type="dxa"/>
              <w:right w:w="57" w:type="dxa"/>
            </w:tcMar>
            <w:vAlign w:val="center"/>
          </w:tcPr>
          <w:p w14:paraId="368447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行政事业性收费</w:t>
            </w:r>
          </w:p>
        </w:tc>
        <w:tc>
          <w:tcPr>
            <w:tcW w:w="6338" w:type="dxa"/>
            <w:gridSpan w:val="3"/>
            <w:shd w:val="clear" w:color="auto" w:fill="CCE8CF" w:themeFill="background1"/>
            <w:tcMar>
              <w:left w:w="57" w:type="dxa"/>
              <w:right w:w="57" w:type="dxa"/>
            </w:tcMar>
            <w:vAlign w:val="center"/>
          </w:tcPr>
          <w:p w14:paraId="7FD3BF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  <w:t>0</w:t>
            </w:r>
          </w:p>
        </w:tc>
      </w:tr>
    </w:tbl>
    <w:p w14:paraId="7C8BD0B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3" w:firstLineChars="200"/>
        <w:textAlignment w:val="auto"/>
        <w:rPr>
          <w:rFonts w:hint="default" w:ascii="Times New Roman" w:hAnsi="Times New Roman" w:eastAsia="方正黑体简体" w:cs="Times New Roman"/>
          <w:b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sz w:val="32"/>
          <w:szCs w:val="32"/>
        </w:rPr>
        <w:t>三、收到和处理政府信息公开申请情况</w:t>
      </w:r>
    </w:p>
    <w:tbl>
      <w:tblPr>
        <w:tblStyle w:val="7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3"/>
        <w:gridCol w:w="3219"/>
        <w:gridCol w:w="688"/>
        <w:gridCol w:w="688"/>
        <w:gridCol w:w="688"/>
        <w:gridCol w:w="688"/>
        <w:gridCol w:w="688"/>
        <w:gridCol w:w="689"/>
        <w:gridCol w:w="689"/>
      </w:tblGrid>
      <w:tr w14:paraId="5135745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82A7A5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楷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（本列数据的勾稽关系为：第一项加第二项之和，等于第三项加第四项之和）</w:t>
            </w:r>
          </w:p>
        </w:tc>
        <w:tc>
          <w:tcPr>
            <w:tcW w:w="4998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06F5AA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申请人情况</w:t>
            </w:r>
          </w:p>
        </w:tc>
      </w:tr>
      <w:tr w14:paraId="2184F6B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C3D3BB2">
            <w:pP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71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E02B4A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自然人</w:t>
            </w:r>
          </w:p>
        </w:tc>
        <w:tc>
          <w:tcPr>
            <w:tcW w:w="35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8A54A1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法人或其他组织</w:t>
            </w:r>
          </w:p>
        </w:tc>
        <w:tc>
          <w:tcPr>
            <w:tcW w:w="714" w:type="dxa"/>
            <w:vMerge w:val="restart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218F31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</w:tr>
      <w:tr w14:paraId="646A06D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D2B660F">
            <w:pP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71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5198E75">
            <w:pP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1BB40B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商业</w:t>
            </w:r>
          </w:p>
          <w:p w14:paraId="40F089C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企业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8201F8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科研</w:t>
            </w:r>
          </w:p>
          <w:p w14:paraId="13F3190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机构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CD4769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社会公益组织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B2CB8B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法律服务机构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D5CD63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其他</w:t>
            </w:r>
          </w:p>
        </w:tc>
        <w:tc>
          <w:tcPr>
            <w:tcW w:w="714" w:type="dxa"/>
            <w:vMerge w:val="continue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840A908">
            <w:pP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szCs w:val="24"/>
              </w:rPr>
            </w:pPr>
          </w:p>
        </w:tc>
      </w:tr>
      <w:tr w14:paraId="672D140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F355AB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一、本年新收政府信息公开申请数量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15B1D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  <w:lang w:val="en-US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CF310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160A0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6F7BD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3952F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7AD7E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585D6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617631A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0CB5DA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二、上年结转政府信息公开申请数量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8DA94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  <w:lang w:val="en-US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79513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713EB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5A3F0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FA769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87F4E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39D91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5E57A91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restart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0AE32D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三、本年度办理结果</w:t>
            </w: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8A63D7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（一）予以公开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7B987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DEFA5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0D5DC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2C608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8A514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58F38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A31D5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6FCEF3E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F0964FC">
            <w:pP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DC1010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（二）部分公开</w:t>
            </w:r>
            <w:r>
              <w:rPr>
                <w:rFonts w:hint="default" w:ascii="Times New Roman" w:hAnsi="Times New Roman" w:eastAsia="楷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（区分处理的，只计这一情形，不计其他情形）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CFAF5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6A63D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CAFD2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7FC8F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1BA8E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6E55D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EA8C3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7C5BACD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B58D249">
            <w:pP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959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0E6F41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（三）不予公开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D4C21A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1.属于国家秘密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7FD7D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04AD2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C4BD1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83F11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89579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FF6A8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4EB56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4FC3171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61D4D9B">
            <w:pP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9E1196C">
            <w:pP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25A7F6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2.其他法律行政法规禁止公开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4A948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86E15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8877F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DC09F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670A4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92055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DFEE0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39CF6AB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10FDCA2">
            <w:pP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AC512FA">
            <w:pP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9594E2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3.危及“三安全一稳定”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0746E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1F78B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3C73C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5B6D2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72027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C99FE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8DB11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6061AE7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1A2D945">
            <w:pP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715D444">
            <w:pP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02CFCD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4.保护第三方合法权益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D3C68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ED7E4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494A1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9DC6F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EADF8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FDA7A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697F9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3465143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2C206A8">
            <w:pP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61B879D">
            <w:pP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46BF43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5.属于三类内部事务信息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966C6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8A93A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284A7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90C19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4A89C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06A40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C2DD9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4DD2DB2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CE10257">
            <w:pP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D3D28BB">
            <w:pP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A9CCD7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6.属于四类过程性信息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49D3D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E6868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695F2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3CB62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2DD68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65326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DAA35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7D3BEFE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0A5E138">
            <w:pP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01F0DDD">
            <w:pP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BF26D9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7.属于行政执法案卷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FDA23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4EDD2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3E16B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CF85F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69731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64E58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107CD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0D0EEB5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773D689">
            <w:pP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215D52D">
            <w:pP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9646B2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8.属于行政查询事项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9E594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271A4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246A1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D9629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BA199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4DD38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A4F3E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61CF9AF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F3A9E96">
            <w:pP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959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40E4F1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（四）无法提供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1422F3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1.本机关不掌握相关政府信息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2F81C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0D172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5149B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5BD73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0526A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6483A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2D06D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7235B10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2765D6C">
            <w:pP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B70AE2D">
            <w:pP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936EAD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2.没有现成信息需要另行制作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E77FD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BC899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5D0BD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93B92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82184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5464B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90D90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043B6FE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BAB7762">
            <w:pP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F89CE44">
            <w:pP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39DDB6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3.补正后申请内容仍不明确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30336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80A14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FAD61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2D5C7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C2E82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EA6F7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2E891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30A3AC3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6FDD183">
            <w:pP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959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CF020A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（五）不予处理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8E2883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1.信访举报投诉类申请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71039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38ED3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2349E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57F68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0E0A1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7AFDB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8274B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58BC52D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6D9B393">
            <w:pP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AF7C288">
            <w:pP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6722B4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2.重复申请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4A48F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CA553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08CA1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4A0F1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2A220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E642C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289D2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3813E3C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09A9EED">
            <w:pP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ABE91DE">
            <w:pP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5191EE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3.要求提供公开出版物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966D0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0FC9A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68A8F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DD628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3DF0C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54A67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AEEE1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1582CE3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8D60EC9">
            <w:pP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1D4E4F9">
            <w:pP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0B0BD4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4.无正当理由大量反复申请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16BC2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CDFEA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F7FFF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5E951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27206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7695F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9D868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2DDF987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C86F32C">
            <w:pP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065EE05">
            <w:pP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FA1D49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5.要求行政机关确认或重新出具已获取信息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1234A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AE06B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9F37F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60BC4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DF51C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CCFA8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9904A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</w:pPr>
          </w:p>
          <w:p w14:paraId="3F327D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64C0EDF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741EB23">
            <w:pP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959" w:type="dxa"/>
            <w:vMerge w:val="restart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66FE6A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（六）其他处理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8629F6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1.申请人无正当理由逾期不补正、行政机关不再处理其政府信息公开申请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5EFFD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A068C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6F4CB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AAA8D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6CDFD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40C3D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AB990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</w:pPr>
          </w:p>
          <w:p w14:paraId="251DDE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15D8371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AFBD002">
            <w:pP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F179426">
            <w:pP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EBBE4B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A9F25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A983C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FC416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C94AE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594DE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5BDFA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6BE4A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</w:pPr>
          </w:p>
          <w:p w14:paraId="67429B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3E57F23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C21178D">
            <w:pP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E8428B0">
            <w:pP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D98A77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3.其他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08127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7B49F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049CB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03CC6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C3DFF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6750A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C6278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05C5361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ABFBCD4">
            <w:pP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E20DDD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（七）总计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FE473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886F6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96454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B271C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6F0F8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38740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4638E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5AF3B6C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4B936F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四、结转下年度继续办理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013A84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F304A1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48FF6C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780D03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4D7310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FD6082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4CB56C8">
            <w:pP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</w:tr>
    </w:tbl>
    <w:p w14:paraId="2C0596D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3" w:firstLineChars="200"/>
        <w:textAlignment w:val="auto"/>
        <w:rPr>
          <w:rFonts w:hint="default" w:ascii="Times New Roman" w:hAnsi="Times New Roman" w:eastAsia="方正黑体简体" w:cs="Times New Roman"/>
          <w:b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sz w:val="32"/>
          <w:szCs w:val="32"/>
        </w:rPr>
        <w:t>四、政府信息公开</w:t>
      </w:r>
      <w:r>
        <w:rPr>
          <w:rFonts w:hint="default" w:ascii="Times New Roman" w:hAnsi="Times New Roman" w:eastAsia="方正黑体简体" w:cs="Times New Roman"/>
          <w:b/>
          <w:sz w:val="32"/>
          <w:szCs w:val="32"/>
          <w:lang w:eastAsia="zh-CN"/>
        </w:rPr>
        <w:t>工作被申请</w:t>
      </w:r>
      <w:r>
        <w:rPr>
          <w:rFonts w:hint="default" w:ascii="Times New Roman" w:hAnsi="Times New Roman" w:eastAsia="方正黑体简体" w:cs="Times New Roman"/>
          <w:b/>
          <w:sz w:val="32"/>
          <w:szCs w:val="32"/>
        </w:rPr>
        <w:t>行政复议、行政诉讼情况</w:t>
      </w:r>
    </w:p>
    <w:tbl>
      <w:tblPr>
        <w:tblStyle w:val="7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 w14:paraId="413F6CB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2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975C41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行政复议</w:t>
            </w:r>
          </w:p>
        </w:tc>
        <w:tc>
          <w:tcPr>
            <w:tcW w:w="6428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9EA7EA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行政诉讼</w:t>
            </w:r>
          </w:p>
        </w:tc>
      </w:tr>
      <w:tr w14:paraId="7D19635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6B909D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结果维持</w:t>
            </w:r>
          </w:p>
        </w:tc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12A659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DD70BD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6A493D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73C1A3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  <w:tc>
          <w:tcPr>
            <w:tcW w:w="321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BF88AD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未经复议直接起诉</w:t>
            </w:r>
          </w:p>
        </w:tc>
        <w:tc>
          <w:tcPr>
            <w:tcW w:w="321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325DCC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复议后起诉</w:t>
            </w:r>
          </w:p>
        </w:tc>
      </w:tr>
      <w:tr w14:paraId="568C470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71BB441">
            <w:pP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87034FD">
            <w:pP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B53103E">
            <w:pP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6EE8F29">
            <w:pP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3D46DA7">
            <w:pP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7D38A6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维持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F6B95F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E1D381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2A0B9D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D7F354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88D584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维持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4BB5AF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937CFE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1CB80A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7E5395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</w:tr>
      <w:tr w14:paraId="67C5F18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5D234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7091A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2C2C8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D4694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0AD7F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F9319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E2DBE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3CC63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B1848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8AF50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BFE17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568C6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0019C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E0B0D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E92AC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</w:tbl>
    <w:p w14:paraId="668C55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3" w:firstLineChars="200"/>
        <w:textAlignment w:val="auto"/>
        <w:rPr>
          <w:rFonts w:hint="default" w:ascii="Times New Roman" w:hAnsi="Times New Roman" w:eastAsia="方正黑体简体" w:cs="Times New Roman"/>
          <w:b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sz w:val="32"/>
          <w:szCs w:val="32"/>
        </w:rPr>
        <w:t>五、存在的主要问题及改进情况</w:t>
      </w:r>
    </w:p>
    <w:p w14:paraId="41F78F2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240" w:lineRule="auto"/>
        <w:ind w:left="0" w:leftChars="0" w:right="0" w:rightChars="0" w:firstLine="643" w:firstLineChars="200"/>
        <w:textAlignment w:val="auto"/>
        <w:rPr>
          <w:rFonts w:hint="default" w:ascii="Times New Roman" w:hAnsi="Times New Roman" w:eastAsia="方正楷体简体" w:cs="Times New Roman"/>
          <w:b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楷体简体" w:cs="Times New Roman"/>
          <w:b/>
          <w:sz w:val="32"/>
          <w:szCs w:val="32"/>
          <w:lang w:val="en-US" w:eastAsia="zh-CN" w:bidi="ar-SA"/>
        </w:rPr>
        <w:t>（一）存在主要问题</w:t>
      </w:r>
    </w:p>
    <w:p w14:paraId="13D24915"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240" w:lineRule="auto"/>
        <w:ind w:left="0" w:leftChars="0" w:right="0" w:rightChars="0" w:firstLine="643" w:firstLineChars="200"/>
        <w:textAlignment w:val="auto"/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 w:bidi="ar-SA"/>
        </w:rPr>
        <w:t>业务能力需进一步提升。对部分考核指标理解不够深入，在工作中存在贯彻落实不够准确</w:t>
      </w:r>
      <w:r>
        <w:rPr>
          <w:rFonts w:hint="eastAsia" w:eastAsia="方正仿宋简体" w:cs="Times New Roman"/>
          <w:b/>
          <w:sz w:val="32"/>
          <w:szCs w:val="32"/>
          <w:lang w:val="en-US" w:eastAsia="zh-CN" w:bidi="ar-SA"/>
        </w:rPr>
        <w:t>的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 w:bidi="ar-SA"/>
        </w:rPr>
        <w:t>问题。</w:t>
      </w:r>
    </w:p>
    <w:p w14:paraId="4EBB4FD7"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240" w:lineRule="auto"/>
        <w:ind w:left="0" w:leftChars="0" w:right="0" w:rightChars="0" w:firstLine="643" w:firstLineChars="200"/>
        <w:textAlignment w:val="auto"/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 w:bidi="ar-SA"/>
        </w:rPr>
        <w:t>创新能力需进一步加强。政策解读创新形式不够丰富，多采用主要负责人解读、文字解读、图文解读等方式，通过互动直播、现场宣讲等创新形式开展解读较少。</w:t>
      </w:r>
    </w:p>
    <w:p w14:paraId="1A43E7E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240" w:lineRule="auto"/>
        <w:ind w:left="0" w:leftChars="0" w:right="0" w:rightChars="0" w:firstLine="643" w:firstLineChars="200"/>
        <w:textAlignment w:val="auto"/>
        <w:rPr>
          <w:rFonts w:hint="default" w:ascii="Times New Roman" w:hAnsi="Times New Roman" w:eastAsia="方正楷体简体" w:cs="Times New Roman"/>
          <w:b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楷体简体" w:cs="Times New Roman"/>
          <w:b/>
          <w:sz w:val="32"/>
          <w:szCs w:val="32"/>
          <w:lang w:val="en-US" w:eastAsia="zh-CN" w:bidi="ar-SA"/>
        </w:rPr>
        <w:t>（二）改进情况</w:t>
      </w:r>
    </w:p>
    <w:p w14:paraId="1A6105F8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240" w:lineRule="auto"/>
        <w:ind w:right="0" w:rightChars="0" w:firstLine="643" w:firstLineChars="200"/>
        <w:textAlignment w:val="auto"/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 w:bidi="ar-SA"/>
        </w:rPr>
        <w:t>1. 加强业务学习。深入学习研究评估考核指标，充分理解考核指标要求，精准有效开展政务公开工作。加大与上级部门的沟通交流，认真学习“政务公开看山东”微信公众号</w:t>
      </w:r>
      <w:r>
        <w:rPr>
          <w:rFonts w:hint="eastAsia" w:eastAsia="方正仿宋简体" w:cs="Times New Roman"/>
          <w:b/>
          <w:sz w:val="32"/>
          <w:szCs w:val="32"/>
          <w:lang w:val="en-US" w:eastAsia="zh-CN" w:bidi="ar-SA"/>
        </w:rPr>
        <w:t>典型经验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 w:bidi="ar-SA"/>
        </w:rPr>
        <w:t>，不断提升工作人员业务能力。</w:t>
      </w:r>
    </w:p>
    <w:p w14:paraId="117375C6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240" w:lineRule="auto"/>
        <w:ind w:right="0" w:rightChars="0" w:firstLine="643" w:firstLineChars="200"/>
        <w:textAlignment w:val="auto"/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 w:bidi="ar-SA"/>
        </w:rPr>
        <w:t>2. 提高创新能力。深入开展多角度解读，邀请掌握相关政策、熟悉有关领域业务的专家学者、专业机构从业人员等第三方主体开展专业解读；创新解读形式，通过互动直播、情景剧场、现场宣讲等创新形式开展政策解读。</w:t>
      </w:r>
    </w:p>
    <w:p w14:paraId="6BCCCE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3" w:firstLineChars="200"/>
        <w:textAlignment w:val="auto"/>
        <w:rPr>
          <w:rFonts w:hint="default" w:ascii="Times New Roman" w:hAnsi="Times New Roman" w:eastAsia="方正黑体简体" w:cs="Times New Roman"/>
          <w:b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sz w:val="32"/>
          <w:szCs w:val="32"/>
        </w:rPr>
        <w:t>六、其他需要报告的事项</w:t>
      </w:r>
    </w:p>
    <w:p w14:paraId="7B8EA6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3" w:firstLineChars="200"/>
        <w:textAlignment w:val="auto"/>
        <w:rPr>
          <w:rFonts w:hint="eastAsia" w:ascii="Times New Roman" w:hAnsi="Times New Roman" w:eastAsia="方正楷体简体" w:cs="Times New Roman"/>
          <w:b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楷体简体" w:cs="Times New Roman"/>
          <w:b/>
          <w:sz w:val="32"/>
          <w:szCs w:val="32"/>
        </w:rPr>
        <w:t>（一）</w:t>
      </w:r>
      <w:r>
        <w:rPr>
          <w:rFonts w:hint="eastAsia" w:ascii="Times New Roman" w:hAnsi="Times New Roman" w:eastAsia="方正楷体简体" w:cs="Times New Roman"/>
          <w:b/>
          <w:sz w:val="32"/>
          <w:szCs w:val="32"/>
          <w:lang w:val="en-US" w:eastAsia="zh-CN"/>
        </w:rPr>
        <w:t>依据《政府信息公开信息处理费管理办法》收取信息处理费收费的情况</w:t>
      </w:r>
    </w:p>
    <w:p w14:paraId="0A5CBB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3" w:firstLineChars="200"/>
        <w:textAlignment w:val="auto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市供销社未收取任何信息处理费。</w:t>
      </w:r>
    </w:p>
    <w:p w14:paraId="7C5EC9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3" w:firstLineChars="200"/>
        <w:textAlignment w:val="auto"/>
        <w:rPr>
          <w:rFonts w:hint="default" w:ascii="Times New Roman" w:hAnsi="Times New Roman" w:eastAsia="方正楷体简体" w:cs="Times New Roman"/>
          <w:b/>
          <w:sz w:val="32"/>
          <w:szCs w:val="32"/>
          <w:lang w:eastAsia="zh-CN"/>
        </w:rPr>
      </w:pPr>
      <w:r>
        <w:rPr>
          <w:rFonts w:hint="default" w:ascii="Times New Roman" w:hAnsi="Times New Roman" w:eastAsia="方正楷体简体" w:cs="Times New Roman"/>
          <w:b/>
          <w:sz w:val="32"/>
          <w:szCs w:val="32"/>
        </w:rPr>
        <w:t>（二）</w:t>
      </w:r>
      <w:r>
        <w:rPr>
          <w:rFonts w:hint="default" w:ascii="Times New Roman" w:hAnsi="Times New Roman" w:eastAsia="方正楷体简体" w:cs="Times New Roman"/>
          <w:b/>
          <w:sz w:val="32"/>
          <w:szCs w:val="32"/>
          <w:lang w:val="en-US" w:eastAsia="zh-CN"/>
        </w:rPr>
        <w:t>2024</w:t>
      </w:r>
      <w:r>
        <w:rPr>
          <w:rFonts w:hint="default" w:ascii="Times New Roman" w:hAnsi="Times New Roman" w:eastAsia="方正楷体简体" w:cs="Times New Roman"/>
          <w:b/>
          <w:sz w:val="32"/>
          <w:szCs w:val="32"/>
        </w:rPr>
        <w:t>年度政务公开工作要点落实情况</w:t>
      </w:r>
    </w:p>
    <w:p w14:paraId="6383BB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3" w:firstLineChars="200"/>
        <w:textAlignment w:val="auto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/>
        </w:rPr>
        <w:t>1. 加强组织领导。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调整市供销社政务公开工作领导小组成员名单，制定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市供销社《政务公开工作实施方案》，完善《政务公开考核指标体系》，明确任务目标，建立职责分工台账。</w:t>
      </w:r>
    </w:p>
    <w:p w14:paraId="2019AC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3" w:firstLineChars="200"/>
        <w:textAlignment w:val="auto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 做好主动公开。主动公开政府信息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153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条。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对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1份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进行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了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解读，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其中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主要负责人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对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1份进行了解读，解读采用了文字、电子书、PDF、图片、专家解读等多种形式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公开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12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次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主任办公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会议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 w14:paraId="251E08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3" w:firstLineChars="200"/>
        <w:textAlignment w:val="auto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 加强考核培训。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制定市供销社《政务公开培训计划》，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  <w:t>召开政务公开领导小组工作会议1次，培训会议2次，推进会议1次，考核会议1次，稳步推进政务公开工作。</w:t>
      </w:r>
    </w:p>
    <w:p w14:paraId="1B19E7C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240" w:lineRule="auto"/>
        <w:ind w:left="0" w:leftChars="0" w:right="0" w:rightChars="0" w:firstLine="643" w:firstLineChars="200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4. 依申请公开情况。2024年，受理依申请公开信息0条。</w:t>
      </w:r>
    </w:p>
    <w:p w14:paraId="007A5D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3" w:firstLineChars="200"/>
        <w:textAlignment w:val="auto"/>
        <w:rPr>
          <w:rFonts w:hint="default" w:ascii="Times New Roman" w:hAnsi="Times New Roman" w:eastAsia="方正楷体简体" w:cs="Times New Roman"/>
          <w:b/>
          <w:sz w:val="32"/>
          <w:szCs w:val="32"/>
          <w:lang w:eastAsia="zh-CN"/>
        </w:rPr>
      </w:pPr>
      <w:r>
        <w:rPr>
          <w:rFonts w:hint="default" w:ascii="Times New Roman" w:hAnsi="Times New Roman" w:eastAsia="方正楷体简体" w:cs="Times New Roman"/>
          <w:b/>
          <w:sz w:val="32"/>
          <w:szCs w:val="32"/>
        </w:rPr>
        <w:t>（三）人大代表建议和政协提案办理结果公开情况</w:t>
      </w:r>
    </w:p>
    <w:p w14:paraId="0908AE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3" w:firstLineChars="200"/>
        <w:textAlignment w:val="auto"/>
        <w:rPr>
          <w:rFonts w:hint="default" w:ascii="Times New Roman" w:hAnsi="Times New Roman" w:eastAsia="方正仿宋简体" w:cs="Times New Roman"/>
          <w:b/>
          <w:sz w:val="32"/>
          <w:szCs w:val="32"/>
          <w:lang w:eastAsia="zh-CN"/>
        </w:rPr>
      </w:pPr>
      <w:r>
        <w:rPr>
          <w:rFonts w:hint="default" w:ascii="Times New Roman" w:hAnsi="Times New Roman" w:eastAsia="方正仿宋简体" w:cs="Times New Roman"/>
          <w:b/>
          <w:sz w:val="32"/>
          <w:szCs w:val="32"/>
          <w:lang w:eastAsia="zh-CN"/>
        </w:rPr>
        <w:t>收到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人大代表建议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件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市政协提案2件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eastAsia="zh-CN"/>
        </w:rPr>
        <w:t>，均已完成办理并在市政府门户网站公开，代表委员满意率100%，吸收采纳率100%，办理信息规范命名为建议提案编号和提案内容，方便公众查阅。</w:t>
      </w:r>
    </w:p>
    <w:p w14:paraId="0A932B8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textAlignment w:val="auto"/>
        <w:rPr>
          <w:rFonts w:hint="default" w:ascii="Times New Roman" w:hAnsi="Times New Roman" w:cs="Times New Roman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4051DAA0-5891-4F46-9C13-28B404AB0EE2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D5A703EB-03E6-4809-8834-9D53AE490D12}"/>
  </w:font>
  <w:font w:name="方正楷体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13680465-9841-4255-A8BB-9981EDDEBD7A}"/>
  </w:font>
  <w:font w:name="Yu Mincho Light">
    <w:altName w:val="DejaVu Math TeX Gyre"/>
    <w:panose1 w:val="00000000000000000000"/>
    <w:charset w:val="00"/>
    <w:family w:val="roman"/>
    <w:pitch w:val="default"/>
    <w:sig w:usb0="00000000" w:usb1="00000000" w:usb2="00000012" w:usb3="00000000" w:csb0="0002009F" w:csb1="00000000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9825C67C-72E9-45E4-807D-EB2BF372564B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19BB593C-56DF-4EB9-A6BB-21D694AB99B1}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DCBC44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14FAA3C">
                          <w:pPr>
                            <w:pStyle w:val="4"/>
                            <w:rPr>
                              <w:rFonts w:hint="default" w:ascii="Times New Roman" w:hAnsi="Times New Roman" w:cs="Times New Roman" w:eastAsiaTheme="majorEastAsia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 w:eastAsiaTheme="majorEastAsia"/>
                              <w:b/>
                              <w:bCs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 w:eastAsiaTheme="majorEastAsia"/>
                              <w:b/>
                              <w:bCs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 w:eastAsiaTheme="majorEastAsia"/>
                              <w:b/>
                              <w:bCs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 w:eastAsiaTheme="majorEastAsia"/>
                              <w:b/>
                              <w:bCs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 w:eastAsiaTheme="majorEastAsia"/>
                              <w:b/>
                              <w:bCs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 w:eastAsiaTheme="majorEastAsia"/>
                              <w:b/>
                              <w:bCs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 w:eastAsiaTheme="majorEastAsia"/>
                              <w:b/>
                              <w:bCs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14FAA3C">
                    <w:pPr>
                      <w:pStyle w:val="4"/>
                      <w:rPr>
                        <w:rFonts w:hint="default" w:ascii="Times New Roman" w:hAnsi="Times New Roman" w:cs="Times New Roman" w:eastAsiaTheme="majorEastAsia"/>
                        <w:b/>
                        <w:bCs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 w:eastAsiaTheme="majorEastAsia"/>
                        <w:b/>
                        <w:bCs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 w:eastAsiaTheme="majorEastAsia"/>
                        <w:b/>
                        <w:bCs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 w:eastAsiaTheme="majorEastAsia"/>
                        <w:b/>
                        <w:bCs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 w:eastAsiaTheme="majorEastAsia"/>
                        <w:b/>
                        <w:bCs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 w:eastAsiaTheme="majorEastAsia"/>
                        <w:b/>
                        <w:bCs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 w:eastAsiaTheme="majorEastAsia"/>
                        <w:b/>
                        <w:bCs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 w:eastAsiaTheme="majorEastAsia"/>
                        <w:b/>
                        <w:bCs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1694434"/>
    <w:multiLevelType w:val="singleLevel"/>
    <w:tmpl w:val="01694434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VhODAxM2JhNGExY2U4NTljZjNhM2M5Mzg4ZmFhNDAifQ=="/>
    <w:docVar w:name="KSO_WPS_MARK_KEY" w:val="01601c38-30f1-4bee-a5f7-38acdd163ad5"/>
  </w:docVars>
  <w:rsids>
    <w:rsidRoot w:val="00000000"/>
    <w:rsid w:val="000018B9"/>
    <w:rsid w:val="004E21D2"/>
    <w:rsid w:val="016A31F9"/>
    <w:rsid w:val="01CF32DE"/>
    <w:rsid w:val="01D5719F"/>
    <w:rsid w:val="025649A5"/>
    <w:rsid w:val="029A4CE7"/>
    <w:rsid w:val="02D2752A"/>
    <w:rsid w:val="02F55EBB"/>
    <w:rsid w:val="03A5079A"/>
    <w:rsid w:val="03C167F6"/>
    <w:rsid w:val="0546487B"/>
    <w:rsid w:val="056F11F7"/>
    <w:rsid w:val="059F4C91"/>
    <w:rsid w:val="05BD2794"/>
    <w:rsid w:val="05C869C2"/>
    <w:rsid w:val="05E9192E"/>
    <w:rsid w:val="061E22CB"/>
    <w:rsid w:val="06DB44D3"/>
    <w:rsid w:val="071A68E6"/>
    <w:rsid w:val="07722D03"/>
    <w:rsid w:val="07AC659B"/>
    <w:rsid w:val="07E72A6F"/>
    <w:rsid w:val="081A2359"/>
    <w:rsid w:val="08A05118"/>
    <w:rsid w:val="08D757EA"/>
    <w:rsid w:val="08D92C7A"/>
    <w:rsid w:val="09412D13"/>
    <w:rsid w:val="095F0366"/>
    <w:rsid w:val="09DA6CC4"/>
    <w:rsid w:val="0A145953"/>
    <w:rsid w:val="0A2E3F7D"/>
    <w:rsid w:val="0AD37649"/>
    <w:rsid w:val="0AF12517"/>
    <w:rsid w:val="0B0614D4"/>
    <w:rsid w:val="0B1123B1"/>
    <w:rsid w:val="0BF26547"/>
    <w:rsid w:val="0C6C00A7"/>
    <w:rsid w:val="0C9238CE"/>
    <w:rsid w:val="0CC003F3"/>
    <w:rsid w:val="0CC223BD"/>
    <w:rsid w:val="0D227363"/>
    <w:rsid w:val="0D284B58"/>
    <w:rsid w:val="0D4234FE"/>
    <w:rsid w:val="0E3E7B9F"/>
    <w:rsid w:val="0E543529"/>
    <w:rsid w:val="0E7709EF"/>
    <w:rsid w:val="0EAF6971"/>
    <w:rsid w:val="0EB51564"/>
    <w:rsid w:val="0EC3782D"/>
    <w:rsid w:val="0EC9736F"/>
    <w:rsid w:val="0EDF6F83"/>
    <w:rsid w:val="0F177769"/>
    <w:rsid w:val="0F211513"/>
    <w:rsid w:val="0F5A019D"/>
    <w:rsid w:val="0F697AF2"/>
    <w:rsid w:val="0F733B56"/>
    <w:rsid w:val="10066A65"/>
    <w:rsid w:val="109A5F13"/>
    <w:rsid w:val="10EC41C1"/>
    <w:rsid w:val="110F1949"/>
    <w:rsid w:val="1116764C"/>
    <w:rsid w:val="116E041E"/>
    <w:rsid w:val="11F83154"/>
    <w:rsid w:val="126F3EF2"/>
    <w:rsid w:val="1291223E"/>
    <w:rsid w:val="12A83E03"/>
    <w:rsid w:val="12B625F9"/>
    <w:rsid w:val="12C573FF"/>
    <w:rsid w:val="1301536A"/>
    <w:rsid w:val="13095934"/>
    <w:rsid w:val="130F3E82"/>
    <w:rsid w:val="13675A6C"/>
    <w:rsid w:val="139307D9"/>
    <w:rsid w:val="13AA53E8"/>
    <w:rsid w:val="13B660AC"/>
    <w:rsid w:val="13DC1FB6"/>
    <w:rsid w:val="146E5E4E"/>
    <w:rsid w:val="14811DCF"/>
    <w:rsid w:val="154716B1"/>
    <w:rsid w:val="156C7F0B"/>
    <w:rsid w:val="158226E9"/>
    <w:rsid w:val="15950717"/>
    <w:rsid w:val="15A04E10"/>
    <w:rsid w:val="15F673C1"/>
    <w:rsid w:val="162633CE"/>
    <w:rsid w:val="16473933"/>
    <w:rsid w:val="1670043C"/>
    <w:rsid w:val="16B7165D"/>
    <w:rsid w:val="16BB6B10"/>
    <w:rsid w:val="16C90282"/>
    <w:rsid w:val="16F850FF"/>
    <w:rsid w:val="17034227"/>
    <w:rsid w:val="170C23A9"/>
    <w:rsid w:val="171B54BE"/>
    <w:rsid w:val="173503D8"/>
    <w:rsid w:val="1752549D"/>
    <w:rsid w:val="17A54DB5"/>
    <w:rsid w:val="180844B2"/>
    <w:rsid w:val="18221982"/>
    <w:rsid w:val="189664AC"/>
    <w:rsid w:val="18ED5187"/>
    <w:rsid w:val="190E6336"/>
    <w:rsid w:val="19136F16"/>
    <w:rsid w:val="193A07AA"/>
    <w:rsid w:val="19E00CCF"/>
    <w:rsid w:val="1A780A2A"/>
    <w:rsid w:val="1B2A7AAB"/>
    <w:rsid w:val="1B634D36"/>
    <w:rsid w:val="1BBC054B"/>
    <w:rsid w:val="1BE959CC"/>
    <w:rsid w:val="1C063664"/>
    <w:rsid w:val="1C13528C"/>
    <w:rsid w:val="1C1639D1"/>
    <w:rsid w:val="1C553A28"/>
    <w:rsid w:val="1C5A75A3"/>
    <w:rsid w:val="1C63351B"/>
    <w:rsid w:val="1DBE7147"/>
    <w:rsid w:val="1E097B5C"/>
    <w:rsid w:val="1E613FB5"/>
    <w:rsid w:val="1EAE3DA9"/>
    <w:rsid w:val="1F0C0E92"/>
    <w:rsid w:val="1F1E1B67"/>
    <w:rsid w:val="1F4F3119"/>
    <w:rsid w:val="1F52137F"/>
    <w:rsid w:val="1F6B68E4"/>
    <w:rsid w:val="1F7B25A9"/>
    <w:rsid w:val="1FCD4EA9"/>
    <w:rsid w:val="1FD62ED7"/>
    <w:rsid w:val="1FFFA8B9"/>
    <w:rsid w:val="20016901"/>
    <w:rsid w:val="20341706"/>
    <w:rsid w:val="20421347"/>
    <w:rsid w:val="20524589"/>
    <w:rsid w:val="206E140B"/>
    <w:rsid w:val="207F67C8"/>
    <w:rsid w:val="20E726C7"/>
    <w:rsid w:val="21843C8D"/>
    <w:rsid w:val="21921D0D"/>
    <w:rsid w:val="21BF6A73"/>
    <w:rsid w:val="21C81685"/>
    <w:rsid w:val="22C84412"/>
    <w:rsid w:val="22F07C5E"/>
    <w:rsid w:val="23244DE0"/>
    <w:rsid w:val="236A38D6"/>
    <w:rsid w:val="236D4403"/>
    <w:rsid w:val="23855006"/>
    <w:rsid w:val="23C53D72"/>
    <w:rsid w:val="243454F7"/>
    <w:rsid w:val="2471674B"/>
    <w:rsid w:val="24AC1531"/>
    <w:rsid w:val="25196751"/>
    <w:rsid w:val="2520372D"/>
    <w:rsid w:val="257F24BC"/>
    <w:rsid w:val="25AC6452"/>
    <w:rsid w:val="25B974F6"/>
    <w:rsid w:val="25CF7214"/>
    <w:rsid w:val="260C3011"/>
    <w:rsid w:val="26965165"/>
    <w:rsid w:val="26F20A31"/>
    <w:rsid w:val="27A22094"/>
    <w:rsid w:val="27DC78FF"/>
    <w:rsid w:val="27F154AD"/>
    <w:rsid w:val="28E82C5F"/>
    <w:rsid w:val="28FB65E3"/>
    <w:rsid w:val="29462DE1"/>
    <w:rsid w:val="29B64C00"/>
    <w:rsid w:val="29D137E8"/>
    <w:rsid w:val="2A7B189D"/>
    <w:rsid w:val="2A9C0B1B"/>
    <w:rsid w:val="2AF1287E"/>
    <w:rsid w:val="2B47325D"/>
    <w:rsid w:val="2B4F3741"/>
    <w:rsid w:val="2B591CE7"/>
    <w:rsid w:val="2B8539A2"/>
    <w:rsid w:val="2BCF4DA0"/>
    <w:rsid w:val="2C5F0401"/>
    <w:rsid w:val="2D62670F"/>
    <w:rsid w:val="2D7169DF"/>
    <w:rsid w:val="2D827DBA"/>
    <w:rsid w:val="2E007617"/>
    <w:rsid w:val="2EF820C1"/>
    <w:rsid w:val="2F395375"/>
    <w:rsid w:val="2FC66065"/>
    <w:rsid w:val="3022262C"/>
    <w:rsid w:val="307A07CD"/>
    <w:rsid w:val="30EB3EF2"/>
    <w:rsid w:val="31337E38"/>
    <w:rsid w:val="322155C0"/>
    <w:rsid w:val="32544A18"/>
    <w:rsid w:val="32D45A91"/>
    <w:rsid w:val="32F5419F"/>
    <w:rsid w:val="333B1A9A"/>
    <w:rsid w:val="33531A91"/>
    <w:rsid w:val="339E023F"/>
    <w:rsid w:val="347D55EF"/>
    <w:rsid w:val="34812FCB"/>
    <w:rsid w:val="34DA40E5"/>
    <w:rsid w:val="353E4E8E"/>
    <w:rsid w:val="357531B2"/>
    <w:rsid w:val="35F25212"/>
    <w:rsid w:val="361126D4"/>
    <w:rsid w:val="363650FE"/>
    <w:rsid w:val="366C1B10"/>
    <w:rsid w:val="366D65E0"/>
    <w:rsid w:val="36AC53C0"/>
    <w:rsid w:val="36AD2EE7"/>
    <w:rsid w:val="37DC3A83"/>
    <w:rsid w:val="38651CCB"/>
    <w:rsid w:val="39113C01"/>
    <w:rsid w:val="39644F4B"/>
    <w:rsid w:val="39916AF0"/>
    <w:rsid w:val="39921550"/>
    <w:rsid w:val="39CA2807"/>
    <w:rsid w:val="39CB0253"/>
    <w:rsid w:val="3B627CB4"/>
    <w:rsid w:val="3B743C3F"/>
    <w:rsid w:val="3BB50897"/>
    <w:rsid w:val="3C504A40"/>
    <w:rsid w:val="3C5F2ED5"/>
    <w:rsid w:val="3CCE25B2"/>
    <w:rsid w:val="3CF31B91"/>
    <w:rsid w:val="3D111306"/>
    <w:rsid w:val="3D3C7820"/>
    <w:rsid w:val="3D3F7BB8"/>
    <w:rsid w:val="3D48740D"/>
    <w:rsid w:val="3D9A797A"/>
    <w:rsid w:val="3DB30706"/>
    <w:rsid w:val="3DC267B0"/>
    <w:rsid w:val="3DDC41FB"/>
    <w:rsid w:val="3E557779"/>
    <w:rsid w:val="3E8545F8"/>
    <w:rsid w:val="3E9D38B1"/>
    <w:rsid w:val="3ED855D4"/>
    <w:rsid w:val="3F1C4E5C"/>
    <w:rsid w:val="3F29128E"/>
    <w:rsid w:val="3F977902"/>
    <w:rsid w:val="3FC34368"/>
    <w:rsid w:val="3FFD0D04"/>
    <w:rsid w:val="40657404"/>
    <w:rsid w:val="406B3E53"/>
    <w:rsid w:val="41394BE8"/>
    <w:rsid w:val="41736541"/>
    <w:rsid w:val="419F644D"/>
    <w:rsid w:val="41DA5DE2"/>
    <w:rsid w:val="423831F5"/>
    <w:rsid w:val="42395253"/>
    <w:rsid w:val="42581301"/>
    <w:rsid w:val="42941C9B"/>
    <w:rsid w:val="429B3C85"/>
    <w:rsid w:val="43B5000A"/>
    <w:rsid w:val="43B90FC7"/>
    <w:rsid w:val="443F1622"/>
    <w:rsid w:val="455D70B3"/>
    <w:rsid w:val="45B25BFB"/>
    <w:rsid w:val="46206B30"/>
    <w:rsid w:val="46902E7B"/>
    <w:rsid w:val="46CE3131"/>
    <w:rsid w:val="47905C32"/>
    <w:rsid w:val="47A622EC"/>
    <w:rsid w:val="47F6293F"/>
    <w:rsid w:val="48551C16"/>
    <w:rsid w:val="48873598"/>
    <w:rsid w:val="49035625"/>
    <w:rsid w:val="496C7027"/>
    <w:rsid w:val="49ED7295"/>
    <w:rsid w:val="4A595408"/>
    <w:rsid w:val="4AB80380"/>
    <w:rsid w:val="4AC960E9"/>
    <w:rsid w:val="4B0B04B0"/>
    <w:rsid w:val="4B375944"/>
    <w:rsid w:val="4B7D11FA"/>
    <w:rsid w:val="4BEF59B9"/>
    <w:rsid w:val="4C150FBA"/>
    <w:rsid w:val="4C52210E"/>
    <w:rsid w:val="4C970E98"/>
    <w:rsid w:val="4C9757A7"/>
    <w:rsid w:val="4CC32763"/>
    <w:rsid w:val="4D3A1520"/>
    <w:rsid w:val="4D8929FB"/>
    <w:rsid w:val="4D986B77"/>
    <w:rsid w:val="4DE67324"/>
    <w:rsid w:val="4E2B5EB0"/>
    <w:rsid w:val="4E6C1DDD"/>
    <w:rsid w:val="4E7C43B9"/>
    <w:rsid w:val="4F473A81"/>
    <w:rsid w:val="50191DB5"/>
    <w:rsid w:val="50443B1E"/>
    <w:rsid w:val="50AE2F33"/>
    <w:rsid w:val="50EA69AE"/>
    <w:rsid w:val="50FD59A5"/>
    <w:rsid w:val="5142327B"/>
    <w:rsid w:val="516C77CE"/>
    <w:rsid w:val="51D32E50"/>
    <w:rsid w:val="51D61EF6"/>
    <w:rsid w:val="5202664E"/>
    <w:rsid w:val="529A036B"/>
    <w:rsid w:val="52A402A5"/>
    <w:rsid w:val="53213917"/>
    <w:rsid w:val="53403A04"/>
    <w:rsid w:val="534158BD"/>
    <w:rsid w:val="534263C6"/>
    <w:rsid w:val="535B3F9E"/>
    <w:rsid w:val="536B1A18"/>
    <w:rsid w:val="537155BE"/>
    <w:rsid w:val="53D02297"/>
    <w:rsid w:val="548A7A02"/>
    <w:rsid w:val="54931516"/>
    <w:rsid w:val="54AB2D04"/>
    <w:rsid w:val="54DE6EBF"/>
    <w:rsid w:val="550567EF"/>
    <w:rsid w:val="55AF43F1"/>
    <w:rsid w:val="55CC45C9"/>
    <w:rsid w:val="5603479C"/>
    <w:rsid w:val="5647190A"/>
    <w:rsid w:val="5678193F"/>
    <w:rsid w:val="569F41A2"/>
    <w:rsid w:val="56A12D56"/>
    <w:rsid w:val="56B656B6"/>
    <w:rsid w:val="575F3AE6"/>
    <w:rsid w:val="577F432C"/>
    <w:rsid w:val="57CA524F"/>
    <w:rsid w:val="583152CE"/>
    <w:rsid w:val="583848AE"/>
    <w:rsid w:val="584C6F80"/>
    <w:rsid w:val="585F111F"/>
    <w:rsid w:val="58D61252"/>
    <w:rsid w:val="590D438F"/>
    <w:rsid w:val="596F4300"/>
    <w:rsid w:val="59B15B2F"/>
    <w:rsid w:val="5A1A1B2A"/>
    <w:rsid w:val="5A705865"/>
    <w:rsid w:val="5B0818FB"/>
    <w:rsid w:val="5B5529A4"/>
    <w:rsid w:val="5B6B6D49"/>
    <w:rsid w:val="5C0156FC"/>
    <w:rsid w:val="5CC41560"/>
    <w:rsid w:val="5D8E0035"/>
    <w:rsid w:val="5DCB1D21"/>
    <w:rsid w:val="5E7B5C98"/>
    <w:rsid w:val="5E8B1BDC"/>
    <w:rsid w:val="5F1917F3"/>
    <w:rsid w:val="5F813151"/>
    <w:rsid w:val="5FCC6511"/>
    <w:rsid w:val="60AD570E"/>
    <w:rsid w:val="60BF5D7C"/>
    <w:rsid w:val="60C63ADF"/>
    <w:rsid w:val="612A570B"/>
    <w:rsid w:val="613936FA"/>
    <w:rsid w:val="61546EFE"/>
    <w:rsid w:val="620B38C2"/>
    <w:rsid w:val="621164CD"/>
    <w:rsid w:val="62A51D97"/>
    <w:rsid w:val="62B66AFB"/>
    <w:rsid w:val="62C307D4"/>
    <w:rsid w:val="62F53B9C"/>
    <w:rsid w:val="63956573"/>
    <w:rsid w:val="639B1A12"/>
    <w:rsid w:val="640026DC"/>
    <w:rsid w:val="64606A68"/>
    <w:rsid w:val="64A137DB"/>
    <w:rsid w:val="64B03421"/>
    <w:rsid w:val="64E41ED7"/>
    <w:rsid w:val="64FB015D"/>
    <w:rsid w:val="65000502"/>
    <w:rsid w:val="654E55A2"/>
    <w:rsid w:val="656645A2"/>
    <w:rsid w:val="658630FD"/>
    <w:rsid w:val="659B1226"/>
    <w:rsid w:val="65B44120"/>
    <w:rsid w:val="65C2575B"/>
    <w:rsid w:val="66002026"/>
    <w:rsid w:val="6618187B"/>
    <w:rsid w:val="6618414C"/>
    <w:rsid w:val="668573A3"/>
    <w:rsid w:val="66AB28DC"/>
    <w:rsid w:val="67332E10"/>
    <w:rsid w:val="6738498B"/>
    <w:rsid w:val="67ED03C9"/>
    <w:rsid w:val="67ED1B33"/>
    <w:rsid w:val="6809519C"/>
    <w:rsid w:val="68727A20"/>
    <w:rsid w:val="69694C28"/>
    <w:rsid w:val="69CD64A5"/>
    <w:rsid w:val="6A402C68"/>
    <w:rsid w:val="6A446FDE"/>
    <w:rsid w:val="6AAC027C"/>
    <w:rsid w:val="6AFC68EB"/>
    <w:rsid w:val="6B5D480A"/>
    <w:rsid w:val="6BA736B2"/>
    <w:rsid w:val="6BAE6C8C"/>
    <w:rsid w:val="6C2410F3"/>
    <w:rsid w:val="6C5D623A"/>
    <w:rsid w:val="6CC13DA5"/>
    <w:rsid w:val="6D3B2A1F"/>
    <w:rsid w:val="6DA953DB"/>
    <w:rsid w:val="6DBD5A3E"/>
    <w:rsid w:val="6E4C5987"/>
    <w:rsid w:val="6E95615F"/>
    <w:rsid w:val="6E9E08F1"/>
    <w:rsid w:val="6EB70425"/>
    <w:rsid w:val="6EEA74D2"/>
    <w:rsid w:val="6F3D07FF"/>
    <w:rsid w:val="6FAC416A"/>
    <w:rsid w:val="6FB71065"/>
    <w:rsid w:val="702E2F92"/>
    <w:rsid w:val="70AF6AD3"/>
    <w:rsid w:val="7161057A"/>
    <w:rsid w:val="71B86D07"/>
    <w:rsid w:val="71CE3E19"/>
    <w:rsid w:val="71F53886"/>
    <w:rsid w:val="72197F67"/>
    <w:rsid w:val="723D2D95"/>
    <w:rsid w:val="727E6F0A"/>
    <w:rsid w:val="72BF37AA"/>
    <w:rsid w:val="72D95EB8"/>
    <w:rsid w:val="73415B37"/>
    <w:rsid w:val="73942357"/>
    <w:rsid w:val="73C31078"/>
    <w:rsid w:val="740F13FD"/>
    <w:rsid w:val="74202616"/>
    <w:rsid w:val="75E557E8"/>
    <w:rsid w:val="763E0152"/>
    <w:rsid w:val="76EA1012"/>
    <w:rsid w:val="76F0689B"/>
    <w:rsid w:val="76FB6966"/>
    <w:rsid w:val="77153D67"/>
    <w:rsid w:val="77534E09"/>
    <w:rsid w:val="77B3120C"/>
    <w:rsid w:val="78244D05"/>
    <w:rsid w:val="782C28A7"/>
    <w:rsid w:val="7856759F"/>
    <w:rsid w:val="78681BA9"/>
    <w:rsid w:val="78A36189"/>
    <w:rsid w:val="7929744E"/>
    <w:rsid w:val="79A10537"/>
    <w:rsid w:val="79A75FA3"/>
    <w:rsid w:val="79F85634"/>
    <w:rsid w:val="7A1750DB"/>
    <w:rsid w:val="7A6E32C3"/>
    <w:rsid w:val="7ABD5D84"/>
    <w:rsid w:val="7B95573E"/>
    <w:rsid w:val="7BAC1950"/>
    <w:rsid w:val="7C745605"/>
    <w:rsid w:val="7CBF4F18"/>
    <w:rsid w:val="7D4D49B8"/>
    <w:rsid w:val="7DD76698"/>
    <w:rsid w:val="7EFC40C6"/>
    <w:rsid w:val="7F183EFE"/>
    <w:rsid w:val="7FA224A6"/>
    <w:rsid w:val="7FBC5FED"/>
    <w:rsid w:val="7FC70142"/>
    <w:rsid w:val="7FE520C8"/>
    <w:rsid w:val="7FF40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 w:afterLines="0" w:afterAutospacing="0"/>
    </w:pPr>
  </w:style>
  <w:style w:type="paragraph" w:styleId="3">
    <w:name w:val="Body Text Indent 2"/>
    <w:basedOn w:val="1"/>
    <w:qFormat/>
    <w:uiPriority w:val="0"/>
    <w:pPr>
      <w:spacing w:afterLines="0" w:afterAutospacing="0" w:line="560" w:lineRule="exact"/>
      <w:ind w:left="0" w:leftChars="0"/>
    </w:pPr>
  </w:style>
  <w:style w:type="paragraph" w:styleId="4">
    <w:name w:val="footer"/>
    <w:basedOn w:val="1"/>
    <w:next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sz w:val="24"/>
      <w:szCs w:val="24"/>
    </w:rPr>
  </w:style>
  <w:style w:type="character" w:styleId="9">
    <w:name w:val="Strong"/>
    <w:qFormat/>
    <w:uiPriority w:val="0"/>
    <w:rPr>
      <w:b/>
      <w:bCs/>
    </w:rPr>
  </w:style>
  <w:style w:type="paragraph" w:customStyle="1" w:styleId="10">
    <w:name w:val="List Paragraph1"/>
    <w:basedOn w:val="1"/>
    <w:qFormat/>
    <w:uiPriority w:val="99"/>
    <w:pPr>
      <w:ind w:firstLine="420" w:firstLineChars="200"/>
    </w:pPr>
    <w:rPr>
      <w:rFonts w:ascii="Yu Mincho Light" w:hAnsi="Yu Mincho Light" w:cs="Yu Mincho Light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chart" Target="charts/chart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package" Target="../embeddings/Workbook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400" b="1" i="0" u="none" strike="noStrike" kern="1200" baseline="0">
                <a:solidFill>
                  <a:schemeClr val="tx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t>主动公开信息数量</a:t>
            </a: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系列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strRef>
              <c:f>Sheet1!$A$2:$A$4</c:f>
              <c:strCache>
                <c:ptCount val="3"/>
                <c:pt idx="0">
                  <c:v>2022年</c:v>
                </c:pt>
                <c:pt idx="1">
                  <c:v>2023年</c:v>
                </c:pt>
                <c:pt idx="2">
                  <c:v>2024年</c:v>
                </c:pt>
              </c:strCache>
            </c:strRef>
          </c:cat>
          <c:val>
            <c:numRef>
              <c:f>Sheet1!$B$2:$B$4</c:f>
              <c:numCache>
                <c:formatCode>General</c:formatCode>
                <c:ptCount val="3"/>
                <c:pt idx="0">
                  <c:v>117</c:v>
                </c:pt>
                <c:pt idx="1">
                  <c:v>187</c:v>
                </c:pt>
                <c:pt idx="2">
                  <c:v>153</c:v>
                </c:pt>
              </c:numCache>
            </c:numRef>
          </c:val>
        </c:ser>
        <c:ser>
          <c:idx val="1"/>
          <c:order val="1"/>
          <c:tx>
            <c:strRef>
              <c:f>Sheet1!#REF!</c:f>
              <c:strCache>
                <c:ptCount val="1"/>
                <c:pt idx="0">
                  <c:v/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strRef>
              <c:f>Sheet1!$A$2:$A$4</c:f>
              <c:strCache>
                <c:ptCount val="3"/>
                <c:pt idx="0">
                  <c:v>2022年</c:v>
                </c:pt>
                <c:pt idx="1">
                  <c:v>2023年</c:v>
                </c:pt>
                <c:pt idx="2">
                  <c:v>2024年</c:v>
                </c:pt>
              </c:strCache>
            </c:strRef>
          </c:cat>
          <c:val>
            <c:numRef>
              <c:f>Sheet1!#REF!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</c:ser>
        <c:ser>
          <c:idx val="2"/>
          <c:order val="2"/>
          <c:tx>
            <c:strRef>
              <c:f>Sheet1!#REF!</c:f>
              <c:strCache>
                <c:ptCount val="1"/>
                <c:pt idx="0">
                  <c:v/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strRef>
              <c:f>Sheet1!$A$2:$A$4</c:f>
              <c:strCache>
                <c:ptCount val="3"/>
                <c:pt idx="0">
                  <c:v>2022年</c:v>
                </c:pt>
                <c:pt idx="1">
                  <c:v>2023年</c:v>
                </c:pt>
                <c:pt idx="2">
                  <c:v>2024年</c:v>
                </c:pt>
              </c:strCache>
            </c:strRef>
          </c:cat>
          <c:val>
            <c:numRef>
              <c:f>Sheet1!#REF!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46"/>
        <c:overlap val="-28"/>
        <c:axId val="58553287"/>
        <c:axId val="337367895"/>
      </c:barChart>
      <c:catAx>
        <c:axId val="58553287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337367895"/>
        <c:crosses val="autoZero"/>
        <c:auto val="1"/>
        <c:lblAlgn val="ctr"/>
        <c:lblOffset val="100"/>
        <c:noMultiLvlLbl val="0"/>
      </c:catAx>
      <c:valAx>
        <c:axId val="33736789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lt1">
                  <a:lumMod val="902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58553287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100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10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0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1">
      <cs:styleClr val="auto"/>
    </cs:fillRef>
    <cs:effectRef idx="0"/>
    <cs:fontRef idx="minor">
      <a:schemeClr val="dk1"/>
    </cs:fontRef>
    <cs:spPr>
      <a:ln>
        <a:noFill/>
      </a:ln>
      <a:effectLst/>
    </cs:spPr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02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75000"/>
        <a:lumOff val="25000"/>
      </a:schemeClr>
    </cs:fontRef>
    <cs:defRPr sz="1400" b="1" kern="120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2826</Words>
  <Characters>2946</Characters>
  <Lines>0</Lines>
  <Paragraphs>0</Paragraphs>
  <TotalTime>17</TotalTime>
  <ScaleCrop>false</ScaleCrop>
  <LinksUpToDate>false</LinksUpToDate>
  <CharactersWithSpaces>2962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2021-12-27T17:33:00Z</dcterms:created>
  <dc:creator>Administrator</dc:creator>
  <cp:lastModifiedBy>崔治国</cp:lastModifiedBy>
  <dcterms:modified xsi:type="dcterms:W3CDTF">2025-01-24T07:28:07Z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8014809B1B22400E91C11812E805246B</vt:lpwstr>
  </property>
  <property fmtid="{D5CDD505-2E9C-101B-9397-08002B2CF9AE}" pid="4" name="KSOTemplateDocerSaveRecord">
    <vt:lpwstr>eyJoZGlkIjoiMjUxYzdmOGMxNzg2ZDdhNTE5MTA5Nzk1MDkwMGJkOWUiLCJ1c2VySWQiOiIzMTU3NTE2NDQifQ==</vt:lpwstr>
  </property>
</Properties>
</file>