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eastAsia" w:ascii="微软雅黑" w:hAnsi="微软雅黑" w:eastAsia="微软雅黑" w:cs="微软雅黑"/>
          <w:b/>
          <w:color w:val="000000" w:themeColor="text1"/>
          <w:sz w:val="44"/>
          <w:szCs w:val="44"/>
          <w:lang w:eastAsia="zh-CN"/>
          <w14:textFill>
            <w14:solidFill>
              <w14:schemeClr w14:val="tx1"/>
            </w14:solidFill>
          </w14:textFill>
        </w:rPr>
      </w:pPr>
      <w:r>
        <w:rPr>
          <w:rFonts w:hint="eastAsia" w:ascii="微软雅黑" w:hAnsi="微软雅黑" w:eastAsia="微软雅黑" w:cs="微软雅黑"/>
          <w:b/>
          <w:color w:val="000000" w:themeColor="text1"/>
          <w:sz w:val="44"/>
          <w:szCs w:val="44"/>
          <w:lang w:eastAsia="zh-CN"/>
          <w14:textFill>
            <w14:solidFill>
              <w14:schemeClr w14:val="tx1"/>
            </w14:solidFill>
          </w14:textFill>
        </w:rPr>
        <w:t>济宁市城市管理局</w:t>
      </w:r>
    </w:p>
    <w:p>
      <w:pPr>
        <w:spacing w:line="590" w:lineRule="exact"/>
        <w:ind w:right="-100" w:rightChars="-50"/>
        <w:jc w:val="center"/>
        <w:rPr>
          <w:rFonts w:hint="eastAsia" w:ascii="微软雅黑" w:hAnsi="微软雅黑" w:eastAsia="微软雅黑" w:cs="微软雅黑"/>
          <w:b/>
          <w:color w:val="000000" w:themeColor="text1"/>
          <w:sz w:val="44"/>
          <w:szCs w:val="44"/>
          <w14:textFill>
            <w14:solidFill>
              <w14:schemeClr w14:val="tx1"/>
            </w14:solidFill>
          </w14:textFill>
        </w:rPr>
      </w:pPr>
      <w:r>
        <w:rPr>
          <w:rFonts w:hint="eastAsia" w:ascii="微软雅黑" w:hAnsi="微软雅黑" w:eastAsia="微软雅黑" w:cs="微软雅黑"/>
          <w:b/>
          <w:color w:val="000000" w:themeColor="text1"/>
          <w:sz w:val="44"/>
          <w:szCs w:val="44"/>
          <w14:textFill>
            <w14:solidFill>
              <w14:schemeClr w14:val="tx1"/>
            </w14:solidFill>
          </w14:textFill>
        </w:rPr>
        <w:t>2021年政府信息公开工作年度报告</w:t>
      </w:r>
    </w:p>
    <w:p>
      <w:pPr>
        <w:spacing w:line="590" w:lineRule="exact"/>
        <w:ind w:right="-100" w:rightChars="-50" w:firstLine="640" w:firstLineChars="200"/>
        <w:rPr>
          <w:rFonts w:hint="eastAsia" w:ascii="微软雅黑" w:hAnsi="微软雅黑" w:eastAsia="微软雅黑" w:cs="微软雅黑"/>
          <w:b/>
          <w:color w:val="000000" w:themeColor="text1"/>
          <w:sz w:val="32"/>
          <w:szCs w:val="32"/>
          <w14:textFill>
            <w14:solidFill>
              <w14:schemeClr w14:val="tx1"/>
            </w14:solidFill>
          </w14:textFill>
        </w:rPr>
      </w:pP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本报告由</w:t>
      </w:r>
      <w:r>
        <w:rPr>
          <w:rFonts w:hint="eastAsia" w:ascii="微软雅黑" w:hAnsi="微软雅黑" w:eastAsia="微软雅黑" w:cs="微软雅黑"/>
          <w:b/>
          <w:color w:val="000000" w:themeColor="text1"/>
          <w:sz w:val="32"/>
          <w:szCs w:val="32"/>
          <w:lang w:eastAsia="zh-CN"/>
          <w14:textFill>
            <w14:solidFill>
              <w14:schemeClr w14:val="tx1"/>
            </w14:solidFill>
          </w14:textFill>
        </w:rPr>
        <w:t>济宁市城市管理局</w:t>
      </w:r>
      <w:r>
        <w:rPr>
          <w:rFonts w:hint="eastAsia" w:ascii="微软雅黑" w:hAnsi="微软雅黑" w:eastAsia="微软雅黑" w:cs="微软雅黑"/>
          <w:b/>
          <w:color w:val="000000" w:themeColor="text1"/>
          <w:sz w:val="32"/>
          <w:szCs w:val="32"/>
          <w14:textFill>
            <w14:solidFill>
              <w14:schemeClr w14:val="tx1"/>
            </w14:solidFill>
          </w14:textFill>
        </w:rPr>
        <w:t>按照《中华人民共和国政府信息公开条例》（以下简称《条例》）和《中华人民共和国政府信息公开工作年度报告格式》（国办公开办函〔2021〕30号）要求编制。</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本报告所列数据的统计期限自2021年1月1日起至2021年12月31日止。本报告电子版可在“中国·济宁”政府门户网站（具体网址）查阅或下载。如对本报告有疑问，请与</w:t>
      </w:r>
      <w:r>
        <w:rPr>
          <w:rFonts w:hint="eastAsia" w:ascii="微软雅黑" w:hAnsi="微软雅黑" w:eastAsia="微软雅黑" w:cs="微软雅黑"/>
          <w:b/>
          <w:color w:val="000000" w:themeColor="text1"/>
          <w:sz w:val="32"/>
          <w:szCs w:val="32"/>
          <w:lang w:eastAsia="zh-CN"/>
          <w14:textFill>
            <w14:solidFill>
              <w14:schemeClr w14:val="tx1"/>
            </w14:solidFill>
          </w14:textFill>
        </w:rPr>
        <w:t>济宁市城市管理局</w:t>
      </w:r>
      <w:r>
        <w:rPr>
          <w:rFonts w:hint="eastAsia" w:ascii="微软雅黑" w:hAnsi="微软雅黑" w:eastAsia="微软雅黑" w:cs="微软雅黑"/>
          <w:b/>
          <w:color w:val="000000" w:themeColor="text1"/>
          <w:sz w:val="32"/>
          <w:szCs w:val="32"/>
          <w14:textFill>
            <w14:solidFill>
              <w14:schemeClr w14:val="tx1"/>
            </w14:solidFill>
          </w14:textFill>
        </w:rPr>
        <w:t>联系（地址：</w:t>
      </w:r>
      <w:r>
        <w:rPr>
          <w:rFonts w:hint="eastAsia" w:ascii="微软雅黑" w:hAnsi="微软雅黑" w:eastAsia="微软雅黑" w:cs="微软雅黑"/>
          <w:b/>
          <w:color w:val="000000" w:themeColor="text1"/>
          <w:sz w:val="32"/>
          <w:szCs w:val="32"/>
          <w:lang w:eastAsia="zh-CN"/>
          <w14:textFill>
            <w14:solidFill>
              <w14:schemeClr w14:val="tx1"/>
            </w14:solidFill>
          </w14:textFill>
        </w:rPr>
        <w:t>济宁市火炬路</w:t>
      </w:r>
      <w:r>
        <w:rPr>
          <w:rFonts w:hint="eastAsia" w:ascii="微软雅黑" w:hAnsi="微软雅黑" w:eastAsia="微软雅黑" w:cs="微软雅黑"/>
          <w:b/>
          <w:color w:val="000000" w:themeColor="text1"/>
          <w:sz w:val="32"/>
          <w:szCs w:val="32"/>
          <w:lang w:val="en-US" w:eastAsia="zh-CN"/>
          <w14:textFill>
            <w14:solidFill>
              <w14:schemeClr w14:val="tx1"/>
            </w14:solidFill>
          </w14:textFill>
        </w:rPr>
        <w:t>7号</w:t>
      </w:r>
      <w:r>
        <w:rPr>
          <w:rFonts w:hint="eastAsia" w:ascii="微软雅黑" w:hAnsi="微软雅黑" w:eastAsia="微软雅黑" w:cs="微软雅黑"/>
          <w:b/>
          <w:color w:val="000000" w:themeColor="text1"/>
          <w:sz w:val="32"/>
          <w:szCs w:val="32"/>
          <w14:textFill>
            <w14:solidFill>
              <w14:schemeClr w14:val="tx1"/>
            </w14:solidFill>
          </w14:textFill>
        </w:rPr>
        <w:t>，联系电话：0537-</w:t>
      </w:r>
      <w:r>
        <w:rPr>
          <w:rFonts w:hint="eastAsia" w:ascii="微软雅黑" w:hAnsi="微软雅黑" w:eastAsia="微软雅黑" w:cs="微软雅黑"/>
          <w:b/>
          <w:color w:val="000000" w:themeColor="text1"/>
          <w:sz w:val="32"/>
          <w:szCs w:val="32"/>
          <w:lang w:val="en-US" w:eastAsia="zh-CN"/>
          <w14:textFill>
            <w14:solidFill>
              <w14:schemeClr w14:val="tx1"/>
            </w14:solidFill>
          </w14:textFill>
        </w:rPr>
        <w:t>3160011</w:t>
      </w:r>
      <w:r>
        <w:rPr>
          <w:rFonts w:hint="eastAsia" w:ascii="微软雅黑" w:hAnsi="微软雅黑" w:eastAsia="微软雅黑" w:cs="微软雅黑"/>
          <w:b/>
          <w:color w:val="000000" w:themeColor="text1"/>
          <w:sz w:val="32"/>
          <w:szCs w:val="32"/>
          <w14:textFill>
            <w14:solidFill>
              <w14:schemeClr w14:val="tx1"/>
            </w14:solidFill>
          </w14:textFill>
        </w:rPr>
        <w:t>）。</w:t>
      </w:r>
    </w:p>
    <w:p>
      <w:pPr>
        <w:keepNext w:val="0"/>
        <w:keepLines w:val="0"/>
        <w:pageBreakBefore w:val="0"/>
        <w:numPr>
          <w:ilvl w:val="0"/>
          <w:numId w:val="1"/>
        </w:numPr>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总体情况</w:t>
      </w:r>
    </w:p>
    <w:p>
      <w:pPr>
        <w:pStyle w:val="5"/>
        <w:keepNext w:val="0"/>
        <w:keepLines w:val="0"/>
        <w:pageBreakBefore w:val="0"/>
        <w:widowControl/>
        <w:suppressLineNumbers w:val="0"/>
        <w:kinsoku/>
        <w:wordWrap w:val="0"/>
        <w:overflowPunct/>
        <w:topLinePunct w:val="0"/>
        <w:autoSpaceDE w:val="0"/>
        <w:autoSpaceDN/>
        <w:bidi w:val="0"/>
        <w:adjustRightInd/>
        <w:snapToGrid/>
        <w:spacing w:before="0" w:beforeAutospacing="0" w:after="0" w:afterAutospacing="0" w:line="600" w:lineRule="exact"/>
        <w:ind w:left="204" w:firstLine="640" w:firstLineChars="200"/>
        <w:textAlignment w:val="auto"/>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pP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2021年，在市委、市政府的坚强领导下，市城市管理局坚持以习近平新时代中国特色社会主义思想为指导，认真贯彻《中华人民共和国政府信息公开条例》、《山东省政府信息公开办法》等规定，按照中央、省、市有关政务公开工作部署要求，加强组织领导，明确工作责任，完善工作机制，扎实推进城管系统政府信息公开。以“公开是常态、不公开是特例”为原则，不断加大主动公开力度，规范信息公开内容，拓展信息公开渠道，加强政策解读质量，落实重大决</w:t>
      </w:r>
      <w:r>
        <w:rPr>
          <w:rFonts w:hint="eastAsia" w:ascii="微软雅黑" w:hAnsi="微软雅黑" w:eastAsia="微软雅黑" w:cs="微软雅黑"/>
          <w:b/>
          <w:color w:val="auto"/>
          <w:sz w:val="32"/>
          <w:szCs w:val="32"/>
          <w:lang w:val="en-US" w:eastAsia="zh-CN" w:bidi="ar-SA"/>
        </w:rPr>
        <w:t>策全过程</w:t>
      </w: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公开，完善监督保障机制，我局政务公开工作取得了良好成效。</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（一）主动公开情况</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（1）2021年，市城市管理局通过</w:t>
      </w:r>
      <w:r>
        <w:rPr>
          <w:rStyle w:val="8"/>
          <w:rFonts w:hint="eastAsia" w:ascii="微软雅黑" w:hAnsi="微软雅黑" w:eastAsia="微软雅黑" w:cs="微软雅黑"/>
          <w:i w:val="0"/>
          <w:iCs w:val="0"/>
          <w:caps w:val="0"/>
          <w:color w:val="000000"/>
          <w:spacing w:val="0"/>
          <w:sz w:val="31"/>
          <w:szCs w:val="31"/>
        </w:rPr>
        <w:t>济宁市政府信息公开平台</w:t>
      </w:r>
      <w:r>
        <w:rPr>
          <w:rFonts w:hint="eastAsia" w:ascii="微软雅黑" w:hAnsi="微软雅黑" w:eastAsia="微软雅黑" w:cs="微软雅黑"/>
          <w:b/>
          <w:color w:val="auto"/>
          <w:sz w:val="32"/>
          <w:szCs w:val="32"/>
          <w:lang w:val="en-US" w:eastAsia="zh-CN" w:bidi="ar-SA"/>
        </w:rPr>
        <w:t>共发布信息612件，其中部门文件2件；政策解读类文件4件（其中部门文件2件，规范性文件2件）；会议公开34件（其中全体会议5件，专题会议22件，部门会议7件）；事业单位招考5件；行政处罚和行政强制共298项（一般程序）；承办提案建议32件（人大建议4件、政协提案28件），均在规定的时间内答复，群众满意或基本满意率达到100%。</w:t>
      </w:r>
      <w:r>
        <w:rPr>
          <w:rFonts w:hint="eastAsia" w:ascii="微软雅黑" w:hAnsi="微软雅黑" w:eastAsia="微软雅黑" w:cs="微软雅黑"/>
          <w:b/>
          <w:color w:val="auto"/>
          <w:sz w:val="32"/>
          <w:szCs w:val="32"/>
          <w:lang w:val="en-US" w:eastAsia="zh-CN"/>
        </w:rPr>
        <w:t>2021年济宁市城市管理局门户网站刊发文稿1651篇，</w:t>
      </w:r>
      <w:r>
        <w:rPr>
          <w:rFonts w:hint="eastAsia" w:ascii="微软雅黑" w:hAnsi="微软雅黑" w:eastAsia="微软雅黑" w:cs="微软雅黑"/>
          <w:b/>
          <w:color w:val="auto"/>
          <w:sz w:val="32"/>
          <w:szCs w:val="32"/>
          <w:lang w:val="en-US" w:eastAsia="zh-CN" w:bidi="ar-SA"/>
        </w:rPr>
        <w:t>“网络问政”平台全年处理178件问政；“12345热线”全年累计答复办理3224项。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both"/>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drawing>
          <wp:inline distT="0" distB="0" distL="114300" distR="114300">
            <wp:extent cx="5270500" cy="4859655"/>
            <wp:effectExtent l="0" t="0" r="0" b="4445"/>
            <wp:docPr id="30" name="图片 30" descr="16424253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1642425308(1)"/>
                    <pic:cNvPicPr>
                      <a:picLocks noChangeAspect="1"/>
                    </pic:cNvPicPr>
                  </pic:nvPicPr>
                  <pic:blipFill>
                    <a:blip r:embed="rId6"/>
                    <a:stretch>
                      <a:fillRect/>
                    </a:stretch>
                  </pic:blipFill>
                  <pic:spPr>
                    <a:xfrm>
                      <a:off x="0" y="0"/>
                      <a:ext cx="5270500" cy="4859655"/>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overflowPunct/>
        <w:topLinePunct w:val="0"/>
        <w:autoSpaceDN/>
        <w:bidi w:val="0"/>
        <w:adjustRightInd/>
        <w:snapToGrid/>
        <w:spacing w:before="0" w:beforeAutospacing="0" w:after="0" w:afterAutospacing="0" w:line="600" w:lineRule="exact"/>
        <w:ind w:left="0" w:right="0" w:firstLine="640" w:firstLineChars="200"/>
        <w:jc w:val="both"/>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（2）2021年，市城市管理局通过微信公众号发布政策信息和工作动态600余条。市局网站刊发稿件1650余篇。</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3）2021年，市城市管理局通过齐鲁晚报、济宁日报、济宁晚报等本地主流报刊登载我局工作通讯等各类信息1069篇，其中，在省以上新闻媒体刊登新闻稿件40余篇。通过济宁电视台“城管零距离”等栏目播发工作视频102条。</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drawing>
          <wp:inline distT="0" distB="0" distL="114300" distR="114300">
            <wp:extent cx="2943225" cy="4587240"/>
            <wp:effectExtent l="0" t="0" r="13335" b="0"/>
            <wp:docPr id="1" name="图片 1" descr="微信图片_20220118112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20118112532"/>
                    <pic:cNvPicPr>
                      <a:picLocks noChangeAspect="1"/>
                    </pic:cNvPicPr>
                  </pic:nvPicPr>
                  <pic:blipFill>
                    <a:blip r:embed="rId7"/>
                    <a:stretch>
                      <a:fillRect/>
                    </a:stretch>
                  </pic:blipFill>
                  <pic:spPr>
                    <a:xfrm>
                      <a:off x="0" y="0"/>
                      <a:ext cx="2943225" cy="4587240"/>
                    </a:xfrm>
                    <a:prstGeom prst="rect">
                      <a:avLst/>
                    </a:prstGeom>
                  </pic:spPr>
                </pic:pic>
              </a:graphicData>
            </a:graphic>
          </wp:inline>
        </w:drawing>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ascii="微软雅黑" w:hAnsi="微软雅黑" w:eastAsia="微软雅黑" w:cs="微软雅黑"/>
          <w:b/>
          <w:color w:val="FF0000"/>
          <w:sz w:val="32"/>
          <w:szCs w:val="32"/>
          <w:lang w:val="en-US" w:eastAsia="zh-CN" w:bidi="ar-SA"/>
        </w:rPr>
      </w:pPr>
      <w:r>
        <w:rPr>
          <w:rFonts w:hint="eastAsia" w:ascii="微软雅黑" w:hAnsi="微软雅黑" w:eastAsia="微软雅黑" w:cs="微软雅黑"/>
        </w:rPr>
        <w:drawing>
          <wp:inline distT="0" distB="0" distL="114300" distR="114300">
            <wp:extent cx="5156200" cy="3473450"/>
            <wp:effectExtent l="0" t="0" r="0" b="6350"/>
            <wp:docPr id="3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5"/>
                    <pic:cNvPicPr>
                      <a:picLocks noChangeAspect="1"/>
                    </pic:cNvPicPr>
                  </pic:nvPicPr>
                  <pic:blipFill>
                    <a:blip r:embed="rId8"/>
                    <a:stretch>
                      <a:fillRect/>
                    </a:stretch>
                  </pic:blipFill>
                  <pic:spPr>
                    <a:xfrm>
                      <a:off x="0" y="0"/>
                      <a:ext cx="5156200" cy="3473450"/>
                    </a:xfrm>
                    <a:prstGeom prst="rect">
                      <a:avLst/>
                    </a:prstGeom>
                    <a:noFill/>
                    <a:ln>
                      <a:noFill/>
                    </a:ln>
                  </pic:spPr>
                </pic:pic>
              </a:graphicData>
            </a:graphic>
          </wp:inline>
        </w:drawing>
      </w:r>
    </w:p>
    <w:p>
      <w:pPr>
        <w:keepNext w:val="0"/>
        <w:keepLines w:val="0"/>
        <w:pageBreakBefore w:val="0"/>
        <w:kinsoku/>
        <w:overflowPunct/>
        <w:topLinePunct w:val="0"/>
        <w:autoSpaceDN/>
        <w:bidi w:val="0"/>
        <w:adjustRightInd/>
        <w:snapToGrid/>
        <w:spacing w:line="240" w:lineRule="auto"/>
        <w:ind w:right="-100" w:rightChars="-50"/>
        <w:textAlignment w:val="auto"/>
        <w:rPr>
          <w:rFonts w:hint="eastAsia" w:ascii="微软雅黑" w:hAnsi="微软雅黑" w:eastAsia="微软雅黑" w:cs="微软雅黑"/>
          <w:b/>
          <w:color w:val="0000FF"/>
          <w:sz w:val="32"/>
          <w:szCs w:val="32"/>
          <w:lang w:eastAsia="zh-CN"/>
        </w:rPr>
      </w:pPr>
      <w:r>
        <w:rPr>
          <w:rFonts w:hint="eastAsia" w:ascii="微软雅黑" w:hAnsi="微软雅黑" w:eastAsia="微软雅黑" w:cs="微软雅黑"/>
          <w:b/>
          <w:color w:val="0000FF"/>
          <w:sz w:val="32"/>
          <w:szCs w:val="32"/>
          <w:lang w:eastAsia="zh-CN"/>
        </w:rPr>
        <w:drawing>
          <wp:inline distT="0" distB="0" distL="114300" distR="114300">
            <wp:extent cx="5360035" cy="4373245"/>
            <wp:effectExtent l="0" t="0" r="12065" b="8255"/>
            <wp:docPr id="2" name="图片 2" descr="16424240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642424068(1)"/>
                    <pic:cNvPicPr>
                      <a:picLocks noChangeAspect="1"/>
                    </pic:cNvPicPr>
                  </pic:nvPicPr>
                  <pic:blipFill>
                    <a:blip r:embed="rId9"/>
                    <a:srcRect t="2763" b="26142"/>
                    <a:stretch>
                      <a:fillRect/>
                    </a:stretch>
                  </pic:blipFill>
                  <pic:spPr>
                    <a:xfrm>
                      <a:off x="0" y="0"/>
                      <a:ext cx="5360035" cy="4373245"/>
                    </a:xfrm>
                    <a:prstGeom prst="rect">
                      <a:avLst/>
                    </a:prstGeom>
                  </pic:spPr>
                </pic:pic>
              </a:graphicData>
            </a:graphic>
          </wp:inline>
        </w:drawing>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（二）依申请公开情况</w:t>
      </w:r>
    </w:p>
    <w:p>
      <w:pPr>
        <w:keepNext w:val="0"/>
        <w:keepLines w:val="0"/>
        <w:pageBreakBefore w:val="0"/>
        <w:numPr>
          <w:ilvl w:val="0"/>
          <w:numId w:val="0"/>
        </w:numPr>
        <w:kinsoku/>
        <w:overflowPunct/>
        <w:topLinePunct w:val="0"/>
        <w:autoSpaceDN/>
        <w:bidi w:val="0"/>
        <w:adjustRightInd/>
        <w:snapToGrid/>
        <w:spacing w:line="600" w:lineRule="exact"/>
        <w:ind w:firstLine="600" w:firstLineChars="200"/>
        <w:textAlignment w:val="auto"/>
        <w:rPr>
          <w:rFonts w:hint="eastAsia" w:ascii="微软雅黑" w:hAnsi="微软雅黑" w:eastAsia="微软雅黑" w:cs="微软雅黑"/>
          <w:b/>
          <w:color w:val="000000"/>
          <w:sz w:val="30"/>
          <w:szCs w:val="30"/>
          <w:lang w:val="en-US" w:eastAsia="zh-CN"/>
        </w:rPr>
      </w:pPr>
      <w:r>
        <w:rPr>
          <w:rFonts w:hint="eastAsia" w:ascii="微软雅黑" w:hAnsi="微软雅黑" w:eastAsia="微软雅黑" w:cs="微软雅黑"/>
          <w:b/>
          <w:color w:val="000000"/>
          <w:sz w:val="30"/>
          <w:szCs w:val="30"/>
          <w:lang w:val="en-US" w:eastAsia="zh-CN"/>
        </w:rPr>
        <w:t>市城市管理局2021年共收到政府信息公开申请1件，上年结转政府信息公开申请1件，均已规范、按时完成答复。</w:t>
      </w: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585" w:lineRule="atLeast"/>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color w:val="000000"/>
          <w:sz w:val="31"/>
          <w:szCs w:val="31"/>
        </w:rPr>
        <w:t>市</w:t>
      </w:r>
      <w:r>
        <w:rPr>
          <w:rStyle w:val="8"/>
          <w:rFonts w:hint="eastAsia" w:ascii="微软雅黑" w:hAnsi="微软雅黑" w:eastAsia="微软雅黑" w:cs="微软雅黑"/>
          <w:color w:val="000000"/>
          <w:sz w:val="31"/>
          <w:szCs w:val="31"/>
          <w:lang w:eastAsia="zh-CN"/>
        </w:rPr>
        <w:t>城市管理</w:t>
      </w:r>
      <w:r>
        <w:rPr>
          <w:rStyle w:val="8"/>
          <w:rFonts w:hint="eastAsia" w:ascii="微软雅黑" w:hAnsi="微软雅黑" w:eastAsia="微软雅黑" w:cs="微软雅黑"/>
          <w:color w:val="000000"/>
          <w:sz w:val="31"/>
          <w:szCs w:val="31"/>
        </w:rPr>
        <w:t>局近三年收到及办理依申请公开情况</w:t>
      </w:r>
    </w:p>
    <w:tbl>
      <w:tblPr>
        <w:tblStyle w:val="6"/>
        <w:tblW w:w="829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fixed"/>
        <w:tblCellMar>
          <w:top w:w="0" w:type="dxa"/>
          <w:left w:w="0" w:type="dxa"/>
          <w:bottom w:w="0" w:type="dxa"/>
          <w:right w:w="0" w:type="dxa"/>
        </w:tblCellMar>
      </w:tblPr>
      <w:tblGrid>
        <w:gridCol w:w="1273"/>
        <w:gridCol w:w="2124"/>
        <w:gridCol w:w="1707"/>
        <w:gridCol w:w="3186"/>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rHeight w:val="555" w:hRule="atLeast"/>
        </w:trPr>
        <w:tc>
          <w:tcPr>
            <w:tcW w:w="1273" w:type="dxa"/>
            <w:tcBorders>
              <w:top w:val="single" w:color="auto" w:sz="6" w:space="0"/>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序号</w:t>
            </w:r>
          </w:p>
        </w:tc>
        <w:tc>
          <w:tcPr>
            <w:tcW w:w="2124"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收到申请数</w:t>
            </w:r>
          </w:p>
        </w:tc>
        <w:tc>
          <w:tcPr>
            <w:tcW w:w="1707"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办结率</w:t>
            </w:r>
          </w:p>
        </w:tc>
        <w:tc>
          <w:tcPr>
            <w:tcW w:w="3186" w:type="dxa"/>
            <w:tcBorders>
              <w:top w:val="single" w:color="auto" w:sz="6" w:space="0"/>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273"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2019年</w:t>
            </w:r>
          </w:p>
        </w:tc>
        <w:tc>
          <w:tcPr>
            <w:tcW w:w="212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1</w:t>
            </w:r>
          </w:p>
        </w:tc>
        <w:tc>
          <w:tcPr>
            <w:tcW w:w="1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100%</w:t>
            </w:r>
          </w:p>
        </w:tc>
        <w:tc>
          <w:tcPr>
            <w:tcW w:w="3186" w:type="dxa"/>
            <w:tcBorders>
              <w:top w:val="nil"/>
              <w:left w:val="nil"/>
              <w:bottom w:val="single" w:color="auto" w:sz="6" w:space="0"/>
              <w:right w:val="single" w:color="auto" w:sz="6" w:space="0"/>
            </w:tcBorders>
            <w:shd w:val="clear" w:color="auto" w:fill="auto"/>
            <w:tcMar>
              <w:left w:w="105" w:type="dxa"/>
              <w:right w:w="105" w:type="dxa"/>
            </w:tcMar>
            <w:vAlign w:val="center"/>
          </w:tcPr>
          <w:p>
            <w:pPr>
              <w:spacing w:line="240" w:lineRule="auto"/>
              <w:jc w:val="center"/>
              <w:rPr>
                <w:rFonts w:hint="eastAsia" w:ascii="微软雅黑" w:hAnsi="微软雅黑" w:eastAsia="微软雅黑" w:cs="微软雅黑"/>
                <w:sz w:val="24"/>
                <w:szCs w:val="24"/>
              </w:rPr>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273"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2020年</w:t>
            </w:r>
          </w:p>
        </w:tc>
        <w:tc>
          <w:tcPr>
            <w:tcW w:w="212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lang w:eastAsia="zh-CN"/>
              </w:rPr>
            </w:pPr>
            <w:r>
              <w:rPr>
                <w:rStyle w:val="8"/>
                <w:rFonts w:hint="eastAsia" w:ascii="微软雅黑" w:hAnsi="微软雅黑" w:eastAsia="微软雅黑" w:cs="微软雅黑"/>
                <w:b/>
                <w:bCs/>
                <w:color w:val="333333"/>
                <w:sz w:val="24"/>
                <w:szCs w:val="24"/>
                <w:lang w:val="en-US" w:eastAsia="zh-CN"/>
              </w:rPr>
              <w:t>3</w:t>
            </w:r>
          </w:p>
        </w:tc>
        <w:tc>
          <w:tcPr>
            <w:tcW w:w="1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center"/>
              <w:rPr>
                <w:rFonts w:hint="eastAsia" w:ascii="微软雅黑" w:hAnsi="微软雅黑" w:eastAsia="微软雅黑" w:cs="微软雅黑"/>
                <w:color w:val="333333"/>
                <w:sz w:val="24"/>
                <w:szCs w:val="24"/>
              </w:rPr>
            </w:pPr>
            <w:r>
              <w:rPr>
                <w:rStyle w:val="8"/>
                <w:rFonts w:hint="eastAsia" w:ascii="微软雅黑" w:hAnsi="微软雅黑" w:eastAsia="微软雅黑" w:cs="微软雅黑"/>
                <w:b/>
                <w:bCs/>
                <w:color w:val="333333"/>
                <w:sz w:val="24"/>
                <w:szCs w:val="24"/>
              </w:rPr>
              <w:t>100%</w:t>
            </w:r>
          </w:p>
        </w:tc>
        <w:tc>
          <w:tcPr>
            <w:tcW w:w="3186" w:type="dxa"/>
            <w:tcBorders>
              <w:top w:val="nil"/>
              <w:left w:val="nil"/>
              <w:bottom w:val="single" w:color="auto" w:sz="6" w:space="0"/>
              <w:right w:val="single" w:color="auto" w:sz="6" w:space="0"/>
            </w:tcBorders>
            <w:shd w:val="clear" w:color="auto" w:fill="auto"/>
            <w:tcMar>
              <w:left w:w="105" w:type="dxa"/>
              <w:right w:w="105" w:type="dxa"/>
            </w:tcMar>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微软雅黑" w:hAnsi="微软雅黑" w:eastAsia="微软雅黑" w:cs="微软雅黑"/>
                <w:sz w:val="24"/>
                <w:szCs w:val="24"/>
                <w:lang w:val="en-US" w:eastAsia="zh-CN"/>
              </w:rPr>
            </w:pPr>
            <w:r>
              <w:rPr>
                <w:rStyle w:val="8"/>
                <w:rFonts w:hint="eastAsia" w:ascii="微软雅黑" w:hAnsi="微软雅黑" w:eastAsia="微软雅黑" w:cs="微软雅黑"/>
                <w:color w:val="333333"/>
                <w:sz w:val="24"/>
                <w:szCs w:val="24"/>
                <w:lang w:val="en-US" w:eastAsia="zh-CN" w:bidi="ar-SA"/>
              </w:rPr>
              <w:t>12月26日收到的依申请公开转入2021年办理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273" w:type="dxa"/>
            <w:tcBorders>
              <w:top w:val="nil"/>
              <w:left w:val="single" w:color="auto" w:sz="6" w:space="0"/>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Style w:val="8"/>
                <w:rFonts w:hint="eastAsia" w:ascii="微软雅黑" w:hAnsi="微软雅黑" w:eastAsia="微软雅黑" w:cs="微软雅黑"/>
                <w:b/>
                <w:bCs/>
                <w:i w:val="0"/>
                <w:iCs w:val="0"/>
                <w:caps w:val="0"/>
                <w:color w:val="333333"/>
                <w:spacing w:val="0"/>
                <w:sz w:val="24"/>
                <w:szCs w:val="24"/>
              </w:rPr>
            </w:pPr>
            <w:r>
              <w:rPr>
                <w:rStyle w:val="8"/>
                <w:rFonts w:hint="eastAsia" w:ascii="微软雅黑" w:hAnsi="微软雅黑" w:eastAsia="微软雅黑" w:cs="微软雅黑"/>
                <w:b/>
                <w:bCs/>
                <w:color w:val="333333"/>
                <w:sz w:val="24"/>
                <w:szCs w:val="24"/>
              </w:rPr>
              <w:t>202</w:t>
            </w:r>
            <w:r>
              <w:rPr>
                <w:rStyle w:val="8"/>
                <w:rFonts w:hint="eastAsia" w:ascii="微软雅黑" w:hAnsi="微软雅黑" w:eastAsia="微软雅黑" w:cs="微软雅黑"/>
                <w:b/>
                <w:bCs/>
                <w:color w:val="333333"/>
                <w:sz w:val="24"/>
                <w:szCs w:val="24"/>
                <w:lang w:val="en-US" w:eastAsia="zh-CN"/>
              </w:rPr>
              <w:t>1</w:t>
            </w:r>
            <w:r>
              <w:rPr>
                <w:rStyle w:val="8"/>
                <w:rFonts w:hint="eastAsia" w:ascii="微软雅黑" w:hAnsi="微软雅黑" w:eastAsia="微软雅黑" w:cs="微软雅黑"/>
                <w:b/>
                <w:bCs/>
                <w:color w:val="333333"/>
                <w:sz w:val="24"/>
                <w:szCs w:val="24"/>
              </w:rPr>
              <w:t>年</w:t>
            </w:r>
          </w:p>
        </w:tc>
        <w:tc>
          <w:tcPr>
            <w:tcW w:w="2124"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Style w:val="8"/>
                <w:rFonts w:hint="eastAsia" w:ascii="微软雅黑" w:hAnsi="微软雅黑" w:eastAsia="微软雅黑" w:cs="微软雅黑"/>
                <w:b/>
                <w:bCs/>
                <w:i w:val="0"/>
                <w:iCs w:val="0"/>
                <w:caps w:val="0"/>
                <w:color w:val="333333"/>
                <w:spacing w:val="0"/>
                <w:sz w:val="24"/>
                <w:szCs w:val="24"/>
                <w:lang w:val="en-US" w:eastAsia="zh-CN"/>
              </w:rPr>
            </w:pPr>
            <w:r>
              <w:rPr>
                <w:rStyle w:val="8"/>
                <w:rFonts w:hint="eastAsia" w:ascii="微软雅黑" w:hAnsi="微软雅黑" w:eastAsia="微软雅黑" w:cs="微软雅黑"/>
                <w:b/>
                <w:bCs/>
                <w:color w:val="333333"/>
                <w:sz w:val="24"/>
                <w:szCs w:val="24"/>
              </w:rPr>
              <w:t>1</w:t>
            </w:r>
          </w:p>
        </w:tc>
        <w:tc>
          <w:tcPr>
            <w:tcW w:w="1707" w:type="dxa"/>
            <w:tcBorders>
              <w:top w:val="nil"/>
              <w:left w:val="nil"/>
              <w:bottom w:val="single" w:color="auto" w:sz="6" w:space="0"/>
              <w:right w:val="single" w:color="auto" w:sz="6" w:space="0"/>
            </w:tcBorders>
            <w:shd w:val="clear" w:color="auto" w:fill="auto"/>
            <w:tcMar>
              <w:left w:w="105" w:type="dxa"/>
              <w:right w:w="105" w:type="dxa"/>
            </w:tcMar>
            <w:vAlign w:val="center"/>
          </w:tcPr>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leftChars="0" w:right="0" w:rightChars="0"/>
              <w:jc w:val="center"/>
              <w:rPr>
                <w:rStyle w:val="8"/>
                <w:rFonts w:hint="eastAsia" w:ascii="微软雅黑" w:hAnsi="微软雅黑" w:eastAsia="微软雅黑" w:cs="微软雅黑"/>
                <w:b/>
                <w:bCs/>
                <w:i w:val="0"/>
                <w:iCs w:val="0"/>
                <w:caps w:val="0"/>
                <w:color w:val="333333"/>
                <w:spacing w:val="0"/>
                <w:sz w:val="24"/>
                <w:szCs w:val="24"/>
                <w:lang w:val="en-US" w:eastAsia="zh-CN"/>
              </w:rPr>
            </w:pPr>
            <w:r>
              <w:rPr>
                <w:rStyle w:val="8"/>
                <w:rFonts w:hint="eastAsia" w:ascii="微软雅黑" w:hAnsi="微软雅黑" w:eastAsia="微软雅黑" w:cs="微软雅黑"/>
                <w:b/>
                <w:bCs/>
                <w:color w:val="333333"/>
                <w:sz w:val="24"/>
                <w:szCs w:val="24"/>
              </w:rPr>
              <w:t>100%</w:t>
            </w:r>
          </w:p>
        </w:tc>
        <w:tc>
          <w:tcPr>
            <w:tcW w:w="3186" w:type="dxa"/>
            <w:tcBorders>
              <w:top w:val="outset" w:color="auto" w:sz="6" w:space="0"/>
              <w:left w:val="nil"/>
              <w:bottom w:val="outset" w:color="auto" w:sz="6" w:space="0"/>
              <w:right w:val="outset" w:color="auto" w:sz="6" w:space="0"/>
            </w:tcBorders>
            <w:shd w:val="clear" w:color="auto" w:fill="auto"/>
            <w:vAlign w:val="center"/>
          </w:tcPr>
          <w:p>
            <w:pPr>
              <w:spacing w:line="240" w:lineRule="auto"/>
              <w:jc w:val="center"/>
              <w:rPr>
                <w:rFonts w:hint="eastAsia" w:ascii="微软雅黑" w:hAnsi="微软雅黑" w:eastAsia="微软雅黑" w:cs="微软雅黑"/>
                <w:sz w:val="24"/>
                <w:szCs w:val="24"/>
              </w:rPr>
            </w:pPr>
          </w:p>
        </w:tc>
      </w:tr>
    </w:tbl>
    <w:p>
      <w:pPr>
        <w:rPr>
          <w:rFonts w:hint="eastAsia" w:ascii="微软雅黑" w:hAnsi="微软雅黑" w:eastAsia="微软雅黑" w:cs="微软雅黑"/>
        </w:rPr>
      </w:pP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（三）政府信息管理情况</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一是建立健全工作制度。根据中央、省、市出台的最新政务公开文件要求，主动适应政务公开新形势新要求，及时更新《济宁市城市管理局信息公开指南》，及时调整我局《主动公开基本目录》内容，明确政务公开的范围、政务公开的内容、政务公开的形式、政务公开的制度等内容，严格按照相关要求对政府信息进行公开。</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二是加强文件政策解读。在局网站设置“政策解读”专栏，用于发布规范性文件、部门文件以及对行业有关重大政策的相关解读。文件解读坚持“谁起草、谁解读”的原则，由我局政策法规科审核后再进行发布。为丰富政策解读内容，增强政策解读效果，采用图文解读、主要负责人解读、新闻媒体解读等多种形式，明确文件出台背景，解释文件内容，便于群众更准确地了解政策的内涵和要义。2021年通过局网站发布政策解读信息18条。</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（四）政府信息公开平台建设情况</w:t>
      </w:r>
    </w:p>
    <w:p>
      <w:pPr>
        <w:pStyle w:val="2"/>
        <w:keepNext w:val="0"/>
        <w:keepLines w:val="0"/>
        <w:pageBreakBefore w:val="0"/>
        <w:kinsoku/>
        <w:overflowPunct/>
        <w:topLinePunct w:val="0"/>
        <w:autoSpaceDN/>
        <w:bidi w:val="0"/>
        <w:adjustRightInd/>
        <w:snapToGrid/>
        <w:spacing w:line="600" w:lineRule="exact"/>
        <w:ind w:left="0" w:leftChars="0" w:firstLine="640" w:firstLineChars="200"/>
        <w:jc w:val="left"/>
        <w:textAlignment w:val="auto"/>
        <w:rPr>
          <w:rFonts w:hint="eastAsia" w:ascii="微软雅黑" w:hAnsi="微软雅黑" w:eastAsia="微软雅黑" w:cs="微软雅黑"/>
          <w:b/>
          <w:color w:val="auto"/>
          <w:sz w:val="32"/>
          <w:szCs w:val="32"/>
          <w:lang w:val="en-US" w:eastAsia="zh-CN"/>
        </w:rPr>
      </w:pPr>
      <w:r>
        <w:rPr>
          <w:rFonts w:hint="eastAsia" w:ascii="微软雅黑" w:hAnsi="微软雅黑" w:eastAsia="微软雅黑" w:cs="微软雅黑"/>
          <w:b/>
          <w:color w:val="auto"/>
          <w:sz w:val="32"/>
          <w:szCs w:val="32"/>
          <w:lang w:val="en-US" w:eastAsia="zh-CN"/>
        </w:rPr>
        <w:t>一是市城市管理局网站全新改版，通过对城市管理工作的概括分析，网站建设在整合原有栏目的基础上，新增“高层之声”、“媒体聚焦”、“基层党建”等专题栏目，提高了网站的可视性，提升用户的操作体验。2021年网站刊发文稿1651篇，全年网站访问量361754次。</w:t>
      </w:r>
    </w:p>
    <w:p>
      <w:pPr>
        <w:rPr>
          <w:rFonts w:hint="eastAsia" w:ascii="微软雅黑" w:hAnsi="微软雅黑" w:eastAsia="微软雅黑" w:cs="微软雅黑"/>
        </w:rPr>
      </w:pPr>
      <w:r>
        <w:rPr>
          <w:rFonts w:hint="eastAsia" w:ascii="微软雅黑" w:hAnsi="微软雅黑" w:eastAsia="微软雅黑" w:cs="微软雅黑"/>
        </w:rPr>
        <w:drawing>
          <wp:inline distT="0" distB="0" distL="114300" distR="114300">
            <wp:extent cx="5274310" cy="5987415"/>
            <wp:effectExtent l="0" t="0" r="8890" b="6985"/>
            <wp:docPr id="3" name="图片 3" descr="16424242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642424244(1)"/>
                    <pic:cNvPicPr>
                      <a:picLocks noChangeAspect="1"/>
                    </pic:cNvPicPr>
                  </pic:nvPicPr>
                  <pic:blipFill>
                    <a:blip r:embed="rId10"/>
                    <a:stretch>
                      <a:fillRect/>
                    </a:stretch>
                  </pic:blipFill>
                  <pic:spPr>
                    <a:xfrm>
                      <a:off x="0" y="0"/>
                      <a:ext cx="5274310" cy="5987415"/>
                    </a:xfrm>
                    <a:prstGeom prst="rect">
                      <a:avLst/>
                    </a:prstGeom>
                  </pic:spPr>
                </pic:pic>
              </a:graphicData>
            </a:graphic>
          </wp:inline>
        </w:drawing>
      </w:r>
    </w:p>
    <w:p>
      <w:pPr>
        <w:keepNext w:val="0"/>
        <w:keepLines w:val="0"/>
        <w:pageBreakBefore w:val="0"/>
        <w:kinsoku/>
        <w:overflowPunct/>
        <w:topLinePunct w:val="0"/>
        <w:autoSpaceDN/>
        <w:bidi w:val="0"/>
        <w:adjustRightInd/>
        <w:snapToGrid/>
        <w:spacing w:line="600" w:lineRule="exact"/>
        <w:ind w:firstLine="640" w:firstLineChars="200"/>
        <w:textAlignment w:val="auto"/>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pP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二是市城市管理局微信公众号积极发挥快捷、图文并茂的特点，在第一时间报道济宁城市管理最新动态，</w:t>
      </w:r>
      <w:r>
        <w:rPr>
          <w:rFonts w:hint="eastAsia" w:ascii="微软雅黑" w:hAnsi="微软雅黑" w:eastAsia="微软雅黑" w:cs="微软雅黑"/>
          <w:b/>
          <w:color w:val="auto"/>
          <w:sz w:val="32"/>
          <w:szCs w:val="32"/>
          <w:lang w:val="en-US" w:eastAsia="zh-CN" w:bidi="ar-SA"/>
        </w:rPr>
        <w:t>2021</w:t>
      </w: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 xml:space="preserve">全年共发布各类稿件601篇，基本实现日更，全面反映了我市城市管理领域的重点工作和工作亮点，特别是在今年的创城和防汛工作中发挥了重要作用。 </w:t>
      </w:r>
    </w:p>
    <w:p>
      <w:pPr>
        <w:keepNext w:val="0"/>
        <w:keepLines w:val="0"/>
        <w:pageBreakBefore w:val="0"/>
        <w:kinsoku/>
        <w:overflowPunct/>
        <w:topLinePunct w:val="0"/>
        <w:autoSpaceDN/>
        <w:bidi w:val="0"/>
        <w:adjustRightInd/>
        <w:snapToGrid/>
        <w:spacing w:line="600" w:lineRule="exact"/>
        <w:ind w:firstLine="640" w:firstLineChars="200"/>
        <w:textAlignment w:val="auto"/>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pP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目前，该公众号关注人数达到了4700人，年点击量达到了80余万人次，在全市形成较大影响。</w:t>
      </w:r>
    </w:p>
    <w:p>
      <w:pPr>
        <w:keepNext w:val="0"/>
        <w:keepLines w:val="0"/>
        <w:pageBreakBefore w:val="0"/>
        <w:kinsoku/>
        <w:overflowPunct/>
        <w:topLinePunct w:val="0"/>
        <w:autoSpaceDN/>
        <w:bidi w:val="0"/>
        <w:adjustRightInd/>
        <w:snapToGrid/>
        <w:spacing w:line="600" w:lineRule="exact"/>
        <w:ind w:firstLine="640" w:firstLineChars="200"/>
        <w:textAlignment w:val="auto"/>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pP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市城管局微信号利用评论留言功能，及时将市民对城市管理方面的评论和投诉转发到相关责任部门，对群众反映的问题第一时间予以回复和解决。</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000000" w:themeColor="text1"/>
          <w:sz w:val="32"/>
          <w:szCs w:val="32"/>
          <w14:textFill>
            <w14:solidFill>
              <w14:schemeClr w14:val="tx1"/>
            </w14:solidFill>
          </w14:textFill>
        </w:rPr>
      </w:pPr>
      <w:r>
        <w:rPr>
          <w:rFonts w:hint="eastAsia" w:ascii="微软雅黑" w:hAnsi="微软雅黑" w:eastAsia="微软雅黑" w:cs="微软雅黑"/>
          <w:b/>
          <w:color w:val="000000" w:themeColor="text1"/>
          <w:sz w:val="32"/>
          <w:szCs w:val="32"/>
          <w14:textFill>
            <w14:solidFill>
              <w14:schemeClr w14:val="tx1"/>
            </w14:solidFill>
          </w14:textFill>
        </w:rPr>
        <w:t>（五）监督保障情况</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一是加强组织领导。根据政务公开工作的最新要求，不断调整完善政务公开工作领导小组职责，由主要领导亲自抓，分管局领导重点抓，政务公开办公室负责日常工作，及时向机关科室传达最新工作要求，定期组织相关人员开展政务公开相关知识培训，保障信息公开工作有序开展。</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二是严格信息发布审核制度，实行“先审查，后公开”的原则，严格审定对外公布信息经过相关局领导把关后，方可对外发布。</w:t>
      </w:r>
    </w:p>
    <w:p>
      <w:pPr>
        <w:keepNext w:val="0"/>
        <w:keepLines w:val="0"/>
        <w:pageBreakBefore w:val="0"/>
        <w:kinsoku/>
        <w:overflowPunct/>
        <w:topLinePunct w:val="0"/>
        <w:autoSpaceDN/>
        <w:bidi w:val="0"/>
        <w:adjustRightInd/>
        <w:snapToGrid/>
        <w:spacing w:line="600" w:lineRule="exact"/>
        <w:ind w:right="-100" w:rightChars="-50" w:firstLine="640" w:firstLineChars="200"/>
        <w:textAlignment w:val="auto"/>
        <w:rPr>
          <w:rFonts w:hint="eastAsia" w:ascii="微软雅黑" w:hAnsi="微软雅黑" w:eastAsia="微软雅黑" w:cs="微软雅黑"/>
          <w:b/>
          <w:color w:val="auto"/>
          <w:sz w:val="32"/>
          <w:szCs w:val="32"/>
          <w:lang w:val="en-US" w:eastAsia="zh-CN" w:bidi="ar-SA"/>
        </w:rPr>
      </w:pPr>
      <w:r>
        <w:rPr>
          <w:rFonts w:hint="eastAsia" w:ascii="微软雅黑" w:hAnsi="微软雅黑" w:eastAsia="微软雅黑" w:cs="微软雅黑"/>
          <w:b/>
          <w:color w:val="auto"/>
          <w:sz w:val="32"/>
          <w:szCs w:val="32"/>
          <w:lang w:val="en-US" w:eastAsia="zh-CN" w:bidi="ar-SA"/>
        </w:rPr>
        <w:t>三是对照标准狠抓整改。对照国办第三方反馈问题清单、省对市政务公开考核指标、市政府政务公开考核指标相关要求，全面对照检查，分析政务公开工作中存在的问题和不足，及时进行整改，完善相关制度，不断提升我局政务公开标准化、规范化。</w:t>
      </w:r>
    </w:p>
    <w:p>
      <w:pPr>
        <w:spacing w:line="590" w:lineRule="exact"/>
        <w:ind w:right="-100" w:rightChars="-50" w:firstLine="640" w:firstLineChars="200"/>
        <w:rPr>
          <w:rFonts w:hint="eastAsia" w:ascii="微软雅黑" w:hAnsi="微软雅黑" w:eastAsia="微软雅黑" w:cs="微软雅黑"/>
          <w:b/>
          <w:color w:val="auto"/>
          <w:sz w:val="32"/>
          <w:szCs w:val="32"/>
          <w:lang w:val="en-US" w:eastAsia="zh-CN"/>
        </w:rPr>
      </w:pPr>
      <w:r>
        <w:rPr>
          <w:rFonts w:hint="eastAsia" w:ascii="微软雅黑" w:hAnsi="微软雅黑" w:eastAsia="微软雅黑" w:cs="微软雅黑"/>
          <w:b/>
          <w:color w:val="auto"/>
          <w:sz w:val="32"/>
          <w:szCs w:val="32"/>
        </w:rPr>
        <w:t>二、主动公开政府信息情况</w:t>
      </w:r>
    </w:p>
    <w:tbl>
      <w:tblPr>
        <w:tblStyle w:val="6"/>
        <w:tblW w:w="877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AEACE" w:themeFill="background1"/>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AEACE" w:themeFill="background1"/>
          <w:tblCellMar>
            <w:top w:w="0" w:type="dxa"/>
            <w:left w:w="0" w:type="dxa"/>
            <w:bottom w:w="0" w:type="dxa"/>
            <w:right w:w="0" w:type="dxa"/>
          </w:tblCellMar>
        </w:tblPrEx>
        <w:trPr>
          <w:trHeight w:val="340" w:hRule="atLeast"/>
          <w:jc w:val="center"/>
        </w:trPr>
        <w:tc>
          <w:tcPr>
            <w:tcW w:w="8773" w:type="dxa"/>
            <w:gridSpan w:val="4"/>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AEACE" w:themeFill="background1"/>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信息内容</w:t>
            </w:r>
          </w:p>
        </w:tc>
        <w:tc>
          <w:tcPr>
            <w:tcW w:w="2133"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本年制发件数</w:t>
            </w:r>
          </w:p>
        </w:tc>
        <w:tc>
          <w:tcPr>
            <w:tcW w:w="2216"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本年废止件数</w:t>
            </w:r>
          </w:p>
        </w:tc>
        <w:tc>
          <w:tcPr>
            <w:tcW w:w="1989"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AEACE" w:themeFill="background1"/>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规章</w:t>
            </w:r>
          </w:p>
        </w:tc>
        <w:tc>
          <w:tcPr>
            <w:tcW w:w="2133"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rPr>
              <w:t>0</w:t>
            </w:r>
          </w:p>
        </w:tc>
        <w:tc>
          <w:tcPr>
            <w:tcW w:w="2216"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rPr>
              <w:t>0</w:t>
            </w:r>
          </w:p>
        </w:tc>
        <w:tc>
          <w:tcPr>
            <w:tcW w:w="1989"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AEACE" w:themeFill="background1"/>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行政规范性文件</w:t>
            </w:r>
          </w:p>
        </w:tc>
        <w:tc>
          <w:tcPr>
            <w:tcW w:w="2133"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bidi="ar"/>
              </w:rPr>
              <w:t>0</w:t>
            </w:r>
          </w:p>
        </w:tc>
        <w:tc>
          <w:tcPr>
            <w:tcW w:w="2216"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bidi="ar"/>
              </w:rPr>
              <w:t>0</w:t>
            </w:r>
          </w:p>
        </w:tc>
        <w:tc>
          <w:tcPr>
            <w:tcW w:w="1989"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AEACE" w:themeFill="background1"/>
          <w:tblCellMar>
            <w:top w:w="0" w:type="dxa"/>
            <w:left w:w="0" w:type="dxa"/>
            <w:bottom w:w="0" w:type="dxa"/>
            <w:right w:w="0" w:type="dxa"/>
          </w:tblCellMar>
        </w:tblPrEx>
        <w:trPr>
          <w:trHeight w:val="340" w:hRule="atLeast"/>
          <w:jc w:val="center"/>
        </w:trPr>
        <w:tc>
          <w:tcPr>
            <w:tcW w:w="8773" w:type="dxa"/>
            <w:gridSpan w:val="4"/>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AEACE" w:themeFill="background1"/>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信息内容</w:t>
            </w:r>
          </w:p>
        </w:tc>
        <w:tc>
          <w:tcPr>
            <w:tcW w:w="6338" w:type="dxa"/>
            <w:gridSpan w:val="3"/>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行政许可</w:t>
            </w:r>
          </w:p>
        </w:tc>
        <w:tc>
          <w:tcPr>
            <w:tcW w:w="6338" w:type="dxa"/>
            <w:gridSpan w:val="3"/>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信息内容</w:t>
            </w:r>
          </w:p>
        </w:tc>
        <w:tc>
          <w:tcPr>
            <w:tcW w:w="6338" w:type="dxa"/>
            <w:gridSpan w:val="3"/>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行政处罚</w:t>
            </w:r>
          </w:p>
        </w:tc>
        <w:tc>
          <w:tcPr>
            <w:tcW w:w="6338" w:type="dxa"/>
            <w:gridSpan w:val="3"/>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bidi="ar"/>
              </w:rPr>
              <w:t>298（一般程序）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行政强制</w:t>
            </w:r>
          </w:p>
        </w:tc>
        <w:tc>
          <w:tcPr>
            <w:tcW w:w="6338" w:type="dxa"/>
            <w:gridSpan w:val="3"/>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773" w:type="dxa"/>
            <w:gridSpan w:val="4"/>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信息内容</w:t>
            </w:r>
          </w:p>
        </w:tc>
        <w:tc>
          <w:tcPr>
            <w:tcW w:w="6338" w:type="dxa"/>
            <w:gridSpan w:val="3"/>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2435" w:type="dxa"/>
            <w:shd w:val="clear" w:color="auto" w:fill="CAEACE" w:themeFill="background1"/>
            <w:tcMar>
              <w:left w:w="57" w:type="dxa"/>
              <w:right w:w="57" w:type="dxa"/>
            </w:tcMar>
            <w:vAlign w:val="center"/>
          </w:tcPr>
          <w:p>
            <w:pPr>
              <w:widowControl/>
              <w:spacing w:line="340" w:lineRule="exact"/>
              <w:jc w:val="center"/>
              <w:rPr>
                <w:rFonts w:hint="eastAsia" w:ascii="微软雅黑" w:hAnsi="微软雅黑" w:eastAsia="微软雅黑" w:cs="微软雅黑"/>
                <w:b/>
                <w:color w:val="auto"/>
                <w:sz w:val="24"/>
                <w:szCs w:val="24"/>
              </w:rPr>
            </w:pPr>
            <w:r>
              <w:rPr>
                <w:rFonts w:hint="eastAsia" w:ascii="微软雅黑" w:hAnsi="微软雅黑" w:eastAsia="微软雅黑" w:cs="微软雅黑"/>
                <w:b/>
                <w:color w:val="auto"/>
                <w:sz w:val="24"/>
                <w:szCs w:val="24"/>
                <w:lang w:bidi="ar"/>
              </w:rPr>
              <w:t>行政事业性收费</w:t>
            </w:r>
          </w:p>
        </w:tc>
        <w:tc>
          <w:tcPr>
            <w:tcW w:w="6338" w:type="dxa"/>
            <w:gridSpan w:val="3"/>
            <w:shd w:val="clear" w:color="auto" w:fill="CAEACE" w:themeFill="background1"/>
            <w:tcMar>
              <w:left w:w="57" w:type="dxa"/>
              <w:right w:w="57" w:type="dxa"/>
            </w:tcMar>
            <w:vAlign w:val="center"/>
          </w:tcPr>
          <w:p>
            <w:pPr>
              <w:spacing w:line="340" w:lineRule="exact"/>
              <w:jc w:val="center"/>
              <w:rPr>
                <w:rFonts w:hint="eastAsia" w:ascii="微软雅黑" w:hAnsi="微软雅黑" w:eastAsia="微软雅黑" w:cs="微软雅黑"/>
                <w:b/>
                <w:color w:val="auto"/>
                <w:sz w:val="24"/>
                <w:szCs w:val="24"/>
                <w:lang w:val="en-US" w:eastAsia="zh-CN"/>
              </w:rPr>
            </w:pPr>
            <w:r>
              <w:rPr>
                <w:rFonts w:hint="eastAsia" w:ascii="微软雅黑" w:hAnsi="微软雅黑" w:eastAsia="微软雅黑" w:cs="微软雅黑"/>
                <w:b/>
                <w:color w:val="auto"/>
                <w:sz w:val="24"/>
                <w:szCs w:val="24"/>
                <w:lang w:val="en-US" w:eastAsia="zh-CN"/>
              </w:rPr>
              <w:t>0</w:t>
            </w:r>
          </w:p>
        </w:tc>
      </w:tr>
    </w:tbl>
    <w:p>
      <w:pPr>
        <w:spacing w:before="62" w:beforeLines="10" w:after="62" w:afterLines="10" w:line="600" w:lineRule="exact"/>
        <w:ind w:firstLine="640" w:firstLineChars="200"/>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三、收到和处理政府信息公开申请情况</w:t>
      </w:r>
    </w:p>
    <w:tbl>
      <w:tblPr>
        <w:tblStyle w:val="6"/>
        <w:tblW w:w="88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（本列数据的勾稽关系为：第一项加第二项之和，等于第三项加第四项之和）</w:t>
            </w:r>
          </w:p>
        </w:tc>
        <w:tc>
          <w:tcPr>
            <w:tcW w:w="4229" w:type="dxa"/>
            <w:gridSpan w:val="7"/>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jc w:val="center"/>
              <w:rPr>
                <w:rFonts w:hint="eastAsia" w:ascii="微软雅黑" w:hAnsi="微软雅黑" w:eastAsia="微软雅黑" w:cs="微软雅黑"/>
                <w:b/>
                <w:sz w:val="21"/>
                <w:szCs w:val="21"/>
              </w:rPr>
            </w:pPr>
          </w:p>
        </w:tc>
        <w:tc>
          <w:tcPr>
            <w:tcW w:w="791" w:type="dxa"/>
            <w:vMerge w:val="restart"/>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自然人</w:t>
            </w:r>
          </w:p>
        </w:tc>
        <w:tc>
          <w:tcPr>
            <w:tcW w:w="2917" w:type="dxa"/>
            <w:gridSpan w:val="5"/>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法人或其他组织</w:t>
            </w:r>
          </w:p>
        </w:tc>
        <w:tc>
          <w:tcPr>
            <w:tcW w:w="521" w:type="dxa"/>
            <w:vMerge w:val="restart"/>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tcMar>
              <w:left w:w="108" w:type="dxa"/>
              <w:right w:w="108" w:type="dxa"/>
            </w:tcMar>
            <w:vAlign w:val="center"/>
          </w:tcPr>
          <w:p>
            <w:pPr>
              <w:spacing w:line="300" w:lineRule="exact"/>
              <w:rPr>
                <w:rFonts w:hint="eastAsia" w:ascii="微软雅黑" w:hAnsi="微软雅黑" w:eastAsia="微软雅黑" w:cs="微软雅黑"/>
                <w:b/>
                <w:sz w:val="21"/>
                <w:szCs w:val="21"/>
              </w:rPr>
            </w:pPr>
          </w:p>
        </w:tc>
        <w:tc>
          <w:tcPr>
            <w:tcW w:w="791"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商业</w:t>
            </w:r>
          </w:p>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企业</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科研</w:t>
            </w:r>
          </w:p>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机构</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社会公益组织</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法律服务机构</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其他</w:t>
            </w:r>
          </w:p>
        </w:tc>
        <w:tc>
          <w:tcPr>
            <w:tcW w:w="521"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一、本年新收政府信息公开申请数量</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r>
              <w:rPr>
                <w:rFonts w:hint="eastAsia" w:ascii="微软雅黑" w:hAnsi="微软雅黑" w:eastAsia="微软雅黑" w:cs="微软雅黑"/>
                <w:b/>
                <w:sz w:val="21"/>
                <w:szCs w:val="21"/>
                <w:lang w:bidi="ar"/>
              </w:rPr>
              <w:t> </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r>
              <w:rPr>
                <w:rFonts w:hint="eastAsia" w:ascii="微软雅黑" w:hAnsi="微软雅黑" w:eastAsia="微软雅黑" w:cs="微软雅黑"/>
                <w:b/>
                <w:sz w:val="21"/>
                <w:szCs w:val="21"/>
                <w:lang w:bidi="ar"/>
              </w:rPr>
              <w:t> </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r>
              <w:rPr>
                <w:rFonts w:hint="eastAsia" w:ascii="微软雅黑" w:hAnsi="微软雅黑" w:eastAsia="微软雅黑" w:cs="微软雅黑"/>
                <w:b/>
                <w:sz w:val="21"/>
                <w:szCs w:val="21"/>
                <w:lang w:bidi="ar"/>
              </w:rPr>
              <w:t> </w:t>
            </w:r>
          </w:p>
        </w:tc>
        <w:tc>
          <w:tcPr>
            <w:tcW w:w="521" w:type="dxa"/>
            <w:tcMar>
              <w:left w:w="57" w:type="dxa"/>
              <w:right w:w="57" w:type="dxa"/>
            </w:tcMa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二、上年结转政府信息公开申请数量</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1</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r>
              <w:rPr>
                <w:rFonts w:hint="eastAsia" w:ascii="微软雅黑" w:hAnsi="微软雅黑" w:eastAsia="微软雅黑" w:cs="微软雅黑"/>
                <w:b/>
                <w:sz w:val="21"/>
                <w:szCs w:val="21"/>
                <w:lang w:bidi="ar"/>
              </w:rPr>
              <w:t> </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r>
              <w:rPr>
                <w:rFonts w:hint="eastAsia" w:ascii="微软雅黑" w:hAnsi="微软雅黑" w:eastAsia="微软雅黑" w:cs="微软雅黑"/>
                <w:b/>
                <w:sz w:val="21"/>
                <w:szCs w:val="21"/>
                <w:lang w:bidi="ar"/>
              </w:rPr>
              <w:t> </w:t>
            </w:r>
          </w:p>
        </w:tc>
        <w:tc>
          <w:tcPr>
            <w:tcW w:w="521" w:type="dxa"/>
            <w:tcMar>
              <w:left w:w="57" w:type="dxa"/>
              <w:right w:w="57" w:type="dxa"/>
            </w:tcMa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三、本年度办理结果</w:t>
            </w:r>
          </w:p>
        </w:tc>
        <w:tc>
          <w:tcPr>
            <w:tcW w:w="3820" w:type="dxa"/>
            <w:gridSpan w:val="2"/>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（一）予以公开</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r>
              <w:rPr>
                <w:rFonts w:hint="eastAsia" w:ascii="微软雅黑" w:hAnsi="微软雅黑" w:eastAsia="微软雅黑" w:cs="微软雅黑"/>
                <w:b/>
                <w:sz w:val="21"/>
                <w:szCs w:val="21"/>
                <w:lang w:bidi="ar"/>
              </w:rPr>
              <w:t> </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r>
              <w:rPr>
                <w:rFonts w:hint="eastAsia" w:ascii="微软雅黑" w:hAnsi="微软雅黑" w:eastAsia="微软雅黑" w:cs="微软雅黑"/>
                <w:b/>
                <w:sz w:val="21"/>
                <w:szCs w:val="21"/>
                <w:lang w:bidi="ar"/>
              </w:rPr>
              <w:t> </w:t>
            </w:r>
          </w:p>
        </w:tc>
        <w:tc>
          <w:tcPr>
            <w:tcW w:w="521" w:type="dxa"/>
            <w:tcMar>
              <w:left w:w="57" w:type="dxa"/>
              <w:right w:w="57" w:type="dxa"/>
            </w:tcMa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3820" w:type="dxa"/>
            <w:gridSpan w:val="2"/>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（二）部分公开（区分处理的，只计这一情形，不计其他情形）</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restart"/>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（三）不予公开</w:t>
            </w: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1.属于国家秘密</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2.其他法律行政法规禁止公开</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3.危及“三安全一稳定”</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4.保护第三方合法权益</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5.属于三类内部事务信息</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6.属于四类过程性信息</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7.属于行政执法案卷</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8.属于行政查询事项</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restart"/>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（四）无法提供</w:t>
            </w: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1.本机关不掌握相关政府信息</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2.没有现成信息需要另行制作</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3.补正后申请内容仍不明确</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restart"/>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（五）不予处理</w:t>
            </w: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1.信访举报投诉类申请</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2.重复申请</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3.要求提供公开出版物</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4.无正当理由大量反复申请</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vAlign w:val="center"/>
          </w:tcPr>
          <w:p>
            <w:pPr>
              <w:widowControl/>
              <w:spacing w:line="300" w:lineRule="exac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5.要求行政机关确认或重新出具已获取信息</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restart"/>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（六）其他处理</w:t>
            </w:r>
          </w:p>
        </w:tc>
        <w:tc>
          <w:tcPr>
            <w:tcW w:w="2878" w:type="dxa"/>
            <w:tcMar>
              <w:left w:w="57" w:type="dxa"/>
              <w:right w:w="57" w:type="dxa"/>
            </w:tcMar>
            <w:vAlign w:val="center"/>
          </w:tcPr>
          <w:p>
            <w:pPr>
              <w:widowControl/>
              <w:spacing w:line="300" w:lineRule="exac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1.申请人无正当理由逾期不补正、行政机关不再处理其政府信息公开申请</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vAlign w:val="center"/>
          </w:tcPr>
          <w:p>
            <w:pPr>
              <w:widowControl/>
              <w:spacing w:line="300" w:lineRule="exac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2.申请人逾期未按收费通知要求缴纳费用、行政机关不再处理其政府信息公开申请</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942"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2878" w:type="dxa"/>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3.其他</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tcMar>
              <w:left w:w="57" w:type="dxa"/>
              <w:right w:w="57" w:type="dxa"/>
            </w:tcMar>
            <w:vAlign w:val="center"/>
          </w:tcPr>
          <w:p>
            <w:pPr>
              <w:spacing w:line="300" w:lineRule="exact"/>
              <w:rPr>
                <w:rFonts w:hint="eastAsia" w:ascii="微软雅黑" w:hAnsi="微软雅黑" w:eastAsia="微软雅黑" w:cs="微软雅黑"/>
                <w:b/>
                <w:sz w:val="21"/>
                <w:szCs w:val="21"/>
              </w:rPr>
            </w:pPr>
          </w:p>
        </w:tc>
        <w:tc>
          <w:tcPr>
            <w:tcW w:w="3820" w:type="dxa"/>
            <w:gridSpan w:val="2"/>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（七）总计</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2</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tcPr>
          <w:p>
            <w:pPr>
              <w:widowControl/>
              <w:spacing w:line="300" w:lineRule="exact"/>
              <w:jc w:val="center"/>
              <w:rPr>
                <w:rFonts w:hint="eastAsia" w:ascii="微软雅黑" w:hAnsi="微软雅黑" w:eastAsia="微软雅黑" w:cs="微软雅黑"/>
                <w:b/>
                <w:sz w:val="21"/>
                <w:szCs w:val="21"/>
                <w:lang w:val="en-US" w:eastAsia="zh-CN"/>
              </w:rPr>
            </w:pPr>
            <w:r>
              <w:rPr>
                <w:rFonts w:hint="eastAsia" w:ascii="微软雅黑" w:hAnsi="微软雅黑" w:eastAsia="微软雅黑" w:cs="微软雅黑"/>
                <w:b/>
                <w:sz w:val="21"/>
                <w:szCs w:val="21"/>
                <w:lang w:bidi="ar"/>
              </w:rPr>
              <w:t> </w:t>
            </w:r>
            <w:r>
              <w:rPr>
                <w:rFonts w:hint="eastAsia" w:ascii="微软雅黑" w:hAnsi="微软雅黑" w:eastAsia="微软雅黑" w:cs="微软雅黑"/>
                <w:b/>
                <w:sz w:val="21"/>
                <w:szCs w:val="21"/>
                <w:lang w:val="en-US" w:eastAsia="zh-CN" w:bidi="ar"/>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tcMar>
              <w:left w:w="57" w:type="dxa"/>
              <w:right w:w="57" w:type="dxa"/>
            </w:tcMar>
            <w:vAlign w:val="center"/>
          </w:tcPr>
          <w:p>
            <w:pPr>
              <w:widowControl/>
              <w:spacing w:line="300" w:lineRule="exact"/>
              <w:jc w:val="left"/>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四、结转下年度继续办理</w:t>
            </w:r>
          </w:p>
        </w:tc>
        <w:tc>
          <w:tcPr>
            <w:tcW w:w="79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0"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8"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7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9"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21" w:type="dxa"/>
            <w:tcMar>
              <w:left w:w="57" w:type="dxa"/>
              <w:right w:w="57"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bl>
    <w:p>
      <w:pPr>
        <w:spacing w:line="590" w:lineRule="exact"/>
        <w:ind w:right="-100" w:rightChars="-50" w:firstLine="640" w:firstLineChars="200"/>
        <w:rPr>
          <w:rFonts w:hint="eastAsia" w:ascii="微软雅黑" w:hAnsi="微软雅黑" w:eastAsia="微软雅黑" w:cs="微软雅黑"/>
          <w:b/>
          <w:sz w:val="32"/>
          <w:szCs w:val="32"/>
        </w:rPr>
      </w:pPr>
    </w:p>
    <w:p>
      <w:pPr>
        <w:spacing w:line="590" w:lineRule="exact"/>
        <w:ind w:right="-100" w:rightChars="-50" w:firstLine="640" w:firstLineChars="200"/>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四、政府信息公开行政复议、行政诉讼情况</w:t>
      </w:r>
    </w:p>
    <w:tbl>
      <w:tblPr>
        <w:tblStyle w:val="6"/>
        <w:tblW w:w="881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lang w:bidi="ar"/>
              </w:rPr>
            </w:pPr>
            <w:r>
              <w:rPr>
                <w:rFonts w:hint="eastAsia" w:ascii="微软雅黑" w:hAnsi="微软雅黑" w:eastAsia="微软雅黑" w:cs="微软雅黑"/>
                <w:b/>
                <w:sz w:val="21"/>
                <w:szCs w:val="21"/>
                <w:lang w:bidi="ar"/>
              </w:rPr>
              <w:t>结果</w:t>
            </w:r>
          </w:p>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其他</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尚未</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微软雅黑" w:hAnsi="微软雅黑" w:eastAsia="微软雅黑" w:cs="微软雅黑"/>
                <w:b/>
                <w:sz w:val="21"/>
                <w:szCs w:val="21"/>
              </w:rPr>
            </w:pPr>
          </w:p>
        </w:tc>
        <w:tc>
          <w:tcPr>
            <w:tcW w:w="621" w:type="dxa"/>
            <w:vMerge w:val="continue"/>
            <w:tcBorders>
              <w:top w:val="nil"/>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微软雅黑" w:hAnsi="微软雅黑" w:eastAsia="微软雅黑" w:cs="微软雅黑"/>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微软雅黑" w:hAnsi="微软雅黑" w:eastAsia="微软雅黑" w:cs="微软雅黑"/>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微软雅黑" w:hAnsi="微软雅黑" w:eastAsia="微软雅黑" w:cs="微软雅黑"/>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spacing w:line="340" w:lineRule="exact"/>
              <w:ind w:left="-40" w:leftChars="-20" w:right="-40" w:rightChars="-20"/>
              <w:rPr>
                <w:rFonts w:hint="eastAsia" w:ascii="微软雅黑" w:hAnsi="微软雅黑" w:eastAsia="微软雅黑" w:cs="微软雅黑"/>
                <w:b/>
                <w:sz w:val="21"/>
                <w:szCs w:val="21"/>
              </w:rPr>
            </w:pP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结果</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维持</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结果</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其他</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尚未</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结果</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结果</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其他</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尚未</w:t>
            </w:r>
            <w:r>
              <w:rPr>
                <w:rFonts w:hint="eastAsia" w:ascii="微软雅黑" w:hAnsi="微软雅黑" w:eastAsia="微软雅黑" w:cs="微软雅黑"/>
                <w:b/>
                <w:sz w:val="21"/>
                <w:szCs w:val="21"/>
                <w:lang w:bidi="ar"/>
              </w:rPr>
              <w:br w:type="textWrapping"/>
            </w:r>
            <w:r>
              <w:rPr>
                <w:rFonts w:hint="eastAsia" w:ascii="微软雅黑" w:hAnsi="微软雅黑" w:eastAsia="微软雅黑" w:cs="微软雅黑"/>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tcMar>
              <w:left w:w="108" w:type="dxa"/>
              <w:right w:w="108" w:type="dxa"/>
            </w:tcMar>
            <w:vAlign w:val="center"/>
          </w:tcPr>
          <w:p>
            <w:pPr>
              <w:widowControl/>
              <w:spacing w:line="340" w:lineRule="exact"/>
              <w:ind w:left="-40" w:leftChars="-20" w:right="-40" w:rightChars="-20"/>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2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0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9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461"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49"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3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426"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650"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555"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c>
          <w:tcPr>
            <w:tcW w:w="407" w:type="dxa"/>
            <w:tcBorders>
              <w:top w:val="nil"/>
              <w:left w:val="single" w:color="auto" w:sz="8" w:space="0"/>
              <w:bottom w:val="single" w:color="auto" w:sz="8" w:space="0"/>
              <w:right w:val="single" w:color="auto" w:sz="8" w:space="0"/>
            </w:tcBorders>
            <w:tcMar>
              <w:left w:w="108" w:type="dxa"/>
              <w:right w:w="108" w:type="dxa"/>
            </w:tcMar>
            <w:vAlign w:val="center"/>
          </w:tcPr>
          <w:p>
            <w:pPr>
              <w:widowControl/>
              <w:spacing w:line="300" w:lineRule="exact"/>
              <w:jc w:val="center"/>
              <w:rPr>
                <w:rFonts w:hint="eastAsia" w:ascii="微软雅黑" w:hAnsi="微软雅黑" w:eastAsia="微软雅黑" w:cs="微软雅黑"/>
                <w:b/>
                <w:sz w:val="21"/>
                <w:szCs w:val="21"/>
              </w:rPr>
            </w:pPr>
            <w:r>
              <w:rPr>
                <w:rFonts w:hint="eastAsia" w:ascii="微软雅黑" w:hAnsi="微软雅黑" w:eastAsia="微软雅黑" w:cs="微软雅黑"/>
                <w:b/>
                <w:sz w:val="21"/>
                <w:szCs w:val="21"/>
                <w:lang w:val="en-US" w:eastAsia="zh-CN" w:bidi="ar"/>
              </w:rPr>
              <w:t>0</w:t>
            </w:r>
          </w:p>
        </w:tc>
      </w:tr>
    </w:tbl>
    <w:p>
      <w:pPr>
        <w:spacing w:line="590" w:lineRule="exact"/>
        <w:ind w:right="-100" w:rightChars="-50" w:firstLine="640" w:firstLineChars="200"/>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五、存在的主要问题及改进情况</w:t>
      </w:r>
    </w:p>
    <w:p>
      <w:pPr>
        <w:spacing w:line="590" w:lineRule="exact"/>
        <w:ind w:right="-100" w:rightChars="-50" w:firstLine="640" w:firstLineChars="200"/>
        <w:rPr>
          <w:rFonts w:hint="eastAsia" w:ascii="微软雅黑" w:hAnsi="微软雅黑" w:eastAsia="微软雅黑" w:cs="微软雅黑"/>
          <w:b/>
          <w:sz w:val="32"/>
          <w:szCs w:val="32"/>
        </w:rPr>
      </w:pPr>
      <w:r>
        <w:rPr>
          <w:rFonts w:hint="eastAsia" w:ascii="微软雅黑" w:hAnsi="微软雅黑" w:eastAsia="微软雅黑" w:cs="微软雅黑"/>
          <w:b/>
          <w:sz w:val="32"/>
          <w:szCs w:val="32"/>
          <w:lang w:val="en-US" w:eastAsia="zh-CN"/>
        </w:rPr>
        <w:t>2021年度，市城市管理局政务公开工作虽然取得了很大进步，</w:t>
      </w:r>
      <w:r>
        <w:rPr>
          <w:rFonts w:hint="eastAsia" w:ascii="微软雅黑" w:hAnsi="微软雅黑" w:eastAsia="微软雅黑" w:cs="微软雅黑"/>
          <w:b/>
          <w:sz w:val="32"/>
          <w:szCs w:val="32"/>
        </w:rPr>
        <w:t>但与公众的需求相比</w:t>
      </w:r>
      <w:r>
        <w:rPr>
          <w:rFonts w:hint="eastAsia" w:ascii="微软雅黑" w:hAnsi="微软雅黑" w:eastAsia="微软雅黑" w:cs="微软雅黑"/>
          <w:b/>
          <w:sz w:val="32"/>
          <w:szCs w:val="32"/>
          <w:lang w:val="en-US" w:eastAsia="zh-CN"/>
        </w:rPr>
        <w:t>还存在</w:t>
      </w:r>
      <w:r>
        <w:rPr>
          <w:rFonts w:hint="eastAsia" w:ascii="微软雅黑" w:hAnsi="微软雅黑" w:eastAsia="微软雅黑" w:cs="微软雅黑"/>
          <w:b/>
          <w:sz w:val="32"/>
          <w:szCs w:val="32"/>
        </w:rPr>
        <w:t>差距。</w:t>
      </w:r>
      <w:r>
        <w:rPr>
          <w:rFonts w:hint="eastAsia" w:ascii="微软雅黑" w:hAnsi="微软雅黑" w:eastAsia="微软雅黑" w:cs="微软雅黑"/>
          <w:b/>
          <w:sz w:val="32"/>
          <w:szCs w:val="32"/>
          <w:lang w:val="en-US" w:eastAsia="zh-CN"/>
        </w:rPr>
        <w:t>一是政府信息公开工作业务培训力度不够，信息公开质量和数量还需进一步提升。</w:t>
      </w:r>
      <w:r>
        <w:rPr>
          <w:rFonts w:hint="eastAsia" w:ascii="微软雅黑" w:hAnsi="微软雅黑" w:eastAsia="微软雅黑" w:cs="微软雅黑"/>
          <w:b/>
          <w:sz w:val="32"/>
          <w:szCs w:val="32"/>
          <w:lang w:eastAsia="zh-CN"/>
        </w:rPr>
        <w:t>二</w:t>
      </w:r>
      <w:r>
        <w:rPr>
          <w:rFonts w:hint="eastAsia" w:ascii="微软雅黑" w:hAnsi="微软雅黑" w:eastAsia="微软雅黑" w:cs="微软雅黑"/>
          <w:b/>
          <w:sz w:val="32"/>
          <w:szCs w:val="32"/>
        </w:rPr>
        <w:t>是</w:t>
      </w:r>
      <w:r>
        <w:rPr>
          <w:rFonts w:hint="eastAsia" w:ascii="微软雅黑" w:hAnsi="微软雅黑" w:eastAsia="微软雅黑" w:cs="微软雅黑"/>
          <w:b/>
          <w:sz w:val="32"/>
          <w:szCs w:val="32"/>
          <w:lang w:val="en-US" w:eastAsia="zh-CN"/>
        </w:rPr>
        <w:t>部分政务公开平台的栏目设置不够科学，还需进一步调整优化</w:t>
      </w:r>
      <w:r>
        <w:rPr>
          <w:rFonts w:hint="eastAsia" w:ascii="微软雅黑" w:hAnsi="微软雅黑" w:eastAsia="微软雅黑" w:cs="微软雅黑"/>
          <w:b/>
          <w:sz w:val="32"/>
          <w:szCs w:val="32"/>
        </w:rPr>
        <w:t>。</w:t>
      </w:r>
      <w:r>
        <w:rPr>
          <w:rFonts w:hint="eastAsia" w:ascii="微软雅黑" w:hAnsi="微软雅黑" w:eastAsia="微软雅黑" w:cs="微软雅黑"/>
          <w:b/>
          <w:sz w:val="32"/>
          <w:szCs w:val="32"/>
          <w:lang w:val="en-US" w:eastAsia="zh-CN"/>
        </w:rPr>
        <w:t>三是</w:t>
      </w:r>
      <w:r>
        <w:rPr>
          <w:rFonts w:hint="eastAsia" w:ascii="微软雅黑" w:hAnsi="微软雅黑" w:eastAsia="微软雅黑" w:cs="微软雅黑"/>
          <w:b/>
          <w:sz w:val="32"/>
          <w:szCs w:val="32"/>
        </w:rPr>
        <w:t>政策解读形式较单一，以图片、文字解读为主，短视频</w:t>
      </w:r>
      <w:r>
        <w:rPr>
          <w:rFonts w:hint="eastAsia" w:ascii="微软雅黑" w:hAnsi="微软雅黑" w:eastAsia="微软雅黑" w:cs="微软雅黑"/>
          <w:b/>
          <w:sz w:val="32"/>
          <w:szCs w:val="32"/>
          <w:lang w:eastAsia="zh-CN"/>
        </w:rPr>
        <w:t>、</w:t>
      </w:r>
      <w:r>
        <w:rPr>
          <w:rFonts w:hint="eastAsia" w:ascii="微软雅黑" w:hAnsi="微软雅黑" w:eastAsia="微软雅黑" w:cs="微软雅黑"/>
          <w:b/>
          <w:sz w:val="32"/>
          <w:szCs w:val="32"/>
          <w:lang w:val="en-US" w:eastAsia="zh-CN"/>
        </w:rPr>
        <w:t>动漫</w:t>
      </w:r>
      <w:r>
        <w:rPr>
          <w:rFonts w:hint="eastAsia" w:ascii="微软雅黑" w:hAnsi="微软雅黑" w:eastAsia="微软雅黑" w:cs="微软雅黑"/>
          <w:b/>
          <w:sz w:val="32"/>
          <w:szCs w:val="32"/>
        </w:rPr>
        <w:t>等生动、新颖的解读方式较少。下一步，我们将从以下方面切实改进:</w:t>
      </w:r>
    </w:p>
    <w:p>
      <w:pPr>
        <w:spacing w:line="590" w:lineRule="exact"/>
        <w:ind w:right="-100" w:rightChars="-50" w:firstLine="640" w:firstLineChars="200"/>
        <w:rPr>
          <w:rFonts w:hint="eastAsia" w:ascii="微软雅黑" w:hAnsi="微软雅黑" w:eastAsia="微软雅黑" w:cs="微软雅黑"/>
          <w:b/>
          <w:sz w:val="32"/>
          <w:szCs w:val="32"/>
          <w:lang w:val="en-US" w:eastAsia="zh-CN"/>
        </w:rPr>
      </w:pPr>
      <w:r>
        <w:rPr>
          <w:rFonts w:hint="eastAsia" w:ascii="微软雅黑" w:hAnsi="微软雅黑" w:eastAsia="微软雅黑" w:cs="微软雅黑"/>
          <w:b/>
          <w:sz w:val="32"/>
          <w:szCs w:val="32"/>
        </w:rPr>
        <w:t>(一)</w:t>
      </w:r>
      <w:bookmarkStart w:id="0" w:name="_GoBack"/>
      <w:bookmarkEnd w:id="0"/>
      <w:r>
        <w:rPr>
          <w:rFonts w:hint="eastAsia" w:ascii="微软雅黑" w:hAnsi="微软雅黑" w:eastAsia="微软雅黑" w:cs="微软雅黑"/>
          <w:b/>
          <w:sz w:val="32"/>
          <w:szCs w:val="32"/>
          <w:lang w:val="en-US" w:eastAsia="zh-CN"/>
        </w:rPr>
        <w:t>提升</w:t>
      </w:r>
      <w:r>
        <w:rPr>
          <w:rFonts w:hint="eastAsia" w:ascii="微软雅黑" w:hAnsi="微软雅黑" w:eastAsia="微软雅黑" w:cs="微软雅黑"/>
          <w:b/>
          <w:sz w:val="32"/>
          <w:szCs w:val="32"/>
        </w:rPr>
        <w:t>队伍</w:t>
      </w:r>
      <w:r>
        <w:rPr>
          <w:rFonts w:hint="eastAsia" w:ascii="微软雅黑" w:hAnsi="微软雅黑" w:eastAsia="微软雅黑" w:cs="微软雅黑"/>
          <w:b/>
          <w:sz w:val="32"/>
          <w:szCs w:val="32"/>
          <w:lang w:val="en-US" w:eastAsia="zh-CN"/>
        </w:rPr>
        <w:t>专业化水平</w:t>
      </w:r>
      <w:r>
        <w:rPr>
          <w:rFonts w:hint="eastAsia" w:ascii="微软雅黑" w:hAnsi="微软雅黑" w:eastAsia="微软雅黑" w:cs="微软雅黑"/>
          <w:b/>
          <w:sz w:val="32"/>
          <w:szCs w:val="32"/>
        </w:rPr>
        <w:t>。进一步发挥好政务公开领导小组作用，加强</w:t>
      </w:r>
      <w:r>
        <w:rPr>
          <w:rFonts w:hint="eastAsia" w:ascii="微软雅黑" w:hAnsi="微软雅黑" w:eastAsia="微软雅黑" w:cs="微软雅黑"/>
          <w:b/>
          <w:sz w:val="32"/>
          <w:szCs w:val="32"/>
          <w:lang w:val="en-US" w:eastAsia="zh-CN"/>
        </w:rPr>
        <w:t>政务公开业务培训次数</w:t>
      </w:r>
      <w:r>
        <w:rPr>
          <w:rFonts w:hint="eastAsia" w:ascii="微软雅黑" w:hAnsi="微软雅黑" w:eastAsia="微软雅黑" w:cs="微软雅黑"/>
          <w:b/>
          <w:sz w:val="32"/>
          <w:szCs w:val="32"/>
        </w:rPr>
        <w:t>，</w:t>
      </w:r>
      <w:r>
        <w:rPr>
          <w:rFonts w:hint="eastAsia" w:ascii="微软雅黑" w:hAnsi="微软雅黑" w:eastAsia="微软雅黑" w:cs="微软雅黑"/>
          <w:b/>
          <w:sz w:val="32"/>
          <w:szCs w:val="32"/>
          <w:lang w:val="en-US" w:eastAsia="zh-CN"/>
        </w:rPr>
        <w:t>认真</w:t>
      </w:r>
      <w:r>
        <w:rPr>
          <w:rFonts w:hint="eastAsia" w:ascii="微软雅黑" w:hAnsi="微软雅黑" w:eastAsia="微软雅黑" w:cs="微软雅黑"/>
          <w:b/>
          <w:sz w:val="32"/>
          <w:szCs w:val="32"/>
        </w:rPr>
        <w:t>学习贯彻</w:t>
      </w: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《中华人民共和国政府信息公开条例》、《山东省政府信息公开办法》</w:t>
      </w:r>
      <w:r>
        <w:rPr>
          <w:rFonts w:hint="eastAsia" w:ascii="微软雅黑" w:hAnsi="微软雅黑" w:eastAsia="微软雅黑" w:cs="微软雅黑"/>
          <w:b/>
          <w:sz w:val="32"/>
          <w:szCs w:val="32"/>
        </w:rPr>
        <w:t>等有关规章制度，</w:t>
      </w:r>
      <w:r>
        <w:rPr>
          <w:rFonts w:hint="eastAsia" w:ascii="微软雅黑" w:hAnsi="微软雅黑" w:eastAsia="微软雅黑" w:cs="微软雅黑"/>
          <w:b/>
          <w:sz w:val="32"/>
          <w:szCs w:val="32"/>
          <w:lang w:val="en-US" w:eastAsia="zh-CN"/>
        </w:rPr>
        <w:t>提升队伍专业化能力，在依法依规的基础上，加大主动公开力度，提高政务信息公开质量，不断完善信息公开制度，推动我局政务公开工作标准化、规范化。</w:t>
      </w:r>
    </w:p>
    <w:p>
      <w:pPr>
        <w:spacing w:line="590" w:lineRule="exact"/>
        <w:ind w:right="-100" w:rightChars="-50" w:firstLine="640" w:firstLineChars="200"/>
        <w:rPr>
          <w:rFonts w:hint="eastAsia" w:ascii="微软雅黑" w:hAnsi="微软雅黑" w:eastAsia="微软雅黑" w:cs="微软雅黑"/>
          <w:b/>
          <w:sz w:val="32"/>
          <w:szCs w:val="32"/>
        </w:rPr>
      </w:pP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(二)优化信息公开栏目设置。</w:t>
      </w:r>
      <w:r>
        <w:rPr>
          <w:rFonts w:hint="eastAsia" w:ascii="微软雅黑" w:hAnsi="微软雅黑" w:eastAsia="微软雅黑" w:cs="微软雅黑"/>
          <w:b/>
          <w:sz w:val="32"/>
          <w:szCs w:val="32"/>
        </w:rPr>
        <w:t>重视分众化、对象化梯次化建设，加强网站、微信</w:t>
      </w:r>
      <w:r>
        <w:rPr>
          <w:rFonts w:hint="eastAsia" w:ascii="微软雅黑" w:hAnsi="微软雅黑" w:eastAsia="微软雅黑" w:cs="微软雅黑"/>
          <w:b/>
          <w:sz w:val="32"/>
          <w:szCs w:val="32"/>
          <w:lang w:eastAsia="zh-CN"/>
        </w:rPr>
        <w:t>公众号</w:t>
      </w:r>
      <w:r>
        <w:rPr>
          <w:rFonts w:hint="eastAsia" w:ascii="微软雅黑" w:hAnsi="微软雅黑" w:eastAsia="微软雅黑" w:cs="微软雅黑"/>
          <w:b/>
          <w:sz w:val="32"/>
          <w:szCs w:val="32"/>
        </w:rPr>
        <w:t>、</w:t>
      </w:r>
      <w:r>
        <w:rPr>
          <w:rFonts w:hint="eastAsia" w:ascii="微软雅黑" w:hAnsi="微软雅黑" w:eastAsia="微软雅黑" w:cs="微软雅黑"/>
          <w:b/>
          <w:sz w:val="32"/>
          <w:szCs w:val="32"/>
          <w:lang w:eastAsia="zh-CN"/>
        </w:rPr>
        <w:t>微信小程序</w:t>
      </w:r>
      <w:r>
        <w:rPr>
          <w:rFonts w:hint="eastAsia" w:ascii="微软雅黑" w:hAnsi="微软雅黑" w:eastAsia="微软雅黑" w:cs="微软雅黑"/>
          <w:b/>
          <w:sz w:val="32"/>
          <w:szCs w:val="32"/>
        </w:rPr>
        <w:t>客户端建设，</w:t>
      </w: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优化目录结构，不断调整政府信息公开目录和内容，及时公开市民群众关心关注的热点难点问题，</w:t>
      </w:r>
      <w:r>
        <w:rPr>
          <w:rFonts w:hint="eastAsia" w:ascii="微软雅黑" w:hAnsi="微软雅黑" w:eastAsia="微软雅黑" w:cs="微软雅黑"/>
          <w:b/>
          <w:sz w:val="32"/>
          <w:szCs w:val="32"/>
        </w:rPr>
        <w:t>推进公开平台标准化、规范化建设</w:t>
      </w:r>
      <w:r>
        <w:rPr>
          <w:rFonts w:hint="eastAsia" w:ascii="微软雅黑" w:hAnsi="微软雅黑" w:eastAsia="微软雅黑" w:cs="微软雅黑"/>
          <w:b/>
          <w:color w:val="000000" w:themeColor="text1"/>
          <w:sz w:val="32"/>
          <w:szCs w:val="32"/>
          <w:lang w:val="en-US" w:eastAsia="zh-CN" w:bidi="ar-SA"/>
          <w14:textFill>
            <w14:solidFill>
              <w14:schemeClr w14:val="tx1"/>
            </w14:solidFill>
          </w14:textFill>
        </w:rPr>
        <w:t>，</w:t>
      </w:r>
      <w:r>
        <w:rPr>
          <w:rFonts w:hint="eastAsia" w:ascii="微软雅黑" w:hAnsi="微软雅黑" w:eastAsia="微软雅黑" w:cs="微软雅黑"/>
          <w:b/>
          <w:sz w:val="32"/>
          <w:szCs w:val="32"/>
        </w:rPr>
        <w:t>更好地满足公众需求。</w:t>
      </w:r>
    </w:p>
    <w:p>
      <w:pPr>
        <w:spacing w:line="590" w:lineRule="exact"/>
        <w:ind w:right="-100" w:rightChars="-50" w:firstLine="640" w:firstLineChars="200"/>
        <w:rPr>
          <w:rFonts w:hint="eastAsia" w:ascii="微软雅黑" w:hAnsi="微软雅黑" w:eastAsia="微软雅黑" w:cs="微软雅黑"/>
          <w:b/>
          <w:sz w:val="32"/>
          <w:szCs w:val="32"/>
          <w:lang w:val="en-US" w:eastAsia="zh-CN"/>
        </w:rPr>
      </w:pPr>
      <w:r>
        <w:rPr>
          <w:rFonts w:hint="eastAsia" w:ascii="微软雅黑" w:hAnsi="微软雅黑" w:eastAsia="微软雅黑" w:cs="微软雅黑"/>
          <w:b/>
          <w:sz w:val="32"/>
          <w:szCs w:val="32"/>
        </w:rPr>
        <w:t>(三)</w:t>
      </w:r>
      <w:r>
        <w:rPr>
          <w:rFonts w:hint="eastAsia" w:ascii="微软雅黑" w:hAnsi="微软雅黑" w:eastAsia="微软雅黑" w:cs="微软雅黑"/>
          <w:b/>
          <w:sz w:val="32"/>
          <w:szCs w:val="32"/>
          <w:lang w:val="en-US" w:eastAsia="zh-CN"/>
        </w:rPr>
        <w:t>加强政策解读规范性。严格按照《山东省人民政府办公厅关于进一步规范和加强政策解读工作的通知》要求，提升政策文件解读质量，在文字解读的基础上，进一步丰富政策解读内容和形式。进一步加强文件起草人员和信息发布工作人员政策解读方面的业务培训，提高解读意识和工作能力。</w:t>
      </w:r>
    </w:p>
    <w:p>
      <w:pPr>
        <w:spacing w:line="590" w:lineRule="exact"/>
        <w:ind w:right="-100" w:rightChars="-50" w:firstLine="640" w:firstLineChars="200"/>
        <w:rPr>
          <w:rFonts w:hint="eastAsia" w:ascii="微软雅黑" w:hAnsi="微软雅黑" w:eastAsia="微软雅黑" w:cs="微软雅黑"/>
          <w:b/>
          <w:sz w:val="32"/>
          <w:szCs w:val="32"/>
        </w:rPr>
      </w:pPr>
      <w:r>
        <w:rPr>
          <w:rFonts w:hint="eastAsia" w:ascii="微软雅黑" w:hAnsi="微软雅黑" w:eastAsia="微软雅黑" w:cs="微软雅黑"/>
          <w:b/>
          <w:sz w:val="32"/>
          <w:szCs w:val="32"/>
        </w:rPr>
        <w:t>六、其他需要报告的事项</w:t>
      </w:r>
    </w:p>
    <w:p>
      <w:pPr>
        <w:spacing w:line="590" w:lineRule="exact"/>
        <w:ind w:right="-100" w:rightChars="-50" w:firstLine="640" w:firstLineChars="200"/>
        <w:rPr>
          <w:rFonts w:hint="eastAsia" w:ascii="微软雅黑" w:hAnsi="微软雅黑" w:eastAsia="微软雅黑" w:cs="微软雅黑"/>
          <w:b/>
          <w:color w:val="auto"/>
          <w:sz w:val="32"/>
          <w:szCs w:val="32"/>
          <w:lang w:eastAsia="zh-CN"/>
        </w:rPr>
      </w:pPr>
      <w:r>
        <w:rPr>
          <w:rFonts w:hint="eastAsia" w:ascii="微软雅黑" w:hAnsi="微软雅黑" w:eastAsia="微软雅黑" w:cs="微软雅黑"/>
          <w:b/>
          <w:color w:val="auto"/>
          <w:sz w:val="32"/>
          <w:szCs w:val="32"/>
          <w:lang w:eastAsia="zh-CN"/>
        </w:rPr>
        <w:t>（</w:t>
      </w:r>
      <w:r>
        <w:rPr>
          <w:rFonts w:hint="eastAsia" w:ascii="微软雅黑" w:hAnsi="微软雅黑" w:eastAsia="微软雅黑" w:cs="微软雅黑"/>
          <w:b/>
          <w:color w:val="auto"/>
          <w:sz w:val="32"/>
          <w:szCs w:val="32"/>
          <w:lang w:val="en-US" w:eastAsia="zh-CN"/>
        </w:rPr>
        <w:t>一</w:t>
      </w:r>
      <w:r>
        <w:rPr>
          <w:rFonts w:hint="eastAsia" w:ascii="微软雅黑" w:hAnsi="微软雅黑" w:eastAsia="微软雅黑" w:cs="微软雅黑"/>
          <w:b/>
          <w:color w:val="auto"/>
          <w:sz w:val="32"/>
          <w:szCs w:val="32"/>
          <w:lang w:eastAsia="zh-CN"/>
        </w:rPr>
        <w:t>）</w:t>
      </w:r>
      <w:r>
        <w:rPr>
          <w:rFonts w:hint="eastAsia" w:ascii="微软雅黑" w:hAnsi="微软雅黑" w:eastAsia="微软雅黑" w:cs="微软雅黑"/>
          <w:b/>
          <w:color w:val="auto"/>
          <w:sz w:val="32"/>
          <w:szCs w:val="32"/>
          <w:lang w:val="en-US" w:eastAsia="zh-CN"/>
        </w:rPr>
        <w:t>按照</w:t>
      </w:r>
      <w:r>
        <w:rPr>
          <w:rFonts w:hint="eastAsia" w:ascii="微软雅黑" w:hAnsi="微软雅黑" w:eastAsia="微软雅黑" w:cs="微软雅黑"/>
          <w:b/>
          <w:color w:val="auto"/>
          <w:sz w:val="32"/>
          <w:szCs w:val="32"/>
        </w:rPr>
        <w:t>《政府信息公开信息处理费管理办法》</w:t>
      </w:r>
      <w:r>
        <w:rPr>
          <w:rFonts w:hint="eastAsia" w:ascii="微软雅黑" w:hAnsi="微软雅黑" w:eastAsia="微软雅黑" w:cs="微软雅黑"/>
          <w:b/>
          <w:color w:val="auto"/>
          <w:sz w:val="32"/>
          <w:szCs w:val="32"/>
          <w:lang w:val="en-US" w:eastAsia="zh-CN"/>
        </w:rPr>
        <w:t>中的</w:t>
      </w:r>
      <w:r>
        <w:rPr>
          <w:rFonts w:hint="eastAsia" w:ascii="微软雅黑" w:hAnsi="微软雅黑" w:eastAsia="微软雅黑" w:cs="微软雅黑"/>
          <w:b/>
          <w:color w:val="auto"/>
          <w:sz w:val="32"/>
          <w:szCs w:val="32"/>
        </w:rPr>
        <w:t>收费标准</w:t>
      </w:r>
      <w:r>
        <w:rPr>
          <w:rFonts w:hint="eastAsia" w:ascii="微软雅黑" w:hAnsi="微软雅黑" w:eastAsia="微软雅黑" w:cs="微软雅黑"/>
          <w:b/>
          <w:color w:val="auto"/>
          <w:sz w:val="32"/>
          <w:szCs w:val="32"/>
          <w:lang w:eastAsia="zh-CN"/>
        </w:rPr>
        <w:t>，</w:t>
      </w:r>
      <w:r>
        <w:rPr>
          <w:rFonts w:hint="eastAsia" w:ascii="微软雅黑" w:hAnsi="微软雅黑" w:eastAsia="微软雅黑" w:cs="微软雅黑"/>
          <w:b/>
          <w:color w:val="auto"/>
          <w:sz w:val="32"/>
          <w:szCs w:val="32"/>
          <w:lang w:val="en-US" w:eastAsia="zh-CN"/>
        </w:rPr>
        <w:t>市城市管理局2021</w:t>
      </w:r>
      <w:r>
        <w:rPr>
          <w:rFonts w:hint="eastAsia" w:ascii="微软雅黑" w:hAnsi="微软雅黑" w:eastAsia="微软雅黑" w:cs="微软雅黑"/>
          <w:b/>
          <w:color w:val="auto"/>
          <w:sz w:val="32"/>
          <w:szCs w:val="32"/>
        </w:rPr>
        <w:t>年度没有产生信息公开处理费</w:t>
      </w:r>
      <w:r>
        <w:rPr>
          <w:rFonts w:hint="eastAsia" w:ascii="微软雅黑" w:hAnsi="微软雅黑" w:eastAsia="微软雅黑" w:cs="微软雅黑"/>
          <w:b/>
          <w:color w:val="auto"/>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left"/>
        <w:textAlignment w:val="auto"/>
        <w:rPr>
          <w:rFonts w:hint="eastAsia" w:ascii="微软雅黑" w:hAnsi="微软雅黑" w:eastAsia="微软雅黑" w:cs="微软雅黑"/>
          <w:b/>
          <w:sz w:val="32"/>
          <w:szCs w:val="32"/>
          <w:lang w:val="en-US" w:eastAsia="zh-CN" w:bidi="ar-SA"/>
        </w:rPr>
      </w:pPr>
      <w:r>
        <w:rPr>
          <w:rFonts w:hint="eastAsia" w:ascii="微软雅黑" w:hAnsi="微软雅黑" w:eastAsia="微软雅黑" w:cs="微软雅黑"/>
          <w:b/>
          <w:sz w:val="32"/>
          <w:szCs w:val="32"/>
          <w:lang w:val="en-US" w:eastAsia="zh-CN" w:bidi="ar-SA"/>
        </w:rPr>
        <w:t>（二）2021年，我局共承办人大建议4件，政协提案28件，已全部办理并回复完毕，当面答复率100%，满意或基本满意率100%。在市城市管理局政务公开网站“建议提案”专栏及时公开人大建议和政协提案详情及答复情况。2021年度人大建议、政协提案总体情况已及时上传。</w:t>
      </w:r>
    </w:p>
    <w:p>
      <w:pPr>
        <w:pStyle w:val="2"/>
        <w:ind w:firstLine="320" w:firstLineChars="100"/>
        <w:rPr>
          <w:rFonts w:hint="eastAsia" w:ascii="微软雅黑" w:hAnsi="微软雅黑" w:eastAsia="微软雅黑" w:cs="微软雅黑"/>
          <w:b/>
          <w:color w:val="auto"/>
          <w:sz w:val="32"/>
          <w:szCs w:val="32"/>
          <w:lang w:eastAsia="zh-CN"/>
        </w:rPr>
      </w:pPr>
      <w:r>
        <w:rPr>
          <w:rFonts w:hint="eastAsia" w:ascii="微软雅黑" w:hAnsi="微软雅黑" w:eastAsia="微软雅黑" w:cs="微软雅黑"/>
          <w:b/>
          <w:color w:val="auto"/>
          <w:sz w:val="32"/>
          <w:szCs w:val="32"/>
        </w:rPr>
        <w:t>（</w:t>
      </w:r>
      <w:r>
        <w:rPr>
          <w:rFonts w:hint="eastAsia" w:ascii="微软雅黑" w:hAnsi="微软雅黑" w:eastAsia="微软雅黑" w:cs="微软雅黑"/>
          <w:b/>
          <w:color w:val="auto"/>
          <w:sz w:val="32"/>
          <w:szCs w:val="32"/>
          <w:lang w:eastAsia="zh-CN"/>
        </w:rPr>
        <w:t>三</w:t>
      </w:r>
      <w:r>
        <w:rPr>
          <w:rFonts w:hint="eastAsia" w:ascii="微软雅黑" w:hAnsi="微软雅黑" w:eastAsia="微软雅黑" w:cs="微软雅黑"/>
          <w:b/>
          <w:color w:val="auto"/>
          <w:sz w:val="32"/>
          <w:szCs w:val="32"/>
        </w:rPr>
        <w:t>）本行政机关年度政务公开工作创新情况；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微软雅黑" w:hAnsi="微软雅黑" w:eastAsia="微软雅黑" w:cs="微软雅黑"/>
          <w:b/>
          <w:bCs/>
          <w:sz w:val="32"/>
          <w:szCs w:val="32"/>
        </w:rPr>
      </w:pPr>
      <w:r>
        <w:rPr>
          <w:rFonts w:hint="eastAsia" w:ascii="微软雅黑" w:hAnsi="微软雅黑" w:eastAsia="微软雅黑" w:cs="微软雅黑"/>
          <w:b/>
          <w:bCs/>
          <w:sz w:val="32"/>
          <w:szCs w:val="32"/>
        </w:rPr>
        <w:t>为了进一步畅通市民参与城市管理渠道，及时举报监督城市管理方面的问题，</w:t>
      </w:r>
      <w:r>
        <w:rPr>
          <w:rFonts w:hint="eastAsia" w:ascii="微软雅黑" w:hAnsi="微软雅黑" w:eastAsia="微软雅黑" w:cs="微软雅黑"/>
          <w:b/>
          <w:bCs/>
          <w:sz w:val="32"/>
          <w:szCs w:val="32"/>
          <w:lang w:eastAsia="zh-CN"/>
        </w:rPr>
        <w:t>畅通城市管理政务公开渠道</w:t>
      </w:r>
      <w:r>
        <w:rPr>
          <w:rFonts w:hint="eastAsia" w:ascii="微软雅黑" w:hAnsi="微软雅黑" w:eastAsia="微软雅黑" w:cs="微软雅黑"/>
          <w:b/>
          <w:bCs/>
          <w:sz w:val="32"/>
          <w:szCs w:val="32"/>
        </w:rPr>
        <w:t>，市城市管理局研发了“济宁数治城管”微信公众小程序。实现</w:t>
      </w:r>
      <w:r>
        <w:rPr>
          <w:rFonts w:hint="eastAsia" w:ascii="微软雅黑" w:hAnsi="微软雅黑" w:eastAsia="微软雅黑" w:cs="微软雅黑"/>
          <w:b/>
          <w:bCs/>
          <w:sz w:val="32"/>
          <w:szCs w:val="32"/>
          <w:lang w:eastAsia="zh-CN"/>
        </w:rPr>
        <w:t>了</w:t>
      </w:r>
      <w:r>
        <w:rPr>
          <w:rFonts w:hint="eastAsia" w:ascii="微软雅黑" w:hAnsi="微软雅黑" w:eastAsia="微软雅黑" w:cs="微软雅黑"/>
          <w:b/>
          <w:bCs/>
          <w:sz w:val="32"/>
          <w:szCs w:val="32"/>
        </w:rPr>
        <w:t>城市管理问题的收集、管理、采集、发布、共享。</w:t>
      </w:r>
      <w:r>
        <w:rPr>
          <w:rFonts w:hint="eastAsia" w:ascii="微软雅黑" w:hAnsi="微软雅黑" w:eastAsia="微软雅黑" w:cs="微软雅黑"/>
          <w:b/>
          <w:bCs/>
          <w:sz w:val="32"/>
          <w:szCs w:val="32"/>
          <w:lang w:eastAsia="zh-CN"/>
        </w:rPr>
        <w:t>该程序</w:t>
      </w:r>
      <w:r>
        <w:rPr>
          <w:rFonts w:hint="eastAsia" w:ascii="微软雅黑" w:hAnsi="微软雅黑" w:eastAsia="微软雅黑" w:cs="微软雅黑"/>
          <w:b/>
          <w:bCs/>
          <w:sz w:val="32"/>
          <w:szCs w:val="32"/>
        </w:rPr>
        <w:t>是基于微信公众平台开发，设置了我要上报、留言板、咨询热线、公众调查等功能模块以及通知公告、实时新闻、排行榜等资讯模块。今后市民群众发现占道经营、道路破损、绿地脏乱、积存垃圾等城市管理问题，可用手机上报反映到智慧城管系统，由系统派遣至各责任单位进行处置。</w:t>
      </w:r>
    </w:p>
    <w:p>
      <w:pPr>
        <w:pStyle w:val="2"/>
        <w:rPr>
          <w:rFonts w:hint="eastAsia" w:ascii="微软雅黑" w:hAnsi="微软雅黑" w:eastAsia="微软雅黑" w:cs="微软雅黑"/>
          <w:lang w:eastAsia="zh-CN"/>
        </w:rPr>
      </w:pPr>
      <w:r>
        <w:rPr>
          <w:rFonts w:hint="eastAsia" w:ascii="微软雅黑" w:hAnsi="微软雅黑" w:eastAsia="微软雅黑" w:cs="微软雅黑"/>
          <w:b/>
          <w:bCs/>
          <w:sz w:val="32"/>
          <w:szCs w:val="32"/>
          <w:lang w:val="en-US" w:eastAsia="zh-CN"/>
        </w:rPr>
        <w:t xml:space="preserve">     </w:t>
      </w:r>
    </w:p>
    <w:p>
      <w:pPr>
        <w:rPr>
          <w:rFonts w:hint="eastAsia" w:ascii="微软雅黑" w:hAnsi="微软雅黑" w:eastAsia="微软雅黑" w:cs="微软雅黑"/>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eastAsia="宋体"/>
        <w:lang w:val="en-US" w:eastAsia="zh-CN"/>
      </w:rPr>
    </w:pPr>
    <w:r>
      <w:rPr>
        <w:rFonts w:hint="eastAsia"/>
        <w:lang w:val="en-US"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3375957"/>
    <w:multiLevelType w:val="singleLevel"/>
    <w:tmpl w:val="A337595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0F28A9"/>
    <w:rsid w:val="00116791"/>
    <w:rsid w:val="00806FBD"/>
    <w:rsid w:val="019849A8"/>
    <w:rsid w:val="0248476F"/>
    <w:rsid w:val="02900CBF"/>
    <w:rsid w:val="02B2285A"/>
    <w:rsid w:val="03CE1195"/>
    <w:rsid w:val="040C25C7"/>
    <w:rsid w:val="04266EBE"/>
    <w:rsid w:val="04C24326"/>
    <w:rsid w:val="05163236"/>
    <w:rsid w:val="058A586A"/>
    <w:rsid w:val="05D52005"/>
    <w:rsid w:val="0696686E"/>
    <w:rsid w:val="07493C2F"/>
    <w:rsid w:val="07AA3C4B"/>
    <w:rsid w:val="08230627"/>
    <w:rsid w:val="0877389D"/>
    <w:rsid w:val="08CA7A47"/>
    <w:rsid w:val="095C786A"/>
    <w:rsid w:val="097035F9"/>
    <w:rsid w:val="0A9758C8"/>
    <w:rsid w:val="0BEE736C"/>
    <w:rsid w:val="0C141C2F"/>
    <w:rsid w:val="0CBB7883"/>
    <w:rsid w:val="0ED92450"/>
    <w:rsid w:val="0F1367DF"/>
    <w:rsid w:val="12862F67"/>
    <w:rsid w:val="12A51D97"/>
    <w:rsid w:val="13830CE4"/>
    <w:rsid w:val="13B046BD"/>
    <w:rsid w:val="143F754A"/>
    <w:rsid w:val="144619AA"/>
    <w:rsid w:val="144755B8"/>
    <w:rsid w:val="1474596D"/>
    <w:rsid w:val="14886088"/>
    <w:rsid w:val="15305516"/>
    <w:rsid w:val="15546E93"/>
    <w:rsid w:val="156074C5"/>
    <w:rsid w:val="1694379F"/>
    <w:rsid w:val="171275DE"/>
    <w:rsid w:val="185C3C77"/>
    <w:rsid w:val="1AEA64A7"/>
    <w:rsid w:val="1D242493"/>
    <w:rsid w:val="1D554B87"/>
    <w:rsid w:val="1E484424"/>
    <w:rsid w:val="1EE65752"/>
    <w:rsid w:val="1F0D0440"/>
    <w:rsid w:val="1FC57118"/>
    <w:rsid w:val="208C0D8C"/>
    <w:rsid w:val="213A4390"/>
    <w:rsid w:val="2202399F"/>
    <w:rsid w:val="22251A42"/>
    <w:rsid w:val="22453681"/>
    <w:rsid w:val="224A458F"/>
    <w:rsid w:val="226339CD"/>
    <w:rsid w:val="228F3103"/>
    <w:rsid w:val="22A46395"/>
    <w:rsid w:val="22EB1374"/>
    <w:rsid w:val="23195693"/>
    <w:rsid w:val="240F28A9"/>
    <w:rsid w:val="2411483D"/>
    <w:rsid w:val="24BB776E"/>
    <w:rsid w:val="24CF3471"/>
    <w:rsid w:val="252F5ECF"/>
    <w:rsid w:val="25590984"/>
    <w:rsid w:val="25E2440C"/>
    <w:rsid w:val="25FF493C"/>
    <w:rsid w:val="26076A20"/>
    <w:rsid w:val="26CD2FCC"/>
    <w:rsid w:val="27800A53"/>
    <w:rsid w:val="27B66EDD"/>
    <w:rsid w:val="28EE50B6"/>
    <w:rsid w:val="29025B35"/>
    <w:rsid w:val="299E493C"/>
    <w:rsid w:val="29DC3A0A"/>
    <w:rsid w:val="2B8F5708"/>
    <w:rsid w:val="2BCB017A"/>
    <w:rsid w:val="2CC855F5"/>
    <w:rsid w:val="2D612AF8"/>
    <w:rsid w:val="2DC27E01"/>
    <w:rsid w:val="2E04418C"/>
    <w:rsid w:val="2E0D3D8F"/>
    <w:rsid w:val="2EB3170E"/>
    <w:rsid w:val="2F0C5CE3"/>
    <w:rsid w:val="30B510C2"/>
    <w:rsid w:val="313F6B27"/>
    <w:rsid w:val="31690B71"/>
    <w:rsid w:val="325D20BC"/>
    <w:rsid w:val="32732C94"/>
    <w:rsid w:val="338D077F"/>
    <w:rsid w:val="33AA16BF"/>
    <w:rsid w:val="33D463AE"/>
    <w:rsid w:val="34E81E24"/>
    <w:rsid w:val="35D83D80"/>
    <w:rsid w:val="36BC3036"/>
    <w:rsid w:val="382817CA"/>
    <w:rsid w:val="396F20C3"/>
    <w:rsid w:val="39B86B9C"/>
    <w:rsid w:val="3A612966"/>
    <w:rsid w:val="3AEA773E"/>
    <w:rsid w:val="3AEB2110"/>
    <w:rsid w:val="3BCE4D9D"/>
    <w:rsid w:val="3BE1336D"/>
    <w:rsid w:val="3BFB7A0F"/>
    <w:rsid w:val="3C2E254F"/>
    <w:rsid w:val="3D143D31"/>
    <w:rsid w:val="3D8F58E0"/>
    <w:rsid w:val="3DE62338"/>
    <w:rsid w:val="3E0E070F"/>
    <w:rsid w:val="3E436AC8"/>
    <w:rsid w:val="3E950E30"/>
    <w:rsid w:val="3FF95DFA"/>
    <w:rsid w:val="40894472"/>
    <w:rsid w:val="40B01993"/>
    <w:rsid w:val="40D5220D"/>
    <w:rsid w:val="41E52735"/>
    <w:rsid w:val="42334BE8"/>
    <w:rsid w:val="42C972FA"/>
    <w:rsid w:val="43BD0E45"/>
    <w:rsid w:val="44B221D5"/>
    <w:rsid w:val="452C58AE"/>
    <w:rsid w:val="45577FF1"/>
    <w:rsid w:val="45D43FEC"/>
    <w:rsid w:val="465F34C1"/>
    <w:rsid w:val="470D5A07"/>
    <w:rsid w:val="477626C0"/>
    <w:rsid w:val="477C2B44"/>
    <w:rsid w:val="48594C7C"/>
    <w:rsid w:val="496E6505"/>
    <w:rsid w:val="4B27013B"/>
    <w:rsid w:val="4B2E2689"/>
    <w:rsid w:val="4B6C4EDE"/>
    <w:rsid w:val="4B7B658B"/>
    <w:rsid w:val="4BAF3531"/>
    <w:rsid w:val="4BCB7C3F"/>
    <w:rsid w:val="4C415137"/>
    <w:rsid w:val="4D456F89"/>
    <w:rsid w:val="4E192EE4"/>
    <w:rsid w:val="4EC92B5C"/>
    <w:rsid w:val="4ED52A93"/>
    <w:rsid w:val="4F1F0471"/>
    <w:rsid w:val="4F4A3C67"/>
    <w:rsid w:val="4FFE51AD"/>
    <w:rsid w:val="50573CF9"/>
    <w:rsid w:val="508C7949"/>
    <w:rsid w:val="50C03AEB"/>
    <w:rsid w:val="515679DB"/>
    <w:rsid w:val="525E3302"/>
    <w:rsid w:val="528239F6"/>
    <w:rsid w:val="529059D5"/>
    <w:rsid w:val="54C32090"/>
    <w:rsid w:val="550630EE"/>
    <w:rsid w:val="553B6ADD"/>
    <w:rsid w:val="55C30966"/>
    <w:rsid w:val="567A60F2"/>
    <w:rsid w:val="581F37ED"/>
    <w:rsid w:val="59CE5D52"/>
    <w:rsid w:val="5CA47710"/>
    <w:rsid w:val="5E0F378C"/>
    <w:rsid w:val="5E524C2A"/>
    <w:rsid w:val="5E91376A"/>
    <w:rsid w:val="607B695E"/>
    <w:rsid w:val="612F70A9"/>
    <w:rsid w:val="638E064D"/>
    <w:rsid w:val="641A43B1"/>
    <w:rsid w:val="64432905"/>
    <w:rsid w:val="658B72E8"/>
    <w:rsid w:val="662F20E7"/>
    <w:rsid w:val="67CC0A1B"/>
    <w:rsid w:val="680015F0"/>
    <w:rsid w:val="686B2F4B"/>
    <w:rsid w:val="68C65ED3"/>
    <w:rsid w:val="69036DC4"/>
    <w:rsid w:val="694D756C"/>
    <w:rsid w:val="69DE40E8"/>
    <w:rsid w:val="6A6E2976"/>
    <w:rsid w:val="6B704544"/>
    <w:rsid w:val="6BF54C12"/>
    <w:rsid w:val="6E103B09"/>
    <w:rsid w:val="6E2A557E"/>
    <w:rsid w:val="6E2B6FA0"/>
    <w:rsid w:val="6E7E508D"/>
    <w:rsid w:val="709A3F00"/>
    <w:rsid w:val="71E50B22"/>
    <w:rsid w:val="72317A24"/>
    <w:rsid w:val="732377BD"/>
    <w:rsid w:val="738431A4"/>
    <w:rsid w:val="739B24DE"/>
    <w:rsid w:val="73B12E62"/>
    <w:rsid w:val="7615076A"/>
    <w:rsid w:val="76256937"/>
    <w:rsid w:val="78123E05"/>
    <w:rsid w:val="79283F5B"/>
    <w:rsid w:val="79437F4F"/>
    <w:rsid w:val="79C15F73"/>
    <w:rsid w:val="7B977550"/>
    <w:rsid w:val="7C061CFB"/>
    <w:rsid w:val="7C0E58F6"/>
    <w:rsid w:val="7C4E6958"/>
    <w:rsid w:val="7C6E0182"/>
    <w:rsid w:val="7CB4634A"/>
    <w:rsid w:val="7D307C0F"/>
    <w:rsid w:val="7DCD4ABA"/>
    <w:rsid w:val="7DD66F00"/>
    <w:rsid w:val="7F4F3AE2"/>
    <w:rsid w:val="7FE36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0"/>
    <w:pPr>
      <w:ind w:left="420" w:leftChars="200"/>
    </w:pPr>
    <w:rPr>
      <w:rFonts w:ascii="Times New Roman" w:hAnsi="Times New Roman" w:eastAsia="宋体" w:cs="Times New Roman"/>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8">
    <w:name w:val="Strong"/>
    <w:qFormat/>
    <w:uiPriority w:val="0"/>
    <w:rPr>
      <w:b/>
      <w:bCs/>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AEACE"/>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2022-01-10T03:29:00Z</dcterms:created>
  <dc:creator>Administrator</dc:creator>
  <cp:lastModifiedBy>李晓</cp:lastModifiedBy>
  <dcterms:modified xsi:type="dcterms:W3CDTF">2022-01-18T08:39:42Z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B947B0530A994C469429ACD53137272C</vt:lpwstr>
  </property>
</Properties>
</file>