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济宁市公路事业发展中心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Fonts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本报告由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济宁市公路事业发展中心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本报告所列数据的统计期限自202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年1月1日起至202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年12月31日止。本报告电子版可在“中国·济宁”政府门户网站（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www.jining.gov.cn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）查阅或下载。如对本报告有疑问，请与济宁市公路事业发展中心联系（地址：济宁市任城区吴泰闸路23号1103房间，联系电话：0537-2936994）。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Style w:val="5"/>
          <w:rFonts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（</w:t>
      </w:r>
      <w:r>
        <w:rPr>
          <w:rStyle w:val="5"/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年度主动公开政府信息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299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条。其中，政务动态信息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56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条，财务信息（三公经费）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条，12345政务服务热线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130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条，网络问政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42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条，通过新媒体微信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“济宁公路”公众号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公开政务信息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65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1"/>
          <w:szCs w:val="31"/>
        </w:rPr>
        <w:t>一是推进重大行政决策公开。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"/>
        </w:rPr>
        <w:t>.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积极推进部门会议和专题会议公开。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" w:eastAsia="zh-CN"/>
        </w:rPr>
        <w:t>主动公开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主任办公会7次、专题会议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次。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2.推进文件公开。主动公开中心行政发文3件，</w:t>
      </w:r>
      <w:r>
        <w:rPr>
          <w:rStyle w:val="5"/>
          <w:rFonts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对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3</w:t>
      </w:r>
      <w:r>
        <w:rPr>
          <w:rStyle w:val="5"/>
          <w:rFonts w:hint="default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份部门文件进行了解读，解读采用了文字、电子书、</w:t>
      </w:r>
      <w:r>
        <w:rPr>
          <w:rStyle w:val="5"/>
          <w:rFonts w:hint="default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PDF</w:t>
      </w:r>
      <w:r>
        <w:rPr>
          <w:rStyle w:val="5"/>
          <w:rFonts w:hint="default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、图片等多种形式</w:t>
      </w:r>
      <w:r>
        <w:rPr>
          <w:rStyle w:val="5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333333"/>
          <w:sz w:val="24"/>
          <w:szCs w:val="24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1"/>
          <w:szCs w:val="31"/>
        </w:rPr>
        <w:t>二是推进重大建设项目批准和实施领域信息公开。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设立“重大建设项目信息公开”专栏，202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年市公路事业发展中心共规划实施公路建设项目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15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项，其中续建项目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项、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新开工项目4项、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拟新开工项目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项、前期项目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color w:val="333333"/>
          <w:sz w:val="24"/>
          <w:szCs w:val="24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333333"/>
          <w:spacing w:val="0"/>
          <w:sz w:val="31"/>
          <w:szCs w:val="31"/>
        </w:rPr>
        <w:t>三是推进财政信息细化公开。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连续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六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年公开了部门预决算和“三公”经费预决算。202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 xml:space="preserve">年，主动公开部门预决算及“三公经费”预算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根据《条例》有关规定，督导中心所属各单位不断规范依申请公开办理工作流程，准确把握信息公开申请办理时限。202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年，受理依申请公开0件，收到以政府信息公开为由提起行政复议、行政诉讼的0件。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Style w:val="5"/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Style w:val="5"/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一是加强信息公开工作组织领导。我中心高度重视政府信息管理工作，专题研究政务公开工作，主要领导、分管领导多次对政务公开工作作出指示。二是健全信息管理制度。建立完善政府信息制作、获取、保存、处理等工作制度。在制发文件时，对文件公开属性进行明确标识，严格执行保密审查有关规定和制度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三是细化任务落实责任。对政府信息公开任务细化分解，落实到具体单位、机关科室(部门），明确公开时限，确保落实到位。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一是优化信息公开内容。内容进一步拓宽，并开通了“济宁公路”政务微信平台，通过“济宁公路”政务微信平台共公开政务信息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65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条。二是便捷信息公开流程。根据《条例》科学编制政务信息“公开目录”和“公开指南”，明确了政府信息公开申请办理流程、办理时限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Style w:val="5"/>
          <w:rFonts w:ascii="黑体" w:hAnsi="宋体" w:eastAsia="黑体" w:cs="黑体"/>
          <w:color w:val="333333"/>
          <w:sz w:val="31"/>
          <w:szCs w:val="31"/>
        </w:rPr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Style w:val="5"/>
          <w:rFonts w:hint="default"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一是加强培训工作力度</w:t>
      </w:r>
      <w:r>
        <w:rPr>
          <w:rFonts w:hint="eastAsia" w:ascii="楷体_GB2312" w:hAnsi="微软雅黑" w:eastAsia="楷体_GB2312" w:cs="楷体_GB2312"/>
          <w:i w:val="0"/>
          <w:caps w:val="0"/>
          <w:color w:val="333333"/>
          <w:spacing w:val="0"/>
          <w:sz w:val="31"/>
          <w:szCs w:val="31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制定了《202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年度济宁市公路事业发展中心政务公开工作业务培训计划》，共举办培训班3期，组织公路系统负责政务公开工作人员共6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人开展了专题培训。二是强化督导检查。定期对所属各单位进行检查，以打电话、发微信、面对面等多种方式进行专项指导，确保全市公路系统政务信息公开工作全部落实到位。三是加强考核评估。政务公开工作作为一项重要指标纳入年度考核目标体系，明确责任目标，强化责任担当。根据考核情况，对工作不积极，落实不到位的单位予以批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  <w:t>二、主动公开政府信息情况</w:t>
      </w:r>
    </w:p>
    <w:tbl>
      <w:tblPr>
        <w:tblStyle w:val="3"/>
        <w:tblW w:w="877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130"/>
        <w:gridCol w:w="2220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color w:val="333333"/>
                <w:sz w:val="21"/>
                <w:szCs w:val="21"/>
              </w:rPr>
              <w:t>　　</w:t>
            </w: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 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color w:val="333333"/>
                <w:sz w:val="21"/>
                <w:szCs w:val="21"/>
              </w:rPr>
              <w:t>　　</w:t>
            </w: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 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  <w:lang w:val="en-US" w:eastAsia="zh-CN"/>
              </w:rPr>
              <w:t>194.80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63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  <w:t>三、收到和处理政府信息公开申请情况</w:t>
      </w:r>
    </w:p>
    <w:tbl>
      <w:tblPr>
        <w:tblStyle w:val="3"/>
        <w:tblW w:w="88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商业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企业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195"/>
              <w:jc w:val="both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  <w:t>四、政府信息公开行政复议、行政诉讼情况</w:t>
      </w:r>
    </w:p>
    <w:tbl>
      <w:tblPr>
        <w:tblStyle w:val="3"/>
        <w:tblW w:w="880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3"/>
        <w:gridCol w:w="598"/>
        <w:gridCol w:w="583"/>
        <w:gridCol w:w="479"/>
        <w:gridCol w:w="642"/>
        <w:gridCol w:w="642"/>
        <w:gridCol w:w="642"/>
        <w:gridCol w:w="627"/>
        <w:gridCol w:w="450"/>
        <w:gridCol w:w="642"/>
        <w:gridCol w:w="642"/>
        <w:gridCol w:w="642"/>
        <w:gridCol w:w="553"/>
        <w:gridCol w:w="4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br w:type="textWrapping"/>
            </w: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方正黑体简体" w:hAnsi="方正黑体简体" w:eastAsia="方正黑体简体" w:cs="方正黑体简体"/>
          <w:i w:val="0"/>
          <w:caps w:val="0"/>
          <w:color w:val="333333"/>
          <w:spacing w:val="0"/>
          <w:sz w:val="31"/>
          <w:szCs w:val="31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b w:val="0"/>
          <w:bCs/>
        </w:rPr>
      </w:pPr>
      <w:r>
        <w:rPr>
          <w:rStyle w:val="5"/>
          <w:rFonts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公开工作取得了一定成效，但仍存在着公开形式不够灵活、公开内容不够丰富、解读回应方式较少等问题。下一步，将持续开展政务公开业务培训，在政务新媒体运营管理、政府信息依申请公开处理流程、工作要求等方面加大培训力度，全面提高工作素养和基本能力。提高图文解读、数字化解读、新闻媒体解读的比例，综合运用</w:t>
      </w:r>
      <w:r>
        <w:rPr>
          <w:rStyle w:val="5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12345</w:t>
      </w:r>
      <w:r>
        <w:rPr>
          <w:rStyle w:val="5"/>
          <w:rFonts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市长热线、网络问政平台等渠道，及时了解群众诉求、回应群众关切。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（一）202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年济宁市公路事业发展中心无收取信息处理费的情况;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（二）年初根据上级政务公开工作要点，编制了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《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济宁市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公路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事业发展中心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政务公开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工作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要点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》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left"/>
        <w:textAlignment w:val="auto"/>
        <w:rPr>
          <w:color w:val="333333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公路公开工作按照省、市政务公开工作要求，紧紧围绕公路中心工作及群众关注关切，着力提升政务公开质量，加强政策解读和政务舆情回应，深化公路重点领域信息公开，完善政务公开制度规范，切实增强人民群众满意度、获得感，为全面推进公路事业发展发挥积极作用。一是深化重点领域政府信息公开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。主动公开重点建设项目共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15项，财政预决算信息6条；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二是加强和改进政策发布解读回应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以形式多样、通俗易懂、生动活泼的语言以及图表图解、音频视频、数据实例等公众喜闻乐见的形式提升解读效果，让群众“信得过”、“听得懂”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三是全面提升基层政务公开标准化规范化水平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年底前系统清理本机关现行有效的规章、行政规范性文件、政策性文件，通过政府网站的政府信息公开专栏集中公开相关信息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</w:rPr>
        <w:t>四是强化政务公开工作保障和落实，进一步健全工作协调机制，强培训考核，抓好任务落实，公开相关信息3条。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Style w:val="5"/>
          <w:rFonts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人大代表建议和政协提案办理结果公开情况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。</w:t>
      </w:r>
      <w:r>
        <w:rPr>
          <w:rStyle w:val="5"/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2022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年，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市公路事业发展中心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收到市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政协提案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1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件，已完成办理并在市政府门户网站公开，办理信息规范命名为建议提案编号和提案内容，方便公众查阅。未收到省级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、市级</w:t>
      </w: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人大代表建议和省级政协提案。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kern w:val="0"/>
          <w:sz w:val="31"/>
          <w:szCs w:val="31"/>
          <w:u w:val="none"/>
          <w:lang w:val="en-US" w:eastAsia="zh-CN" w:bidi="ar"/>
        </w:rPr>
        <w:t>（四）通过“济宁公路”微信公众号及时公开部门会议、专题会议7次，发布重大建设项目批复、设计、施工、竣工验收等政务信息22条。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保障群众对政务工作的知情权、监督权。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974" w:firstLineChars="1277"/>
        <w:jc w:val="left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济宁市公路事业发展中心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color w:val="333333"/>
          <w:sz w:val="21"/>
          <w:szCs w:val="21"/>
        </w:rPr>
      </w:pPr>
      <w:r>
        <w:rPr>
          <w:rStyle w:val="5"/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              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ab/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ab/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ab/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ab/>
      </w:r>
      <w:r>
        <w:rPr>
          <w:rStyle w:val="5"/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202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Style w:val="5"/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1"/>
          <w:szCs w:val="31"/>
        </w:rPr>
        <w:t>年1月18日</w:t>
      </w:r>
    </w:p>
    <w:p/>
    <w:sectPr>
      <w:pgSz w:w="11906" w:h="16838"/>
      <w:pgMar w:top="2007" w:right="1519" w:bottom="212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简体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简体">
    <w:altName w:val="方正楷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436A4E"/>
    <w:multiLevelType w:val="singleLevel"/>
    <w:tmpl w:val="B9436A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C55F8"/>
    <w:multiLevelType w:val="singleLevel"/>
    <w:tmpl w:val="FFFC55F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3E98078"/>
    <w:multiLevelType w:val="singleLevel"/>
    <w:tmpl w:val="63E980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BE041"/>
    <w:rsid w:val="5D3BE041"/>
    <w:rsid w:val="E3DFF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2023-01-31T17:49:00Z</dcterms:created>
  <dc:creator>user</dc:creator>
  <cp:lastModifiedBy>user</cp:lastModifiedBy>
  <dcterms:modified xsi:type="dcterms:W3CDTF">2023-01-31T09:54:18Z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