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color w:val="auto"/>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0" w:firstLineChars="0"/>
        <w:jc w:val="center"/>
        <w:textAlignment w:val="auto"/>
        <w:outlineLvl w:val="0"/>
        <w:rPr>
          <w:rFonts w:hint="default" w:ascii="Times New Roman" w:hAnsi="Times New Roman" w:eastAsia="方正小标宋简体" w:cs="Times New Roman"/>
          <w:b/>
          <w:color w:val="auto"/>
          <w:sz w:val="44"/>
          <w:szCs w:val="44"/>
          <w:lang w:val="en-US" w:eastAsia="zh-CN"/>
        </w:rPr>
      </w:pPr>
      <w:r>
        <w:rPr>
          <w:rFonts w:hint="default" w:ascii="Times New Roman" w:hAnsi="Times New Roman" w:eastAsia="方正小标宋简体" w:cs="Times New Roman"/>
          <w:b/>
          <w:color w:val="auto"/>
          <w:sz w:val="44"/>
          <w:szCs w:val="44"/>
          <w:lang w:val="en-US" w:eastAsia="zh-CN"/>
        </w:rPr>
        <w:t>济宁市交通运输局</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0" w:firstLineChars="0"/>
        <w:jc w:val="center"/>
        <w:textAlignment w:val="auto"/>
        <w:outlineLvl w:val="0"/>
        <w:rPr>
          <w:rFonts w:hint="default" w:ascii="Times New Roman" w:hAnsi="Times New Roman" w:eastAsia="方正小标宋简体" w:cs="Times New Roman"/>
          <w:b/>
          <w:color w:val="auto"/>
          <w:sz w:val="44"/>
          <w:szCs w:val="44"/>
        </w:rPr>
      </w:pPr>
      <w:r>
        <w:rPr>
          <w:rFonts w:hint="default" w:ascii="Times New Roman" w:hAnsi="Times New Roman" w:eastAsia="方正小标宋简体" w:cs="Times New Roman"/>
          <w:b/>
          <w:color w:val="auto"/>
          <w:sz w:val="44"/>
          <w:szCs w:val="44"/>
          <w:lang w:eastAsia="zh-CN"/>
        </w:rPr>
        <w:t>202</w:t>
      </w:r>
      <w:r>
        <w:rPr>
          <w:rFonts w:hint="eastAsia" w:ascii="Times New Roman" w:hAnsi="Times New Roman" w:eastAsia="方正小标宋简体" w:cs="Times New Roman"/>
          <w:b/>
          <w:color w:val="auto"/>
          <w:sz w:val="44"/>
          <w:szCs w:val="44"/>
          <w:lang w:val="en-US" w:eastAsia="zh-CN"/>
        </w:rPr>
        <w:t>5</w:t>
      </w:r>
      <w:r>
        <w:rPr>
          <w:rFonts w:hint="default" w:ascii="Times New Roman" w:hAnsi="Times New Roman" w:eastAsia="方正小标宋简体" w:cs="Times New Roman"/>
          <w:b/>
          <w:color w:val="auto"/>
          <w:sz w:val="44"/>
          <w:szCs w:val="44"/>
        </w:rPr>
        <w:t>年政府信息公开工作年度报告</w:t>
      </w:r>
    </w:p>
    <w:p>
      <w:pPr>
        <w:keepNext w:val="0"/>
        <w:keepLines w:val="0"/>
        <w:pageBreakBefore w:val="0"/>
        <w:kinsoku/>
        <w:wordWrap/>
        <w:overflowPunct/>
        <w:topLinePunct w:val="0"/>
        <w:autoSpaceDE/>
        <w:autoSpaceDN/>
        <w:bidi w:val="0"/>
        <w:adjustRightInd/>
        <w:snapToGrid/>
        <w:spacing w:line="560" w:lineRule="exact"/>
        <w:ind w:right="-160" w:rightChars="-50" w:firstLine="642" w:firstLineChars="200"/>
        <w:textAlignment w:val="auto"/>
        <w:rPr>
          <w:rFonts w:hint="default" w:ascii="Times New Roman" w:hAnsi="Times New Roman" w:eastAsia="方正仿宋简体" w:cs="Times New Roman"/>
          <w:b/>
          <w:color w:val="auto"/>
          <w:sz w:val="32"/>
          <w:szCs w:val="32"/>
        </w:rPr>
      </w:pPr>
    </w:p>
    <w:p>
      <w:pPr>
        <w:keepNext w:val="0"/>
        <w:keepLines w:val="0"/>
        <w:pageBreakBefore w:val="0"/>
        <w:kinsoku/>
        <w:wordWrap/>
        <w:overflowPunct/>
        <w:topLinePunct w:val="0"/>
        <w:autoSpaceDE/>
        <w:autoSpaceDN/>
        <w:bidi w:val="0"/>
        <w:adjustRightInd/>
        <w:snapToGrid/>
        <w:spacing w:line="560" w:lineRule="exact"/>
        <w:ind w:right="-160" w:rightChars="-50" w:firstLine="642"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本报告由济宁市交通运输局按照《中华人民共和国政府信息公开条例》（以下简称《条例》）和《中华人民共和国政府信息公开工作年度报告格式》（国办公开办函〔2021〕30号）要求编制。</w:t>
      </w:r>
    </w:p>
    <w:p>
      <w:pPr>
        <w:keepNext w:val="0"/>
        <w:keepLines w:val="0"/>
        <w:pageBreakBefore w:val="0"/>
        <w:kinsoku/>
        <w:wordWrap/>
        <w:overflowPunct/>
        <w:topLinePunct w:val="0"/>
        <w:autoSpaceDE/>
        <w:autoSpaceDN/>
        <w:bidi w:val="0"/>
        <w:adjustRightInd/>
        <w:snapToGrid/>
        <w:spacing w:line="560" w:lineRule="exact"/>
        <w:ind w:right="-160" w:rightChars="-50" w:firstLine="642"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kinsoku/>
        <w:wordWrap/>
        <w:overflowPunct/>
        <w:topLinePunct w:val="0"/>
        <w:autoSpaceDE/>
        <w:autoSpaceDN/>
        <w:bidi w:val="0"/>
        <w:adjustRightInd/>
        <w:snapToGrid/>
        <w:spacing w:line="560" w:lineRule="exact"/>
        <w:ind w:right="-160" w:rightChars="-50" w:firstLine="642"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本报告所列数据的统计期限自</w:t>
      </w:r>
      <w:r>
        <w:rPr>
          <w:rFonts w:hint="default" w:ascii="Times New Roman" w:hAnsi="Times New Roman" w:eastAsia="方正仿宋简体" w:cs="Times New Roman"/>
          <w:b/>
          <w:color w:val="auto"/>
          <w:sz w:val="32"/>
          <w:szCs w:val="32"/>
          <w:lang w:eastAsia="zh-CN"/>
        </w:rPr>
        <w:t>202</w:t>
      </w:r>
      <w:r>
        <w:rPr>
          <w:rFonts w:hint="eastAsia" w:ascii="Times New Roman" w:hAnsi="Times New Roman" w:eastAsia="方正仿宋简体" w:cs="Times New Roman"/>
          <w:b/>
          <w:color w:val="auto"/>
          <w:sz w:val="32"/>
          <w:szCs w:val="32"/>
          <w:lang w:val="en-US" w:eastAsia="zh-CN"/>
        </w:rPr>
        <w:t>5</w:t>
      </w:r>
      <w:r>
        <w:rPr>
          <w:rFonts w:hint="default" w:ascii="Times New Roman" w:hAnsi="Times New Roman" w:eastAsia="方正仿宋简体" w:cs="Times New Roman"/>
          <w:b/>
          <w:color w:val="auto"/>
          <w:sz w:val="32"/>
          <w:szCs w:val="32"/>
        </w:rPr>
        <w:t>年1月1日起至</w:t>
      </w:r>
      <w:r>
        <w:rPr>
          <w:rFonts w:hint="default" w:ascii="Times New Roman" w:hAnsi="Times New Roman" w:eastAsia="方正仿宋简体" w:cs="Times New Roman"/>
          <w:b/>
          <w:color w:val="auto"/>
          <w:sz w:val="32"/>
          <w:szCs w:val="32"/>
          <w:lang w:eastAsia="zh-CN"/>
        </w:rPr>
        <w:t>202</w:t>
      </w:r>
      <w:r>
        <w:rPr>
          <w:rFonts w:hint="eastAsia" w:ascii="Times New Roman" w:hAnsi="Times New Roman" w:eastAsia="方正仿宋简体" w:cs="Times New Roman"/>
          <w:b/>
          <w:color w:val="auto"/>
          <w:sz w:val="32"/>
          <w:szCs w:val="32"/>
          <w:lang w:val="en-US" w:eastAsia="zh-CN"/>
        </w:rPr>
        <w:t>5</w:t>
      </w:r>
      <w:r>
        <w:rPr>
          <w:rFonts w:hint="default" w:ascii="Times New Roman" w:hAnsi="Times New Roman" w:eastAsia="方正仿宋简体" w:cs="Times New Roman"/>
          <w:b/>
          <w:color w:val="auto"/>
          <w:sz w:val="32"/>
          <w:szCs w:val="32"/>
        </w:rPr>
        <w:t>年12月31日止。本报告电子版可在“中国·济宁”政府门户网站（http://www.jining.gov.cn/）查阅或下载。如对本报告有疑问，请与济宁市交通运输局联系（地址：济宁市太白湖新区省运会综合指挥中心，联系电话：0537-235</w:t>
      </w:r>
      <w:r>
        <w:rPr>
          <w:rFonts w:hint="eastAsia" w:ascii="Times New Roman" w:hAnsi="Times New Roman" w:eastAsia="方正仿宋简体" w:cs="Times New Roman"/>
          <w:b/>
          <w:color w:val="auto"/>
          <w:sz w:val="32"/>
          <w:szCs w:val="32"/>
          <w:lang w:val="en-US" w:eastAsia="zh-CN"/>
        </w:rPr>
        <w:t>7550</w:t>
      </w:r>
      <w:r>
        <w:rPr>
          <w:rFonts w:hint="default" w:ascii="Times New Roman" w:hAnsi="Times New Roman" w:eastAsia="方正仿宋简体" w:cs="Times New Roman"/>
          <w:b/>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right="-160" w:rightChars="-50" w:firstLine="642" w:firstLineChars="200"/>
        <w:textAlignment w:val="auto"/>
        <w:outlineLvl w:val="0"/>
        <w:rPr>
          <w:rFonts w:hint="eastAsia" w:ascii="Times New Roman" w:hAnsi="Times New Roman" w:eastAsia="方正黑体简体" w:cs="Times New Roman"/>
          <w:b/>
          <w:color w:val="auto"/>
          <w:sz w:val="32"/>
          <w:szCs w:val="32"/>
          <w:highlight w:val="yellow"/>
          <w:lang w:eastAsia="zh-CN"/>
        </w:rPr>
      </w:pPr>
      <w:r>
        <w:rPr>
          <w:rFonts w:hint="default" w:ascii="Times New Roman" w:hAnsi="Times New Roman" w:eastAsia="方正黑体简体" w:cs="Times New Roman"/>
          <w:b/>
          <w:color w:val="auto"/>
          <w:sz w:val="32"/>
          <w:szCs w:val="32"/>
          <w:highlight w:val="none"/>
        </w:rPr>
        <w:t>一、总体情况</w:t>
      </w:r>
    </w:p>
    <w:p>
      <w:pPr>
        <w:keepNext w:val="0"/>
        <w:keepLines w:val="0"/>
        <w:pageBreakBefore w:val="0"/>
        <w:kinsoku/>
        <w:wordWrap/>
        <w:overflowPunct/>
        <w:topLinePunct w:val="0"/>
        <w:autoSpaceDE/>
        <w:autoSpaceDN/>
        <w:bidi w:val="0"/>
        <w:adjustRightInd/>
        <w:snapToGrid/>
        <w:spacing w:line="560" w:lineRule="exact"/>
        <w:ind w:right="-160" w:rightChars="-50" w:firstLine="642" w:firstLineChars="200"/>
        <w:textAlignment w:val="auto"/>
        <w:rPr>
          <w:rFonts w:hint="default"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t>2025年，济宁市交通运输局坚持以习近平新时代中国特色社会主义思想为指导，深入贯彻落实《条例》及省、市关于政务公开工作的决策部署，紧扣全市交通运输中心工作和社会公众关切，坚持“以公开为常态、不公开为例外”的原则，不断提升政府信息公开工作的规范化、标准化水平，为促进交通运输治理体系和治理能力现代化提供了有力支撑。</w:t>
      </w:r>
    </w:p>
    <w:p>
      <w:pPr>
        <w:keepNext w:val="0"/>
        <w:keepLines w:val="0"/>
        <w:pageBreakBefore w:val="0"/>
        <w:numPr>
          <w:ilvl w:val="0"/>
          <w:numId w:val="1"/>
        </w:numPr>
        <w:kinsoku/>
        <w:wordWrap/>
        <w:overflowPunct/>
        <w:topLinePunct w:val="0"/>
        <w:autoSpaceDE/>
        <w:autoSpaceDN/>
        <w:bidi w:val="0"/>
        <w:adjustRightInd/>
        <w:snapToGrid/>
        <w:spacing w:line="560" w:lineRule="exact"/>
        <w:ind w:right="-160" w:rightChars="-50" w:firstLine="642" w:firstLineChars="200"/>
        <w:textAlignment w:val="auto"/>
        <w:rPr>
          <w:rFonts w:hint="default" w:ascii="Times New Roman" w:hAnsi="Times New Roman" w:eastAsia="方正仿宋简体" w:cs="Times New Roman"/>
          <w:b/>
          <w:color w:val="auto"/>
          <w:sz w:val="32"/>
          <w:szCs w:val="32"/>
          <w:lang w:val="en-US" w:eastAsia="zh-CN"/>
        </w:rPr>
      </w:pPr>
      <w:r>
        <w:rPr>
          <w:rFonts w:hint="eastAsia" w:ascii="方正楷体简体" w:hAnsi="方正楷体简体" w:eastAsia="方正楷体简体" w:cs="方正楷体简体"/>
          <w:b/>
          <w:color w:val="auto"/>
          <w:sz w:val="32"/>
          <w:szCs w:val="32"/>
          <w:highlight w:val="none"/>
          <w:lang w:val="en-US" w:eastAsia="zh-CN"/>
        </w:rPr>
        <w:t>主动公开情况</w:t>
      </w:r>
      <w:r>
        <w:rPr>
          <w:rFonts w:hint="default" w:ascii="Times New Roman" w:hAnsi="Times New Roman" w:eastAsia="方正楷体简体" w:cs="Times New Roman"/>
          <w:b/>
          <w:color w:val="auto"/>
          <w:sz w:val="32"/>
          <w:szCs w:val="32"/>
          <w:highlight w:val="none"/>
          <w:lang w:val="en-US" w:eastAsia="zh-CN"/>
        </w:rPr>
        <w:t>。</w:t>
      </w:r>
      <w:r>
        <w:rPr>
          <w:rFonts w:hint="eastAsia" w:ascii="黑体" w:hAnsi="黑体" w:eastAsia="黑体" w:cs="黑体"/>
          <w:b/>
          <w:color w:val="auto"/>
          <w:sz w:val="32"/>
          <w:szCs w:val="32"/>
          <w:lang w:val="en-US" w:eastAsia="zh-CN"/>
        </w:rPr>
        <w:t>深化重点领域公开。</w:t>
      </w:r>
      <w:r>
        <w:rPr>
          <w:rFonts w:hint="eastAsia" w:ascii="Times New Roman" w:hAnsi="Times New Roman" w:eastAsia="方正仿宋简体" w:cs="Times New Roman"/>
          <w:b/>
          <w:color w:val="auto"/>
          <w:sz w:val="32"/>
          <w:szCs w:val="32"/>
          <w:lang w:val="en-US" w:eastAsia="zh-CN"/>
        </w:rPr>
        <w:t>围绕交通基础设施建设、运输服务提升等核心工作，及时准确发布行业动态、政策文件及解读、工作计划等重点信息，全年通过门户网站推送信息2000余条。</w:t>
      </w:r>
      <w:r>
        <w:rPr>
          <w:rFonts w:hint="eastAsia" w:ascii="黑体" w:hAnsi="黑体" w:eastAsia="黑体" w:cs="黑体"/>
          <w:b/>
          <w:color w:val="auto"/>
          <w:sz w:val="32"/>
          <w:szCs w:val="32"/>
          <w:lang w:val="en-US" w:eastAsia="zh-CN"/>
        </w:rPr>
        <w:t>强化</w:t>
      </w:r>
      <w:r>
        <w:rPr>
          <w:rFonts w:hint="default" w:ascii="黑体" w:hAnsi="黑体" w:eastAsia="黑体" w:cs="黑体"/>
          <w:b/>
          <w:color w:val="auto"/>
          <w:sz w:val="32"/>
          <w:szCs w:val="32"/>
          <w:lang w:val="en-US" w:eastAsia="zh-CN"/>
        </w:rPr>
        <w:t>政策解读与发布。</w:t>
      </w:r>
      <w:r>
        <w:rPr>
          <w:rFonts w:hint="default" w:ascii="Times New Roman" w:hAnsi="Times New Roman" w:eastAsia="方正仿宋简体" w:cs="Times New Roman"/>
          <w:b/>
          <w:color w:val="auto"/>
          <w:sz w:val="32"/>
          <w:szCs w:val="32"/>
          <w:lang w:val="en-US" w:eastAsia="zh-CN"/>
        </w:rPr>
        <w:t>全年围绕重大政策和民生关切召开新闻发布会12次，其中在省政府“山东全力打造畅行齐鲁高速公路网”新闻发布会、省政府政策例行吹风会上，我市</w:t>
      </w:r>
      <w:r>
        <w:rPr>
          <w:rFonts w:hint="eastAsia" w:eastAsia="方正仿宋简体" w:cs="Times New Roman"/>
          <w:b/>
          <w:color w:val="auto"/>
          <w:sz w:val="32"/>
          <w:szCs w:val="32"/>
          <w:lang w:val="en-US" w:eastAsia="zh-CN"/>
        </w:rPr>
        <w:t>作</w:t>
      </w:r>
      <w:r>
        <w:rPr>
          <w:rFonts w:hint="default" w:ascii="Times New Roman" w:hAnsi="Times New Roman" w:eastAsia="方正仿宋简体" w:cs="Times New Roman"/>
          <w:b/>
          <w:color w:val="auto"/>
          <w:sz w:val="32"/>
          <w:szCs w:val="32"/>
          <w:lang w:val="en-US" w:eastAsia="zh-CN"/>
        </w:rPr>
        <w:t>典型发言。完成“党的二十届四中全会”等专题访谈8次，组织开展“</w:t>
      </w:r>
      <w:r>
        <w:rPr>
          <w:rFonts w:hint="eastAsia" w:eastAsia="方正仿宋简体" w:cs="Times New Roman"/>
          <w:b/>
          <w:color w:val="auto"/>
          <w:sz w:val="32"/>
          <w:szCs w:val="32"/>
          <w:lang w:val="en-US" w:eastAsia="zh-CN"/>
        </w:rPr>
        <w:t>主城区绕城高速环线成功闭环</w:t>
      </w:r>
      <w:r>
        <w:rPr>
          <w:rFonts w:hint="default" w:ascii="Times New Roman" w:hAnsi="Times New Roman" w:eastAsia="方正仿宋简体" w:cs="Times New Roman"/>
          <w:b/>
          <w:color w:val="auto"/>
          <w:sz w:val="32"/>
          <w:szCs w:val="32"/>
          <w:lang w:val="en-US" w:eastAsia="zh-CN"/>
        </w:rPr>
        <w:t>”等集中采访活动6次，有效传递了交通发展强音。</w:t>
      </w:r>
      <w:bookmarkStart w:id="0" w:name="_GoBack"/>
      <w:bookmarkEnd w:id="0"/>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right="0" w:rightChars="0" w:firstLine="642" w:firstLineChars="200"/>
        <w:jc w:val="both"/>
        <w:textAlignment w:val="auto"/>
        <w:rPr>
          <w:rFonts w:hint="default" w:ascii="Times New Roman" w:hAnsi="Times New Roman" w:eastAsia="方正仿宋简体" w:cs="Times New Roman"/>
          <w:b/>
          <w:color w:val="auto"/>
          <w:sz w:val="32"/>
          <w:szCs w:val="32"/>
          <w:lang w:val="en-US" w:eastAsia="zh-CN"/>
        </w:rPr>
      </w:pPr>
      <w:r>
        <w:rPr>
          <w:rFonts w:hint="eastAsia" w:eastAsia="方正楷体简体" w:cs="Times New Roman"/>
          <w:b/>
          <w:color w:val="auto"/>
          <w:sz w:val="32"/>
          <w:szCs w:val="32"/>
          <w:highlight w:val="none"/>
          <w:lang w:val="en-US" w:eastAsia="zh-CN"/>
        </w:rPr>
        <w:t>（二）</w:t>
      </w:r>
      <w:r>
        <w:rPr>
          <w:rFonts w:hint="default" w:ascii="Times New Roman" w:hAnsi="Times New Roman" w:eastAsia="方正楷体简体" w:cs="Times New Roman"/>
          <w:b/>
          <w:color w:val="auto"/>
          <w:sz w:val="32"/>
          <w:szCs w:val="32"/>
          <w:highlight w:val="none"/>
          <w:lang w:val="en-US" w:eastAsia="zh-CN"/>
        </w:rPr>
        <w:t>依申请公开情况。</w:t>
      </w:r>
      <w:r>
        <w:rPr>
          <w:rFonts w:hint="default" w:ascii="Times New Roman" w:hAnsi="Times New Roman" w:eastAsia="方正仿宋简体" w:cs="Times New Roman"/>
          <w:b/>
          <w:color w:val="auto"/>
          <w:sz w:val="32"/>
          <w:szCs w:val="32"/>
          <w:highlight w:val="none"/>
          <w:lang w:val="en-US" w:eastAsia="zh-CN"/>
        </w:rPr>
        <w:t>规范办理流程，严格执行《条例》规定，健全完善政府信息公开申请登记、审核、办理、答复、归档的工作制度</w:t>
      </w:r>
      <w:r>
        <w:rPr>
          <w:rFonts w:hint="eastAsia" w:eastAsia="方正仿宋简体" w:cs="Times New Roman"/>
          <w:b/>
          <w:color w:val="auto"/>
          <w:sz w:val="32"/>
          <w:szCs w:val="32"/>
          <w:highlight w:val="none"/>
          <w:lang w:val="en-US" w:eastAsia="zh-CN"/>
        </w:rPr>
        <w:t>。</w:t>
      </w:r>
      <w:r>
        <w:rPr>
          <w:rFonts w:hint="default" w:ascii="Times New Roman" w:hAnsi="Times New Roman" w:eastAsia="方正仿宋简体" w:cs="Times New Roman"/>
          <w:b/>
          <w:color w:val="auto"/>
          <w:sz w:val="32"/>
          <w:szCs w:val="32"/>
          <w:highlight w:val="none"/>
          <w:lang w:val="en-US" w:eastAsia="zh-CN"/>
        </w:rPr>
        <w:t>对于收到的每一件申请，均依法依规进行审查，在规定时限内作出规范答复。</w:t>
      </w:r>
      <w:r>
        <w:rPr>
          <w:rFonts w:hint="eastAsia" w:ascii="Times New Roman" w:hAnsi="Times New Roman" w:eastAsia="方正仿宋简体" w:cs="Times New Roman"/>
          <w:b/>
          <w:color w:val="auto"/>
          <w:sz w:val="32"/>
          <w:szCs w:val="32"/>
          <w:lang w:eastAsia="zh-CN"/>
        </w:rPr>
        <w:t>202</w:t>
      </w:r>
      <w:r>
        <w:rPr>
          <w:rFonts w:hint="eastAsia" w:eastAsia="方正仿宋简体" w:cs="Times New Roman"/>
          <w:b/>
          <w:color w:val="auto"/>
          <w:sz w:val="32"/>
          <w:szCs w:val="32"/>
          <w:lang w:val="en-US" w:eastAsia="zh-CN"/>
        </w:rPr>
        <w:t>5</w:t>
      </w:r>
      <w:r>
        <w:rPr>
          <w:rFonts w:hint="default" w:ascii="Times New Roman" w:hAnsi="Times New Roman" w:eastAsia="方正仿宋简体" w:cs="Times New Roman"/>
          <w:b/>
          <w:color w:val="auto"/>
          <w:sz w:val="32"/>
          <w:szCs w:val="32"/>
        </w:rPr>
        <w:t>年，市交通运输局</w:t>
      </w:r>
      <w:r>
        <w:rPr>
          <w:rFonts w:hint="default" w:ascii="Times New Roman" w:hAnsi="Times New Roman" w:eastAsia="方正仿宋简体" w:cs="Times New Roman"/>
          <w:b/>
          <w:color w:val="auto"/>
          <w:sz w:val="32"/>
          <w:szCs w:val="32"/>
          <w:lang w:val="en-US" w:eastAsia="zh-CN"/>
        </w:rPr>
        <w:t>共</w:t>
      </w:r>
      <w:r>
        <w:rPr>
          <w:rFonts w:hint="eastAsia" w:eastAsia="方正仿宋简体" w:cs="Times New Roman"/>
          <w:b/>
          <w:color w:val="auto"/>
          <w:sz w:val="32"/>
          <w:szCs w:val="32"/>
          <w:lang w:val="en-US" w:eastAsia="zh-CN"/>
        </w:rPr>
        <w:t>办理</w:t>
      </w:r>
      <w:r>
        <w:rPr>
          <w:rFonts w:hint="default" w:ascii="Times New Roman" w:hAnsi="Times New Roman" w:eastAsia="方正仿宋简体" w:cs="Times New Roman"/>
          <w:b/>
          <w:color w:val="auto"/>
          <w:sz w:val="32"/>
          <w:szCs w:val="32"/>
        </w:rPr>
        <w:t>依申请公开事项</w:t>
      </w:r>
      <w:r>
        <w:rPr>
          <w:rFonts w:hint="eastAsia" w:eastAsia="方正仿宋简体" w:cs="Times New Roman"/>
          <w:b/>
          <w:color w:val="auto"/>
          <w:sz w:val="32"/>
          <w:szCs w:val="32"/>
          <w:lang w:val="en-US" w:eastAsia="zh-CN"/>
        </w:rPr>
        <w:t>6</w:t>
      </w:r>
      <w:r>
        <w:rPr>
          <w:rFonts w:hint="default" w:ascii="Times New Roman" w:hAnsi="Times New Roman" w:eastAsia="方正仿宋简体" w:cs="Times New Roman"/>
          <w:b/>
          <w:color w:val="auto"/>
          <w:sz w:val="32"/>
          <w:szCs w:val="32"/>
          <w:lang w:val="en-US" w:eastAsia="zh-CN"/>
        </w:rPr>
        <w:t>件</w:t>
      </w:r>
      <w:r>
        <w:rPr>
          <w:rFonts w:hint="default" w:ascii="Times New Roman" w:hAnsi="Times New Roman" w:eastAsia="方正仿宋简体" w:cs="Times New Roman"/>
          <w:b/>
          <w:color w:val="auto"/>
          <w:sz w:val="32"/>
          <w:szCs w:val="32"/>
        </w:rPr>
        <w:t>，</w:t>
      </w:r>
      <w:r>
        <w:rPr>
          <w:rFonts w:hint="eastAsia" w:eastAsia="方正仿宋简体" w:cs="Times New Roman"/>
          <w:b/>
          <w:color w:val="auto"/>
          <w:sz w:val="32"/>
          <w:szCs w:val="32"/>
          <w:lang w:val="en-US" w:eastAsia="zh-CN"/>
        </w:rPr>
        <w:t>其中，上年结转办理1件，本年度新收到5件</w:t>
      </w:r>
      <w:r>
        <w:rPr>
          <w:rFonts w:hint="eastAsia"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lang w:val="en-US" w:eastAsia="zh-CN"/>
        </w:rPr>
        <w:t>均在规定时限内进行有效答复，</w:t>
      </w:r>
      <w:r>
        <w:rPr>
          <w:rFonts w:hint="eastAsia" w:eastAsia="方正仿宋简体" w:cs="Times New Roman"/>
          <w:b/>
          <w:color w:val="auto"/>
          <w:sz w:val="32"/>
          <w:szCs w:val="32"/>
          <w:lang w:val="en-US" w:eastAsia="zh-CN"/>
        </w:rPr>
        <w:t>有效</w:t>
      </w:r>
      <w:r>
        <w:rPr>
          <w:rFonts w:hint="default" w:ascii="Times New Roman" w:hAnsi="Times New Roman" w:eastAsia="方正仿宋简体" w:cs="Times New Roman"/>
          <w:b/>
          <w:color w:val="auto"/>
          <w:sz w:val="32"/>
          <w:szCs w:val="32"/>
          <w:lang w:val="en-US" w:eastAsia="zh-CN"/>
        </w:rPr>
        <w:t>保障</w:t>
      </w:r>
      <w:r>
        <w:rPr>
          <w:rFonts w:hint="eastAsia" w:eastAsia="方正仿宋简体" w:cs="Times New Roman"/>
          <w:b/>
          <w:color w:val="auto"/>
          <w:sz w:val="32"/>
          <w:szCs w:val="32"/>
          <w:lang w:val="en-US" w:eastAsia="zh-CN"/>
        </w:rPr>
        <w:t>群众</w:t>
      </w:r>
      <w:r>
        <w:rPr>
          <w:rFonts w:hint="default" w:ascii="Times New Roman" w:hAnsi="Times New Roman" w:eastAsia="方正仿宋简体" w:cs="Times New Roman"/>
          <w:b/>
          <w:color w:val="auto"/>
          <w:sz w:val="32"/>
          <w:szCs w:val="32"/>
          <w:lang w:val="en-US" w:eastAsia="zh-CN"/>
        </w:rPr>
        <w:t>依法获取政府信息。</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drawing>
          <wp:inline distT="0" distB="0" distL="114300" distR="114300">
            <wp:extent cx="4212590" cy="3242945"/>
            <wp:effectExtent l="0" t="0" r="16510" b="14605"/>
            <wp:docPr id="6" name="图片 6" descr="办理政府信息公开申请数量"/>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办理政府信息公开申请数量"/>
                    <pic:cNvPicPr>
                      <a:picLocks noChangeAspect="true"/>
                    </pic:cNvPicPr>
                  </pic:nvPicPr>
                  <pic:blipFill>
                    <a:blip r:embed="rId7"/>
                    <a:stretch>
                      <a:fillRect/>
                    </a:stretch>
                  </pic:blipFill>
                  <pic:spPr>
                    <a:xfrm>
                      <a:off x="0" y="0"/>
                      <a:ext cx="4212590" cy="32429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2" w:firstLineChars="200"/>
        <w:jc w:val="both"/>
        <w:textAlignment w:val="auto"/>
        <w:rPr>
          <w:rFonts w:hint="default" w:ascii="Times New Roman" w:hAnsi="Times New Roman" w:eastAsia="方正楷体简体" w:cs="Times New Roman"/>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（三）</w:t>
      </w:r>
      <w:r>
        <w:rPr>
          <w:rFonts w:hint="eastAsia" w:ascii="方正楷体简体" w:hAnsi="方正楷体简体" w:eastAsia="方正楷体简体" w:cs="方正楷体简体"/>
          <w:b/>
          <w:color w:val="auto"/>
          <w:sz w:val="32"/>
          <w:szCs w:val="32"/>
          <w:highlight w:val="none"/>
          <w:lang w:val="en-US" w:eastAsia="zh-CN"/>
        </w:rPr>
        <w:t>政府信息管理情况</w:t>
      </w:r>
      <w:r>
        <w:rPr>
          <w:rFonts w:hint="default" w:ascii="Times New Roman" w:hAnsi="Times New Roman" w:eastAsia="方正楷体简体" w:cs="Times New Roman"/>
          <w:b/>
          <w:color w:val="auto"/>
          <w:sz w:val="32"/>
          <w:szCs w:val="32"/>
          <w:highlight w:val="none"/>
          <w:lang w:val="en-US" w:eastAsia="zh-CN"/>
        </w:rPr>
        <w:t>。</w:t>
      </w:r>
      <w:r>
        <w:rPr>
          <w:rFonts w:hint="default" w:eastAsia="方正仿宋简体" w:cs="Times New Roman"/>
          <w:b/>
          <w:color w:val="auto"/>
          <w:sz w:val="32"/>
          <w:szCs w:val="32"/>
          <w:lang w:val="en-US" w:eastAsia="zh-CN"/>
        </w:rPr>
        <w:t>严格执行信息发布“三审三校”制度，从源头上保障信息的质量和安全。围绕政策法规、项目建设等重点领域，加强信息制作、保存、公开各环节规范管理。围绕交通运输部门文件、政策法规、交通基础设施建设等核心领域，从信息制作与获取、保存、公开</w:t>
      </w:r>
      <w:r>
        <w:rPr>
          <w:rFonts w:hint="eastAsia" w:eastAsia="方正仿宋简体" w:cs="Times New Roman"/>
          <w:b/>
          <w:color w:val="auto"/>
          <w:sz w:val="32"/>
          <w:szCs w:val="32"/>
          <w:lang w:val="en-US" w:eastAsia="zh-CN"/>
        </w:rPr>
        <w:t>等环节</w:t>
      </w:r>
      <w:r>
        <w:rPr>
          <w:rFonts w:hint="default" w:eastAsia="方正仿宋简体" w:cs="Times New Roman"/>
          <w:b/>
          <w:color w:val="auto"/>
          <w:sz w:val="32"/>
          <w:szCs w:val="32"/>
          <w:lang w:val="en-US" w:eastAsia="zh-CN"/>
        </w:rPr>
        <w:t>加强信息管理，将重点领域信息公开作为提升交通运输工作透明度的关键抓手。</w:t>
      </w:r>
    </w:p>
    <w:p>
      <w:pPr>
        <w:keepNext w:val="0"/>
        <w:keepLines w:val="0"/>
        <w:pageBreakBefore w:val="0"/>
        <w:numPr>
          <w:ilvl w:val="0"/>
          <w:numId w:val="0"/>
        </w:numPr>
        <w:kinsoku/>
        <w:wordWrap/>
        <w:overflowPunct/>
        <w:topLinePunct w:val="0"/>
        <w:autoSpaceDE/>
        <w:autoSpaceDN/>
        <w:bidi w:val="0"/>
        <w:adjustRightInd/>
        <w:snapToGrid/>
        <w:spacing w:line="560" w:lineRule="exact"/>
        <w:ind w:right="-160" w:rightChars="-50" w:firstLine="642" w:firstLineChars="200"/>
        <w:textAlignment w:val="auto"/>
        <w:rPr>
          <w:rFonts w:hint="default" w:ascii="Times New Roman" w:hAnsi="Times New Roman" w:eastAsia="方正楷体简体" w:cs="Times New Roman"/>
          <w:b/>
          <w:bCs w:val="0"/>
          <w:color w:val="auto"/>
          <w:sz w:val="32"/>
          <w:szCs w:val="32"/>
          <w:highlight w:val="none"/>
          <w:lang w:val="en-US" w:eastAsia="zh-CN"/>
        </w:rPr>
      </w:pPr>
      <w:r>
        <w:rPr>
          <w:rFonts w:hint="default" w:ascii="Times New Roman" w:hAnsi="Times New Roman" w:eastAsia="方正楷体简体" w:cs="Times New Roman"/>
          <w:b/>
          <w:color w:val="auto"/>
          <w:sz w:val="32"/>
          <w:szCs w:val="32"/>
          <w:highlight w:val="none"/>
          <w:lang w:val="en-US" w:eastAsia="zh-CN"/>
        </w:rPr>
        <w:t>（四）政府信息公开平台建设情况。</w:t>
      </w:r>
      <w:r>
        <w:rPr>
          <w:rFonts w:hint="default" w:eastAsia="方正仿宋简体" w:cs="Times New Roman"/>
          <w:b/>
          <w:color w:val="auto"/>
          <w:sz w:val="32"/>
          <w:szCs w:val="32"/>
          <w:lang w:val="en-US" w:eastAsia="zh-CN"/>
        </w:rPr>
        <w:t>形成以门户网站为核心、政务新媒体与多元化渠道协同发展的公开矩阵。局门户网站作为第一平台，通过科学设置</w:t>
      </w:r>
      <w:r>
        <w:rPr>
          <w:rFonts w:hint="eastAsia" w:eastAsia="方正仿宋简体" w:cs="Times New Roman"/>
          <w:b/>
          <w:color w:val="auto"/>
          <w:sz w:val="32"/>
          <w:szCs w:val="32"/>
          <w:lang w:val="en-US" w:eastAsia="zh-CN"/>
        </w:rPr>
        <w:t>新闻动态、</w:t>
      </w:r>
      <w:r>
        <w:rPr>
          <w:rFonts w:hint="default" w:eastAsia="方正仿宋简体" w:cs="Times New Roman"/>
          <w:b/>
          <w:color w:val="auto"/>
          <w:sz w:val="32"/>
          <w:szCs w:val="32"/>
          <w:lang w:val="en-US" w:eastAsia="zh-CN"/>
        </w:rPr>
        <w:t>通知公告等专栏，确保公开内容归类清晰。“济宁交通”微信公众号作为重要窗口，及时发布权威信息</w:t>
      </w:r>
      <w:r>
        <w:rPr>
          <w:rFonts w:hint="eastAsia" w:eastAsia="方正仿宋简体" w:cs="Times New Roman"/>
          <w:b/>
          <w:color w:val="auto"/>
          <w:sz w:val="32"/>
          <w:szCs w:val="32"/>
          <w:lang w:val="en-US" w:eastAsia="zh-CN"/>
        </w:rPr>
        <w:t>、</w:t>
      </w:r>
      <w:r>
        <w:rPr>
          <w:rFonts w:hint="default" w:eastAsia="方正仿宋简体" w:cs="Times New Roman"/>
          <w:b/>
          <w:color w:val="auto"/>
          <w:sz w:val="32"/>
          <w:szCs w:val="32"/>
          <w:lang w:val="en-US" w:eastAsia="zh-CN"/>
        </w:rPr>
        <w:t>提供便民服务。积极通过参与政风行风热线直播</w:t>
      </w:r>
      <w:r>
        <w:rPr>
          <w:rFonts w:hint="eastAsia" w:eastAsia="方正仿宋简体" w:cs="Times New Roman"/>
          <w:b/>
          <w:color w:val="auto"/>
          <w:sz w:val="32"/>
          <w:szCs w:val="32"/>
          <w:lang w:val="en-US" w:eastAsia="zh-CN"/>
        </w:rPr>
        <w:t>、在线访谈</w:t>
      </w:r>
      <w:r>
        <w:rPr>
          <w:rFonts w:hint="default" w:eastAsia="方正仿宋简体" w:cs="Times New Roman"/>
          <w:b/>
          <w:color w:val="auto"/>
          <w:sz w:val="32"/>
          <w:szCs w:val="32"/>
          <w:lang w:val="en-US" w:eastAsia="zh-CN"/>
        </w:rPr>
        <w:t>等互动形式拓宽公开渠道，在为民服务大厅设置</w:t>
      </w:r>
      <w:r>
        <w:rPr>
          <w:rFonts w:hint="eastAsia" w:eastAsia="方正仿宋简体" w:cs="Times New Roman"/>
          <w:b/>
          <w:color w:val="auto"/>
          <w:sz w:val="32"/>
          <w:szCs w:val="32"/>
          <w:lang w:val="en-US" w:eastAsia="zh-CN"/>
        </w:rPr>
        <w:t>办事</w:t>
      </w:r>
      <w:r>
        <w:rPr>
          <w:rFonts w:hint="default" w:eastAsia="方正仿宋简体" w:cs="Times New Roman"/>
          <w:b/>
          <w:color w:val="auto"/>
          <w:sz w:val="32"/>
          <w:szCs w:val="32"/>
          <w:lang w:val="en-US" w:eastAsia="zh-CN"/>
        </w:rPr>
        <w:t>窗口，便利公众获取信息。全年</w:t>
      </w:r>
      <w:r>
        <w:rPr>
          <w:rFonts w:hint="eastAsia" w:eastAsia="方正仿宋简体" w:cs="Times New Roman"/>
          <w:b/>
          <w:color w:val="auto"/>
          <w:sz w:val="32"/>
          <w:szCs w:val="32"/>
          <w:lang w:val="en-US" w:eastAsia="zh-CN"/>
        </w:rPr>
        <w:t>通过门户网站累计推送</w:t>
      </w:r>
      <w:r>
        <w:rPr>
          <w:rFonts w:hint="default" w:eastAsia="方正仿宋简体" w:cs="Times New Roman"/>
          <w:b/>
          <w:color w:val="auto"/>
          <w:sz w:val="32"/>
          <w:szCs w:val="32"/>
          <w:lang w:val="en-US" w:eastAsia="zh-CN"/>
        </w:rPr>
        <w:t>政务动态1069条，更新信息公开目录187条</w:t>
      </w:r>
      <w:r>
        <w:rPr>
          <w:rFonts w:hint="eastAsia" w:eastAsia="方正仿宋简体" w:cs="Times New Roman"/>
          <w:b/>
          <w:color w:val="auto"/>
          <w:sz w:val="32"/>
          <w:szCs w:val="32"/>
          <w:lang w:val="en-US" w:eastAsia="zh-CN"/>
        </w:rPr>
        <w:t>，发布解读信</w:t>
      </w:r>
      <w:r>
        <w:rPr>
          <w:rFonts w:hint="eastAsia" w:eastAsia="方正仿宋简体" w:cs="Times New Roman"/>
          <w:b/>
          <w:color w:val="auto"/>
          <w:sz w:val="32"/>
          <w:szCs w:val="32"/>
          <w:highlight w:val="none"/>
          <w:lang w:val="en-US" w:eastAsia="zh-CN"/>
        </w:rPr>
        <w:t>息9条；政务服务事项共58项，办件量5220件</w:t>
      </w:r>
      <w:r>
        <w:rPr>
          <w:rFonts w:hint="default" w:eastAsia="方正仿宋简体" w:cs="Times New Roman"/>
          <w:b/>
          <w:color w:val="auto"/>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560" w:lineRule="exact"/>
        <w:ind w:right="-160" w:rightChars="-50" w:firstLine="642"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楷体简体" w:cs="Times New Roman"/>
          <w:b/>
          <w:color w:val="auto"/>
          <w:sz w:val="32"/>
          <w:szCs w:val="32"/>
          <w:highlight w:val="none"/>
        </w:rPr>
        <w:t>（五）</w:t>
      </w:r>
      <w:r>
        <w:rPr>
          <w:rFonts w:hint="default" w:ascii="Times New Roman" w:hAnsi="Times New Roman" w:eastAsia="方正楷体简体" w:cs="Times New Roman"/>
          <w:b/>
          <w:color w:val="auto"/>
          <w:sz w:val="32"/>
          <w:szCs w:val="32"/>
          <w:highlight w:val="none"/>
          <w:lang w:val="en-US" w:eastAsia="zh-CN"/>
        </w:rPr>
        <w:t>监督</w:t>
      </w:r>
      <w:r>
        <w:rPr>
          <w:rFonts w:hint="default" w:ascii="Times New Roman" w:hAnsi="Times New Roman" w:eastAsia="方正楷体简体" w:cs="Times New Roman"/>
          <w:b/>
          <w:color w:val="auto"/>
          <w:sz w:val="32"/>
          <w:szCs w:val="32"/>
          <w:highlight w:val="none"/>
        </w:rPr>
        <w:t>保障</w:t>
      </w:r>
      <w:r>
        <w:rPr>
          <w:rFonts w:hint="default" w:ascii="Times New Roman" w:hAnsi="Times New Roman" w:eastAsia="方正楷体简体" w:cs="Times New Roman"/>
          <w:b/>
          <w:color w:val="auto"/>
          <w:sz w:val="32"/>
          <w:szCs w:val="32"/>
          <w:highlight w:val="none"/>
          <w:lang w:val="en-US" w:eastAsia="zh-CN"/>
        </w:rPr>
        <w:t>情况。</w:t>
      </w:r>
      <w:r>
        <w:rPr>
          <w:rFonts w:hint="eastAsia" w:ascii="黑体" w:hAnsi="黑体" w:eastAsia="黑体" w:cs="黑体"/>
          <w:b/>
          <w:color w:val="auto"/>
          <w:sz w:val="32"/>
          <w:szCs w:val="32"/>
          <w:highlight w:val="none"/>
          <w:lang w:val="en-US" w:eastAsia="zh-CN"/>
        </w:rPr>
        <w:t>健全组织领导，</w:t>
      </w:r>
      <w:r>
        <w:rPr>
          <w:rFonts w:hint="default" w:ascii="Times New Roman" w:hAnsi="Times New Roman" w:eastAsia="方正仿宋简体" w:cs="Times New Roman"/>
          <w:b/>
          <w:color w:val="auto"/>
          <w:sz w:val="32"/>
          <w:szCs w:val="32"/>
          <w:highlight w:val="none"/>
          <w:lang w:val="en-US" w:eastAsia="zh-CN"/>
        </w:rPr>
        <w:t>将政务公开工作纳入重要议事日程，形成办公室牵头、各</w:t>
      </w:r>
      <w:r>
        <w:rPr>
          <w:rFonts w:hint="eastAsia" w:eastAsia="方正仿宋简体" w:cs="Times New Roman"/>
          <w:b/>
          <w:color w:val="auto"/>
          <w:sz w:val="32"/>
          <w:szCs w:val="32"/>
          <w:highlight w:val="none"/>
          <w:lang w:val="en-US" w:eastAsia="zh-CN"/>
        </w:rPr>
        <w:t>单位</w:t>
      </w:r>
      <w:r>
        <w:rPr>
          <w:rFonts w:hint="default" w:ascii="Times New Roman" w:hAnsi="Times New Roman" w:eastAsia="方正仿宋简体" w:cs="Times New Roman"/>
          <w:b/>
          <w:color w:val="auto"/>
          <w:sz w:val="32"/>
          <w:szCs w:val="32"/>
          <w:highlight w:val="none"/>
          <w:lang w:val="en-US" w:eastAsia="zh-CN"/>
        </w:rPr>
        <w:t>科室协同配合的工作格局。</w:t>
      </w:r>
      <w:r>
        <w:rPr>
          <w:rFonts w:hint="eastAsia" w:ascii="黑体" w:hAnsi="黑体" w:eastAsia="黑体" w:cs="黑体"/>
          <w:b/>
          <w:color w:val="auto"/>
          <w:sz w:val="32"/>
          <w:szCs w:val="32"/>
          <w:highlight w:val="none"/>
          <w:lang w:val="en-US" w:eastAsia="zh-CN"/>
        </w:rPr>
        <w:t>强化考核培训，</w:t>
      </w:r>
      <w:r>
        <w:rPr>
          <w:rFonts w:hint="default" w:ascii="Times New Roman" w:hAnsi="Times New Roman" w:eastAsia="方正仿宋简体" w:cs="Times New Roman"/>
          <w:b/>
          <w:color w:val="auto"/>
          <w:sz w:val="32"/>
          <w:szCs w:val="32"/>
          <w:highlight w:val="none"/>
          <w:lang w:val="en-US" w:eastAsia="zh-CN"/>
        </w:rPr>
        <w:t>积极组织相关人员参加省、市举办的政务公开业务培训，提升工作人员的专业能力和水平。</w:t>
      </w:r>
      <w:r>
        <w:rPr>
          <w:rFonts w:hint="default" w:ascii="黑体" w:hAnsi="黑体" w:eastAsia="黑体" w:cs="黑体"/>
          <w:b/>
          <w:color w:val="auto"/>
          <w:sz w:val="32"/>
          <w:szCs w:val="32"/>
          <w:highlight w:val="none"/>
          <w:lang w:val="en-US" w:eastAsia="zh-CN"/>
        </w:rPr>
        <w:t>主动接受监督</w:t>
      </w:r>
      <w:r>
        <w:rPr>
          <w:rFonts w:hint="eastAsia" w:ascii="黑体" w:hAnsi="黑体" w:eastAsia="黑体" w:cs="黑体"/>
          <w:b/>
          <w:color w:val="auto"/>
          <w:sz w:val="32"/>
          <w:szCs w:val="32"/>
          <w:highlight w:val="none"/>
          <w:lang w:val="en-US" w:eastAsia="zh-CN"/>
        </w:rPr>
        <w:t>，</w:t>
      </w:r>
      <w:r>
        <w:rPr>
          <w:rFonts w:hint="default" w:ascii="Times New Roman" w:hAnsi="Times New Roman" w:eastAsia="方正仿宋简体" w:cs="Times New Roman"/>
          <w:b/>
          <w:color w:val="auto"/>
          <w:sz w:val="32"/>
          <w:szCs w:val="32"/>
          <w:highlight w:val="none"/>
          <w:lang w:val="en-US" w:eastAsia="zh-CN"/>
        </w:rPr>
        <w:t>认真做好人大代表建议和政协委员提案办理结果公开工作。自觉接受社会公众、新闻媒体和上级主管部门的监督，对发现的问题及时整改。</w:t>
      </w:r>
    </w:p>
    <w:p>
      <w:pPr>
        <w:keepNext w:val="0"/>
        <w:keepLines w:val="0"/>
        <w:pageBreakBefore w:val="0"/>
        <w:numPr>
          <w:ilvl w:val="0"/>
          <w:numId w:val="2"/>
        </w:numPr>
        <w:kinsoku/>
        <w:wordWrap/>
        <w:overflowPunct/>
        <w:topLinePunct w:val="0"/>
        <w:autoSpaceDE/>
        <w:autoSpaceDN/>
        <w:bidi w:val="0"/>
        <w:adjustRightInd/>
        <w:snapToGrid/>
        <w:spacing w:line="560" w:lineRule="exact"/>
        <w:ind w:right="-160" w:rightChars="-50" w:firstLine="642" w:firstLineChars="200"/>
        <w:textAlignment w:val="auto"/>
        <w:outlineLvl w:val="0"/>
        <w:rPr>
          <w:rFonts w:hint="default" w:ascii="Times New Roman" w:hAnsi="Times New Roman" w:eastAsia="方正黑体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主动公开政府信息情况</w:t>
      </w:r>
    </w:p>
    <w:tbl>
      <w:tblPr>
        <w:tblStyle w:val="8"/>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sz w:val="20"/>
                <w:szCs w:val="20"/>
              </w:rPr>
            </w:pPr>
            <w:r>
              <w:rPr>
                <w:rFonts w:hint="eastAsia" w:ascii="宋体" w:hAnsi="宋体" w:eastAsia="宋体" w:cs="宋体"/>
                <w:b/>
                <w:bCs w:val="0"/>
                <w:color w:val="auto"/>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b/>
                <w:bCs w:val="0"/>
                <w:color w:val="auto"/>
                <w:sz w:val="20"/>
                <w:szCs w:val="20"/>
                <w:lang w:val="en-US"/>
              </w:rPr>
            </w:pPr>
            <w:r>
              <w:rPr>
                <w:rFonts w:hint="default" w:ascii="Times New Roman" w:hAnsi="Times New Roman" w:eastAsia="宋体" w:cs="Times New Roman"/>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宋体"/>
                <w:b/>
                <w:bCs w:val="0"/>
                <w:color w:val="auto"/>
                <w:sz w:val="20"/>
                <w:szCs w:val="20"/>
                <w:lang w:val="en-US" w:eastAsia="zh-CN"/>
              </w:rPr>
            </w:pPr>
            <w:r>
              <w:rPr>
                <w:rFonts w:hint="eastAsia"/>
                <w:b/>
                <w:bCs w:val="0"/>
                <w:color w:val="auto"/>
                <w:sz w:val="20"/>
                <w:szCs w:val="20"/>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宋体"/>
                <w:b/>
                <w:bCs w:val="0"/>
                <w:color w:val="auto"/>
                <w:sz w:val="20"/>
                <w:szCs w:val="20"/>
                <w:lang w:val="en-US" w:eastAsia="zh-CN"/>
              </w:rPr>
            </w:pPr>
            <w:r>
              <w:rPr>
                <w:rFonts w:hint="eastAsia"/>
                <w:b/>
                <w:bCs w:val="0"/>
                <w:color w:val="auto"/>
                <w:sz w:val="20"/>
                <w:szCs w:val="20"/>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sz w:val="20"/>
                <w:szCs w:val="20"/>
              </w:rPr>
            </w:pPr>
            <w:r>
              <w:rPr>
                <w:rFonts w:hint="eastAsia" w:ascii="宋体" w:hAnsi="宋体" w:eastAsia="宋体" w:cs="宋体"/>
                <w:b/>
                <w:bCs w:val="0"/>
                <w:color w:val="auto"/>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宋体"/>
                <w:b/>
                <w:bCs w:val="0"/>
                <w:color w:val="auto"/>
                <w:sz w:val="20"/>
                <w:szCs w:val="20"/>
                <w:lang w:val="en-US" w:eastAsia="zh-CN"/>
              </w:rPr>
            </w:pPr>
            <w:r>
              <w:rPr>
                <w:rFonts w:hint="eastAsia"/>
                <w:b/>
                <w:bCs w:val="0"/>
                <w:color w:val="auto"/>
                <w:sz w:val="20"/>
                <w:szCs w:val="20"/>
                <w:lang w:val="en-US" w:eastAsia="zh-CN"/>
              </w:rPr>
              <w:t>1</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宋体"/>
                <w:b/>
                <w:bCs w:val="0"/>
                <w:color w:val="auto"/>
                <w:sz w:val="20"/>
                <w:szCs w:val="20"/>
                <w:lang w:val="en-US" w:eastAsia="zh-CN"/>
              </w:rPr>
            </w:pPr>
            <w:r>
              <w:rPr>
                <w:rFonts w:hint="eastAsia"/>
                <w:b/>
                <w:bCs w:val="0"/>
                <w:color w:val="auto"/>
                <w:sz w:val="20"/>
                <w:szCs w:val="20"/>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宋体"/>
                <w:b/>
                <w:bCs w:val="0"/>
                <w:color w:val="auto"/>
                <w:sz w:val="20"/>
                <w:szCs w:val="20"/>
                <w:lang w:val="en-US" w:eastAsia="zh-CN"/>
              </w:rPr>
            </w:pPr>
            <w:r>
              <w:rPr>
                <w:rFonts w:hint="eastAsia"/>
                <w:b/>
                <w:bCs w:val="0"/>
                <w:color w:val="auto"/>
                <w:sz w:val="20"/>
                <w:szCs w:val="20"/>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b/>
                <w:bCs w:val="0"/>
                <w:color w:val="auto"/>
                <w:lang w:val="en-US"/>
              </w:rPr>
            </w:pPr>
            <w:r>
              <w:rPr>
                <w:rFonts w:hint="default" w:ascii="Times New Roman" w:hAnsi="Times New Roman" w:eastAsia="宋体" w:cs="Times New Roman"/>
                <w:b/>
                <w:bCs w:val="0"/>
                <w:color w:val="auto"/>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highlight w:val="none"/>
              </w:rPr>
            </w:pPr>
            <w:r>
              <w:rPr>
                <w:rFonts w:hint="eastAsia" w:ascii="宋体" w:hAnsi="宋体" w:eastAsia="宋体" w:cs="宋体"/>
                <w:b/>
                <w:bCs w:val="0"/>
                <w:color w:val="auto"/>
                <w:kern w:val="0"/>
                <w:sz w:val="20"/>
                <w:szCs w:val="20"/>
                <w:highlight w:val="none"/>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b/>
                <w:bCs w:val="0"/>
                <w:color w:val="auto"/>
                <w:highlight w:val="none"/>
                <w:lang w:val="en-US"/>
              </w:rPr>
            </w:pPr>
            <w:r>
              <w:rPr>
                <w:rFonts w:hint="eastAsia" w:eastAsia="宋体" w:cs="Times New Roman"/>
                <w:b/>
                <w:bCs w:val="0"/>
                <w:color w:val="auto"/>
                <w:kern w:val="0"/>
                <w:sz w:val="20"/>
                <w:szCs w:val="20"/>
                <w:highlight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lang w:val="en-US"/>
              </w:rPr>
            </w:pPr>
            <w:r>
              <w:rPr>
                <w:rFonts w:hint="eastAsia" w:cs="Times New Roman"/>
                <w:b/>
                <w:bCs w:val="0"/>
                <w:color w:val="auto"/>
                <w:kern w:val="0"/>
                <w:sz w:val="20"/>
                <w:szCs w:val="2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3" w:hRule="atLeast"/>
          <w:tblHeader/>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eastAsia="宋体"/>
                <w:b/>
                <w:bCs w:val="0"/>
                <w:color w:val="auto"/>
                <w:sz w:val="24"/>
                <w:szCs w:val="24"/>
                <w:lang w:val="en-US" w:eastAsia="zh-CN"/>
              </w:rPr>
            </w:pPr>
            <w:r>
              <w:rPr>
                <w:rFonts w:hint="default" w:ascii="Times New Roman" w:hAnsi="Times New Roman" w:cs="Times New Roman"/>
                <w:b/>
                <w:bCs w:val="0"/>
                <w:color w:val="auto"/>
                <w:sz w:val="24"/>
                <w:szCs w:val="24"/>
                <w:lang w:val="en-US" w:eastAsia="zh-CN"/>
              </w:rPr>
              <w:t>0</w:t>
            </w:r>
          </w:p>
        </w:tc>
      </w:tr>
    </w:tbl>
    <w:p>
      <w:pPr>
        <w:keepNext w:val="0"/>
        <w:keepLines w:val="0"/>
        <w:pageBreakBefore w:val="0"/>
        <w:kinsoku/>
        <w:wordWrap/>
        <w:overflowPunct/>
        <w:topLinePunct w:val="0"/>
        <w:autoSpaceDE/>
        <w:autoSpaceDN/>
        <w:bidi w:val="0"/>
        <w:adjustRightInd/>
        <w:snapToGrid/>
        <w:spacing w:before="62" w:beforeLines="10" w:after="62" w:afterLines="10" w:line="560" w:lineRule="exact"/>
        <w:ind w:firstLine="642" w:firstLineChars="200"/>
        <w:textAlignment w:val="auto"/>
        <w:outlineLvl w:val="0"/>
        <w:rPr>
          <w:rFonts w:hint="default" w:ascii="Times New Roman" w:hAnsi="Times New Roman" w:eastAsia="方正黑体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三、收到和处理政府信息公开申请情况</w:t>
      </w: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19"/>
        <w:gridCol w:w="688"/>
        <w:gridCol w:w="688"/>
        <w:gridCol w:w="688"/>
        <w:gridCol w:w="688"/>
        <w:gridCol w:w="688"/>
        <w:gridCol w:w="689"/>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restart"/>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ascii="楷体" w:hAnsi="楷体" w:eastAsia="楷体" w:cs="楷体"/>
                <w:b/>
                <w:bCs w:val="0"/>
                <w:color w:val="auto"/>
                <w:kern w:val="0"/>
                <w:sz w:val="20"/>
                <w:szCs w:val="20"/>
                <w:lang w:val="en-US" w:eastAsia="zh-CN" w:bidi="ar"/>
              </w:rPr>
              <w:t>（本列数据的勾稽关系为：第一项加第二项之和，等于第三项加第四项之和）</w:t>
            </w:r>
          </w:p>
        </w:tc>
        <w:tc>
          <w:tcPr>
            <w:tcW w:w="4818" w:type="dxa"/>
            <w:gridSpan w:val="7"/>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688" w:type="dxa"/>
            <w:vMerge w:val="restart"/>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自然人</w:t>
            </w:r>
          </w:p>
        </w:tc>
        <w:tc>
          <w:tcPr>
            <w:tcW w:w="3441" w:type="dxa"/>
            <w:gridSpan w:val="5"/>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688" w:type="dxa"/>
            <w:vMerge w:val="continue"/>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商业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企业</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科研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法律服务机构</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4930"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highlight w:val="none"/>
              </w:rPr>
            </w:pPr>
            <w:r>
              <w:rPr>
                <w:rFonts w:hint="eastAsia" w:ascii="宋体" w:hAnsi="宋体" w:eastAsia="宋体" w:cs="宋体"/>
                <w:b/>
                <w:bCs w:val="0"/>
                <w:color w:val="auto"/>
                <w:kern w:val="0"/>
                <w:sz w:val="20"/>
                <w:szCs w:val="20"/>
                <w:highlight w:val="none"/>
                <w:lang w:val="en-US" w:eastAsia="zh-CN"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highlight w:val="none"/>
                <w:lang w:val="en-US"/>
              </w:rPr>
            </w:pPr>
            <w:r>
              <w:rPr>
                <w:rFonts w:hint="eastAsia" w:eastAsia="宋体" w:cs="Times New Roman"/>
                <w:b/>
                <w:bCs w:val="0"/>
                <w:color w:val="auto"/>
                <w:kern w:val="0"/>
                <w:sz w:val="20"/>
                <w:szCs w:val="20"/>
                <w:highlight w:val="none"/>
                <w:lang w:val="en-US" w:eastAsia="zh-CN" w:bidi="ar"/>
              </w:rPr>
              <w:t>5</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highlight w:val="none"/>
                <w:lang w:val="en-US"/>
              </w:rPr>
            </w:pPr>
            <w:r>
              <w:rPr>
                <w:rFonts w:hint="default" w:ascii="Times New Roman" w:hAnsi="Times New Roman" w:eastAsia="宋体" w:cs="Times New Roman"/>
                <w:b/>
                <w:bCs w:val="0"/>
                <w:color w:val="auto"/>
                <w:kern w:val="0"/>
                <w:sz w:val="20"/>
                <w:szCs w:val="20"/>
                <w:highlight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highlight w:val="none"/>
              </w:rPr>
            </w:pPr>
            <w:r>
              <w:rPr>
                <w:rFonts w:hint="default" w:ascii="Times New Roman" w:hAnsi="Times New Roman" w:eastAsia="宋体" w:cs="Times New Roman"/>
                <w:b/>
                <w:bCs w:val="0"/>
                <w:color w:val="auto"/>
                <w:kern w:val="0"/>
                <w:sz w:val="20"/>
                <w:szCs w:val="20"/>
                <w:highlight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highlight w:val="none"/>
              </w:rPr>
            </w:pPr>
            <w:r>
              <w:rPr>
                <w:rFonts w:hint="eastAsia" w:eastAsia="宋体" w:cs="Times New Roman"/>
                <w:b/>
                <w:bCs w:val="0"/>
                <w:color w:val="auto"/>
                <w:kern w:val="0"/>
                <w:sz w:val="20"/>
                <w:szCs w:val="20"/>
                <w:highlight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highlight w:val="none"/>
                <w:lang w:val="en-US"/>
              </w:rPr>
            </w:pPr>
            <w:r>
              <w:rPr>
                <w:rFonts w:hint="eastAsia" w:ascii="Times New Roman" w:hAnsi="Times New Roman" w:eastAsia="宋体" w:cs="Times New Roman"/>
                <w:b/>
                <w:bCs w:val="0"/>
                <w:color w:val="auto"/>
                <w:kern w:val="0"/>
                <w:sz w:val="20"/>
                <w:szCs w:val="20"/>
                <w:highlight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highlight w:val="none"/>
                <w:lang w:val="en-US"/>
              </w:rPr>
            </w:pPr>
            <w:r>
              <w:rPr>
                <w:rFonts w:hint="eastAsia" w:ascii="Times New Roman" w:hAnsi="Times New Roman" w:eastAsia="宋体" w:cs="Times New Roman"/>
                <w:b/>
                <w:bCs w:val="0"/>
                <w:color w:val="auto"/>
                <w:kern w:val="0"/>
                <w:sz w:val="20"/>
                <w:szCs w:val="20"/>
                <w:highlight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highlight w:val="none"/>
              </w:rPr>
            </w:pPr>
            <w:r>
              <w:rPr>
                <w:rFonts w:hint="eastAsia" w:eastAsia="宋体" w:cs="Times New Roman"/>
                <w:b/>
                <w:bCs w:val="0"/>
                <w:color w:val="auto"/>
                <w:kern w:val="0"/>
                <w:sz w:val="20"/>
                <w:szCs w:val="20"/>
                <w:highlight w:val="none"/>
                <w:lang w:val="en-US" w:eastAsia="zh-CN" w:bidi="ar"/>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b/>
                <w:bCs w:val="0"/>
                <w:color w:val="auto"/>
              </w:rPr>
            </w:pPr>
            <w:r>
              <w:rPr>
                <w:rFonts w:hint="eastAsia" w:eastAsia="宋体" w:cs="Times New Roman"/>
                <w:b/>
                <w:bCs w:val="0"/>
                <w:color w:val="auto"/>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b/>
                <w:bCs w:val="0"/>
                <w:color w:val="auto"/>
              </w:rPr>
            </w:pPr>
            <w:r>
              <w:rPr>
                <w:rFonts w:hint="eastAsia" w:ascii="Times New Roman" w:hAnsi="Times New Roman" w:eastAsia="宋体"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b/>
                <w:bCs w:val="0"/>
                <w:color w:val="auto"/>
                <w:lang w:val="en-US"/>
              </w:rPr>
            </w:pPr>
            <w:r>
              <w:rPr>
                <w:rFonts w:hint="eastAsia" w:ascii="Times New Roman" w:hAnsi="Times New Roman" w:eastAsia="宋体"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b/>
                <w:bCs w:val="0"/>
                <w:color w:val="auto"/>
              </w:rPr>
            </w:pPr>
            <w:r>
              <w:rPr>
                <w:rFonts w:hint="eastAsia" w:eastAsia="宋体" w:cs="Times New Roman"/>
                <w:b/>
                <w:bCs w:val="0"/>
                <w:color w:val="auto"/>
                <w:kern w:val="0"/>
                <w:sz w:val="20"/>
                <w:szCs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三、本年度办理结果</w:t>
            </w:r>
          </w:p>
        </w:tc>
        <w:tc>
          <w:tcPr>
            <w:tcW w:w="4162" w:type="dxa"/>
            <w:gridSpan w:val="2"/>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eastAsia" w:eastAsia="仿宋_GB2312"/>
                <w:b/>
                <w:bCs w:val="0"/>
                <w:color w:val="auto"/>
                <w:sz w:val="20"/>
                <w:szCs w:val="20"/>
                <w:lang w:val="en-US" w:eastAsia="zh-CN"/>
              </w:rPr>
            </w:pPr>
            <w:r>
              <w:rPr>
                <w:rFonts w:hint="eastAsia"/>
                <w:b/>
                <w:bCs w:val="0"/>
                <w:color w:val="auto"/>
                <w:sz w:val="20"/>
                <w:szCs w:val="20"/>
                <w:lang w:val="en-US" w:eastAsia="zh-CN"/>
              </w:rPr>
              <w:t>2</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eastAsia" w:eastAsia="仿宋_GB2312"/>
                <w:b/>
                <w:bCs w:val="0"/>
                <w:color w:val="auto"/>
                <w:sz w:val="20"/>
                <w:szCs w:val="20"/>
                <w:lang w:val="en-US" w:eastAsia="zh-CN"/>
              </w:rPr>
            </w:pPr>
            <w:r>
              <w:rPr>
                <w:rFonts w:hint="eastAsia"/>
                <w:b/>
                <w:bCs w:val="0"/>
                <w:color w:val="auto"/>
                <w:sz w:val="20"/>
                <w:szCs w:val="20"/>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eastAsia" w:eastAsia="仿宋_GB2312"/>
                <w:b/>
                <w:bCs w:val="0"/>
                <w:color w:val="auto"/>
                <w:sz w:val="20"/>
                <w:szCs w:val="20"/>
                <w:lang w:val="en-US" w:eastAsia="zh-CN"/>
              </w:rPr>
            </w:pPr>
            <w:r>
              <w:rPr>
                <w:rFonts w:hint="eastAsia"/>
                <w:b/>
                <w:bCs w:val="0"/>
                <w:color w:val="auto"/>
                <w:sz w:val="20"/>
                <w:szCs w:val="20"/>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eastAsia" w:eastAsia="仿宋_GB2312"/>
                <w:b/>
                <w:bCs w:val="0"/>
                <w:color w:val="auto"/>
                <w:sz w:val="20"/>
                <w:szCs w:val="20"/>
                <w:lang w:val="en-US" w:eastAsia="zh-CN"/>
              </w:rPr>
            </w:pPr>
            <w:r>
              <w:rPr>
                <w:rFonts w:hint="eastAsia"/>
                <w:b/>
                <w:bCs w:val="0"/>
                <w:color w:val="auto"/>
                <w:sz w:val="20"/>
                <w:szCs w:val="20"/>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eastAsia" w:eastAsia="仿宋_GB2312"/>
                <w:b/>
                <w:bCs w:val="0"/>
                <w:color w:val="auto"/>
                <w:sz w:val="20"/>
                <w:szCs w:val="20"/>
                <w:lang w:val="en-US" w:eastAsia="zh-CN"/>
              </w:rPr>
            </w:pPr>
            <w:r>
              <w:rPr>
                <w:rFonts w:hint="eastAsia"/>
                <w:b/>
                <w:bCs w:val="0"/>
                <w:color w:val="auto"/>
                <w:sz w:val="20"/>
                <w:szCs w:val="20"/>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eastAsia" w:eastAsia="仿宋_GB2312"/>
                <w:b/>
                <w:bCs w:val="0"/>
                <w:color w:val="auto"/>
                <w:sz w:val="20"/>
                <w:szCs w:val="20"/>
                <w:lang w:val="en-US" w:eastAsia="zh-CN"/>
              </w:rPr>
            </w:pPr>
            <w:r>
              <w:rPr>
                <w:rFonts w:hint="eastAsia"/>
                <w:b/>
                <w:bCs w:val="0"/>
                <w:color w:val="auto"/>
                <w:sz w:val="20"/>
                <w:szCs w:val="20"/>
                <w:lang w:val="en-US" w:eastAsia="zh-CN"/>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eastAsia="仿宋_GB2312"/>
                <w:b/>
                <w:bCs w:val="0"/>
                <w:color w:val="auto"/>
                <w:sz w:val="20"/>
                <w:szCs w:val="20"/>
                <w:lang w:val="en-US" w:eastAsia="zh-CN"/>
              </w:rPr>
            </w:pPr>
            <w:r>
              <w:rPr>
                <w:rFonts w:hint="eastAsia"/>
                <w:b/>
                <w:bCs w:val="0"/>
                <w:color w:val="auto"/>
                <w:sz w:val="20"/>
                <w:szCs w:val="20"/>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4162" w:type="dxa"/>
            <w:gridSpan w:val="2"/>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（二）部分公开</w:t>
            </w:r>
            <w:r>
              <w:rPr>
                <w:rFonts w:hint="eastAsia" w:ascii="楷体" w:hAnsi="楷体" w:eastAsia="楷体" w:cs="楷体"/>
                <w:b/>
                <w:bCs w:val="0"/>
                <w:color w:val="auto"/>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sz w:val="20"/>
                <w:szCs w:val="20"/>
                <w:lang w:val="en-US" w:eastAsia="zh-CN" w:bidi="ar-SA"/>
              </w:rPr>
            </w:pPr>
            <w:r>
              <w:rPr>
                <w:rFonts w:hint="eastAsia" w:eastAsia="宋体" w:cs="Times New Roman"/>
                <w:b/>
                <w:bCs w:val="0"/>
                <w:color w:val="auto"/>
                <w:sz w:val="20"/>
                <w:szCs w:val="20"/>
                <w:lang w:val="en-US" w:eastAsia="zh-CN" w:bidi="ar-SA"/>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sz w:val="20"/>
                <w:szCs w:val="20"/>
                <w:lang w:val="en-US" w:eastAsia="zh-CN" w:bidi="ar-SA"/>
              </w:rPr>
            </w:pPr>
            <w:r>
              <w:rPr>
                <w:rFonts w:hint="eastAsia" w:eastAsia="宋体" w:cs="Times New Roman"/>
                <w:b/>
                <w:bCs w:val="0"/>
                <w:color w:val="auto"/>
                <w:sz w:val="20"/>
                <w:szCs w:val="20"/>
                <w:lang w:val="en-US" w:eastAsia="zh-CN" w:bidi="ar-SA"/>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（三）不予公开</w:t>
            </w: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sz w:val="20"/>
                <w:szCs w:val="20"/>
                <w:lang w:val="en-US" w:eastAsia="zh-CN" w:bidi="ar-SA"/>
              </w:rPr>
            </w:pPr>
            <w:r>
              <w:rPr>
                <w:rFonts w:hint="eastAsia" w:eastAsia="宋体" w:cs="Times New Roman"/>
                <w:b/>
                <w:bCs w:val="0"/>
                <w:color w:val="auto"/>
                <w:sz w:val="20"/>
                <w:szCs w:val="20"/>
                <w:lang w:val="en-US" w:eastAsia="zh-CN" w:bidi="ar-S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（四）无法提供</w:t>
            </w: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3</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（五）不予处理</w:t>
            </w: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3219"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both"/>
              <w:textAlignment w:val="auto"/>
              <w:rPr>
                <w:b/>
                <w:bCs w:val="0"/>
                <w:color w:val="auto"/>
              </w:rPr>
            </w:pPr>
            <w:r>
              <w:rPr>
                <w:rFonts w:hint="eastAsia" w:ascii="宋体" w:hAnsi="宋体" w:eastAsia="宋体" w:cs="宋体"/>
                <w:b/>
                <w:bCs w:val="0"/>
                <w:color w:val="auto"/>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943" w:type="dxa"/>
            <w:vMerge w:val="restart"/>
            <w:tcBorders>
              <w:top w:val="outset" w:color="auto" w:sz="8" w:space="0"/>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（六）其他处理</w:t>
            </w:r>
          </w:p>
        </w:tc>
        <w:tc>
          <w:tcPr>
            <w:tcW w:w="321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both"/>
              <w:textAlignment w:val="auto"/>
              <w:rPr>
                <w:b/>
                <w:bCs w:val="0"/>
                <w:color w:val="auto"/>
              </w:rPr>
            </w:pPr>
            <w:r>
              <w:rPr>
                <w:rFonts w:hint="eastAsia" w:ascii="宋体" w:hAnsi="宋体" w:eastAsia="宋体" w:cs="宋体"/>
                <w:b/>
                <w:bCs w:val="0"/>
                <w:color w:val="auto"/>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943" w:type="dxa"/>
            <w:vMerge w:val="continue"/>
            <w:tcBorders>
              <w:top w:val="outset" w:color="auto" w:sz="8" w:space="0"/>
              <w:left w:val="nil"/>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both"/>
              <w:textAlignment w:val="auto"/>
              <w:rPr>
                <w:b/>
                <w:bCs w:val="0"/>
                <w:color w:val="auto"/>
              </w:rPr>
            </w:pPr>
            <w:r>
              <w:rPr>
                <w:rFonts w:hint="eastAsia" w:ascii="宋体" w:hAnsi="宋体" w:eastAsia="宋体" w:cs="宋体"/>
                <w:b/>
                <w:bCs w:val="0"/>
                <w:color w:val="auto"/>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943" w:type="dxa"/>
            <w:vMerge w:val="continue"/>
            <w:tcBorders>
              <w:top w:val="outset" w:color="auto" w:sz="8" w:space="0"/>
              <w:left w:val="nil"/>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kern w:val="2"/>
                <w:sz w:val="20"/>
                <w:szCs w:val="20"/>
                <w:lang w:val="en-US" w:eastAsia="zh-CN" w:bidi="ar-SA"/>
              </w:rPr>
            </w:pPr>
            <w:r>
              <w:rPr>
                <w:rFonts w:hint="eastAsia" w:eastAsia="宋体" w:cs="Times New Roman"/>
                <w:b/>
                <w:bCs w:val="0"/>
                <w:color w:val="auto"/>
                <w:sz w:val="20"/>
                <w:szCs w:val="20"/>
                <w:lang w:val="en-US" w:eastAsia="zh-CN" w:bidi="ar-S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ind w:firstLine="0" w:firstLineChars="0"/>
              <w:textAlignment w:val="auto"/>
              <w:rPr>
                <w:rFonts w:hint="eastAsia" w:ascii="宋体"/>
                <w:b/>
                <w:bCs w:val="0"/>
                <w:color w:val="auto"/>
                <w:sz w:val="24"/>
                <w:szCs w:val="24"/>
              </w:rPr>
            </w:pPr>
          </w:p>
        </w:tc>
        <w:tc>
          <w:tcPr>
            <w:tcW w:w="4162" w:type="dxa"/>
            <w:gridSpan w:val="2"/>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sz w:val="20"/>
                <w:szCs w:val="20"/>
              </w:rPr>
            </w:pPr>
            <w:r>
              <w:rPr>
                <w:rFonts w:hint="eastAsia" w:eastAsia="宋体" w:cs="Times New Roman"/>
                <w:b/>
                <w:bCs w:val="0"/>
                <w:color w:val="auto"/>
                <w:kern w:val="0"/>
                <w:sz w:val="20"/>
                <w:szCs w:val="20"/>
                <w:lang w:val="en-US" w:eastAsia="zh-CN" w:bidi="ar"/>
              </w:rPr>
              <w:t>6</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sz w:val="20"/>
                <w:szCs w:val="20"/>
                <w:lang w:val="en-US"/>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sz w:val="20"/>
                <w:szCs w:val="20"/>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sz w:val="20"/>
                <w:szCs w:val="20"/>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sz w:val="20"/>
                <w:szCs w:val="20"/>
              </w:rPr>
            </w:pPr>
            <w:r>
              <w:rPr>
                <w:rFonts w:hint="default" w:ascii="Times New Roman" w:hAnsi="Times New Roman" w:eastAsia="宋体"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sz w:val="20"/>
                <w:szCs w:val="20"/>
              </w:rPr>
            </w:pPr>
            <w:r>
              <w:rPr>
                <w:rFonts w:hint="default" w:ascii="Times New Roman" w:hAnsi="Times New Roman" w:eastAsia="宋体"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sz w:val="20"/>
                <w:szCs w:val="20"/>
              </w:rPr>
            </w:pPr>
            <w:r>
              <w:rPr>
                <w:rFonts w:hint="eastAsia" w:eastAsia="宋体" w:cs="Times New Roman"/>
                <w:b/>
                <w:bCs w:val="0"/>
                <w:color w:val="auto"/>
                <w:kern w:val="0"/>
                <w:sz w:val="20"/>
                <w:szCs w:val="20"/>
                <w:lang w:val="en-US" w:eastAsia="zh-CN" w:bidi="ar"/>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left"/>
              <w:textAlignment w:val="auto"/>
              <w:rPr>
                <w:b/>
                <w:bCs w:val="0"/>
                <w:color w:val="auto"/>
              </w:rPr>
            </w:pPr>
            <w:r>
              <w:rPr>
                <w:rFonts w:hint="eastAsia" w:ascii="宋体" w:hAnsi="宋体" w:eastAsia="宋体" w:cs="宋体"/>
                <w:b/>
                <w:bCs w:val="0"/>
                <w:color w:val="auto"/>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sz w:val="20"/>
                <w:szCs w:val="20"/>
                <w:lang w:val="en-US"/>
              </w:rPr>
            </w:pPr>
            <w:r>
              <w:rPr>
                <w:rFonts w:hint="eastAsia"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sz w:val="20"/>
                <w:szCs w:val="20"/>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sz w:val="20"/>
                <w:szCs w:val="20"/>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sz w:val="20"/>
                <w:szCs w:val="20"/>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sz w:val="20"/>
                <w:szCs w:val="20"/>
              </w:rPr>
            </w:pPr>
            <w:r>
              <w:rPr>
                <w:rFonts w:hint="default" w:ascii="Times New Roman" w:hAnsi="Times New Roman" w:eastAsia="宋体"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sz w:val="20"/>
                <w:szCs w:val="20"/>
              </w:rPr>
            </w:pPr>
            <w:r>
              <w:rPr>
                <w:rFonts w:hint="default" w:ascii="Times New Roman" w:hAnsi="Times New Roman" w:eastAsia="宋体"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b/>
                <w:bCs w:val="0"/>
                <w:color w:val="auto"/>
                <w:sz w:val="20"/>
                <w:szCs w:val="20"/>
                <w:lang w:val="en-US" w:eastAsia="zh-CN"/>
              </w:rPr>
            </w:pPr>
            <w:r>
              <w:rPr>
                <w:rFonts w:hint="eastAsia" w:cs="Times New Roman"/>
                <w:b/>
                <w:bCs w:val="0"/>
                <w:color w:val="auto"/>
                <w:sz w:val="20"/>
                <w:szCs w:val="20"/>
                <w:lang w:val="en-US" w:eastAsia="zh-CN"/>
              </w:rPr>
              <w:t>0</w:t>
            </w:r>
          </w:p>
        </w:tc>
      </w:tr>
    </w:tbl>
    <w:p>
      <w:pPr>
        <w:keepNext w:val="0"/>
        <w:keepLines w:val="0"/>
        <w:pageBreakBefore w:val="0"/>
        <w:kinsoku/>
        <w:wordWrap/>
        <w:overflowPunct/>
        <w:topLinePunct w:val="0"/>
        <w:autoSpaceDE/>
        <w:autoSpaceDN/>
        <w:bidi w:val="0"/>
        <w:adjustRightInd/>
        <w:snapToGrid/>
        <w:spacing w:line="240" w:lineRule="auto"/>
        <w:ind w:left="0" w:leftChars="0" w:right="-160" w:rightChars="-50" w:firstLine="0" w:firstLineChars="0"/>
        <w:jc w:val="center"/>
        <w:textAlignment w:val="auto"/>
        <w:outlineLvl w:val="0"/>
        <w:rPr>
          <w:rFonts w:hint="eastAsia" w:ascii="Times New Roman" w:hAnsi="Times New Roman" w:eastAsia="方正黑体简体" w:cs="Times New Roman"/>
          <w:b/>
          <w:color w:val="auto"/>
          <w:sz w:val="32"/>
          <w:szCs w:val="32"/>
          <w:highlight w:val="none"/>
          <w:lang w:eastAsia="zh-CN"/>
        </w:rPr>
      </w:pPr>
      <w:r>
        <w:rPr>
          <w:rFonts w:hint="eastAsia" w:ascii="Times New Roman" w:hAnsi="Times New Roman" w:eastAsia="方正黑体简体" w:cs="Times New Roman"/>
          <w:b/>
          <w:color w:val="auto"/>
          <w:sz w:val="32"/>
          <w:szCs w:val="32"/>
          <w:highlight w:val="none"/>
          <w:lang w:eastAsia="zh-CN"/>
        </w:rPr>
        <w:drawing>
          <wp:inline distT="0" distB="0" distL="114300" distR="114300">
            <wp:extent cx="3943985" cy="2755265"/>
            <wp:effectExtent l="0" t="0" r="18415" b="6985"/>
            <wp:docPr id="7" name="图片 7" descr="本年度办理结果"/>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descr="本年度办理结果"/>
                    <pic:cNvPicPr>
                      <a:picLocks noChangeAspect="true"/>
                    </pic:cNvPicPr>
                  </pic:nvPicPr>
                  <pic:blipFill>
                    <a:blip r:embed="rId8"/>
                    <a:stretch>
                      <a:fillRect/>
                    </a:stretch>
                  </pic:blipFill>
                  <pic:spPr>
                    <a:xfrm>
                      <a:off x="0" y="0"/>
                      <a:ext cx="3943985" cy="275526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560" w:lineRule="exact"/>
        <w:ind w:right="-160" w:rightChars="-50" w:firstLine="642" w:firstLineChars="200"/>
        <w:textAlignment w:val="auto"/>
        <w:outlineLvl w:val="0"/>
        <w:rPr>
          <w:rFonts w:hint="default" w:ascii="Times New Roman" w:hAnsi="Times New Roman" w:eastAsia="方正黑体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四、政府信息公开行政复议、行政诉讼情况</w:t>
      </w:r>
    </w:p>
    <w:tbl>
      <w:tblPr>
        <w:tblStyle w:val="8"/>
        <w:tblW w:w="955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36"/>
        <w:gridCol w:w="636"/>
        <w:gridCol w:w="636"/>
        <w:gridCol w:w="636"/>
        <w:gridCol w:w="642"/>
        <w:gridCol w:w="636"/>
        <w:gridCol w:w="636"/>
        <w:gridCol w:w="636"/>
        <w:gridCol w:w="636"/>
        <w:gridCol w:w="642"/>
        <w:gridCol w:w="636"/>
        <w:gridCol w:w="636"/>
        <w:gridCol w:w="636"/>
        <w:gridCol w:w="636"/>
        <w:gridCol w:w="64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59" w:hRule="atLeast"/>
          <w:jc w:val="center"/>
        </w:trPr>
        <w:tc>
          <w:tcPr>
            <w:tcW w:w="3186"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行政复议</w:t>
            </w:r>
          </w:p>
        </w:tc>
        <w:tc>
          <w:tcPr>
            <w:tcW w:w="6373"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59" w:hRule="atLeast"/>
          <w:jc w:val="center"/>
        </w:trPr>
        <w:tc>
          <w:tcPr>
            <w:tcW w:w="636"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结果维持</w:t>
            </w:r>
          </w:p>
        </w:tc>
        <w:tc>
          <w:tcPr>
            <w:tcW w:w="636"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纠正</w:t>
            </w:r>
          </w:p>
        </w:tc>
        <w:tc>
          <w:tcPr>
            <w:tcW w:w="636"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其他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结果</w:t>
            </w:r>
          </w:p>
        </w:tc>
        <w:tc>
          <w:tcPr>
            <w:tcW w:w="636"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尚未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审结</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总计</w:t>
            </w:r>
          </w:p>
        </w:tc>
        <w:tc>
          <w:tcPr>
            <w:tcW w:w="3186"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未经复议直接起诉</w:t>
            </w:r>
          </w:p>
        </w:tc>
        <w:tc>
          <w:tcPr>
            <w:tcW w:w="3187"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098" w:hRule="atLeast"/>
          <w:jc w:val="center"/>
        </w:trPr>
        <w:tc>
          <w:tcPr>
            <w:tcW w:w="63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b/>
                <w:bCs w:val="0"/>
                <w:color w:val="auto"/>
                <w:sz w:val="24"/>
                <w:szCs w:val="24"/>
              </w:rPr>
            </w:pPr>
          </w:p>
        </w:tc>
        <w:tc>
          <w:tcPr>
            <w:tcW w:w="63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b/>
                <w:bCs w:val="0"/>
                <w:color w:val="auto"/>
                <w:sz w:val="24"/>
                <w:szCs w:val="24"/>
              </w:rPr>
            </w:pPr>
          </w:p>
        </w:tc>
        <w:tc>
          <w:tcPr>
            <w:tcW w:w="636"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b/>
                <w:bCs w:val="0"/>
                <w:color w:val="auto"/>
                <w:sz w:val="24"/>
                <w:szCs w:val="24"/>
              </w:rPr>
            </w:pPr>
          </w:p>
        </w:tc>
        <w:tc>
          <w:tcPr>
            <w:tcW w:w="636"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b/>
                <w:bCs w:val="0"/>
                <w:color w:val="auto"/>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b/>
                <w:bCs w:val="0"/>
                <w:color w:val="auto"/>
                <w:sz w:val="24"/>
                <w:szCs w:val="24"/>
              </w:rPr>
            </w:pP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维持</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纠正</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其他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尚未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审结</w:t>
            </w:r>
          </w:p>
        </w:tc>
        <w:tc>
          <w:tcPr>
            <w:tcW w:w="642"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总计</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维持</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纠正</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其他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尚未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rPr>
                <w:b/>
                <w:bCs w:val="0"/>
                <w:color w:val="auto"/>
              </w:rPr>
            </w:pPr>
            <w:r>
              <w:rPr>
                <w:rFonts w:hint="eastAsia" w:ascii="宋体" w:hAnsi="宋体" w:eastAsia="宋体" w:cs="宋体"/>
                <w:b/>
                <w:bCs w:val="0"/>
                <w:color w:val="auto"/>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97" w:hRule="atLeast"/>
          <w:jc w:val="center"/>
        </w:trPr>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lang w:val="en-US"/>
              </w:rPr>
            </w:pPr>
            <w:r>
              <w:rPr>
                <w:rFonts w:hint="default" w:ascii="Times New Roman" w:hAnsi="Times New Roman" w:eastAsia="黑体" w:cs="Times New Roman"/>
                <w:b/>
                <w:bCs w:val="0"/>
                <w:color w:val="auto"/>
                <w:kern w:val="0"/>
                <w:sz w:val="20"/>
                <w:szCs w:val="20"/>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仿宋_GB2312" w:cs="Times New Roman"/>
                <w:b/>
                <w:bCs w:val="0"/>
                <w:color w:val="auto"/>
                <w:lang w:val="en-US" w:eastAsia="zh-CN"/>
              </w:rPr>
            </w:pPr>
            <w:r>
              <w:rPr>
                <w:rFonts w:hint="default" w:ascii="Times New Roman" w:hAnsi="Times New Roman" w:eastAsia="黑体" w:cs="Times New Roman"/>
                <w:b/>
                <w:bCs w:val="0"/>
                <w:color w:val="auto"/>
                <w:kern w:val="0"/>
                <w:sz w:val="20"/>
                <w:szCs w:val="20"/>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rPr>
            </w:pPr>
            <w:r>
              <w:rPr>
                <w:rFonts w:hint="default" w:ascii="Times New Roman" w:hAnsi="Times New Roman" w:eastAsia="黑体" w:cs="Times New Roman"/>
                <w:b/>
                <w:bCs w:val="0"/>
                <w:color w:val="auto"/>
                <w:kern w:val="0"/>
                <w:sz w:val="20"/>
                <w:szCs w:val="20"/>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rPr>
            </w:pPr>
            <w:r>
              <w:rPr>
                <w:rFonts w:hint="default" w:ascii="Times New Roman" w:hAnsi="Times New Roman" w:eastAsia="黑体" w:cs="Times New Roman"/>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val="0"/>
                <w:color w:val="auto"/>
              </w:rPr>
            </w:pPr>
            <w:r>
              <w:rPr>
                <w:rFonts w:hint="default" w:ascii="Times New Roman" w:hAnsi="Times New Roman" w:eastAsia="黑体" w:cs="Times New Roman"/>
                <w:b/>
                <w:bCs w:val="0"/>
                <w:color w:val="auto"/>
                <w:kern w:val="0"/>
                <w:sz w:val="20"/>
                <w:szCs w:val="20"/>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lang w:val="en-US" w:eastAsia="zh-CN" w:bidi="ar-SA"/>
              </w:rPr>
            </w:pPr>
            <w:r>
              <w:rPr>
                <w:rFonts w:hint="default" w:ascii="Times New Roman" w:hAnsi="Times New Roman" w:eastAsia="黑体" w:cs="Times New Roman"/>
                <w:b/>
                <w:bCs w:val="0"/>
                <w:color w:val="auto"/>
                <w:kern w:val="0"/>
                <w:sz w:val="20"/>
                <w:szCs w:val="20"/>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lang w:val="en-US" w:eastAsia="zh-CN" w:bidi="ar-SA"/>
              </w:rPr>
            </w:pPr>
            <w:r>
              <w:rPr>
                <w:rFonts w:hint="eastAsia" w:ascii="Times New Roman" w:hAnsi="Times New Roman" w:eastAsia="黑体" w:cs="Times New Roman"/>
                <w:b/>
                <w:bCs w:val="0"/>
                <w:color w:val="auto"/>
                <w:kern w:val="0"/>
                <w:sz w:val="20"/>
                <w:szCs w:val="20"/>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lang w:val="en-US" w:eastAsia="zh-CN" w:bidi="ar-SA"/>
              </w:rPr>
            </w:pPr>
            <w:r>
              <w:rPr>
                <w:rFonts w:hint="default" w:ascii="Times New Roman" w:hAnsi="Times New Roman" w:eastAsia="黑体" w:cs="Times New Roman"/>
                <w:b/>
                <w:bCs w:val="0"/>
                <w:color w:val="auto"/>
                <w:kern w:val="0"/>
                <w:sz w:val="20"/>
                <w:szCs w:val="20"/>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lang w:val="en-US" w:eastAsia="zh-CN" w:bidi="ar-SA"/>
              </w:rPr>
            </w:pPr>
            <w:r>
              <w:rPr>
                <w:rFonts w:hint="default" w:ascii="Times New Roman" w:hAnsi="Times New Roman" w:eastAsia="黑体" w:cs="Times New Roman"/>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lang w:val="en-US" w:eastAsia="zh-CN" w:bidi="ar-SA"/>
              </w:rPr>
            </w:pPr>
            <w:r>
              <w:rPr>
                <w:rFonts w:hint="default" w:ascii="Times New Roman" w:hAnsi="Times New Roman" w:eastAsia="黑体" w:cs="Times New Roman"/>
                <w:b/>
                <w:bCs w:val="0"/>
                <w:color w:val="auto"/>
                <w:kern w:val="0"/>
                <w:sz w:val="20"/>
                <w:szCs w:val="20"/>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lang w:val="en-US" w:eastAsia="zh-CN" w:bidi="ar-SA"/>
              </w:rPr>
            </w:pPr>
            <w:r>
              <w:rPr>
                <w:rFonts w:hint="default" w:ascii="Times New Roman" w:hAnsi="Times New Roman" w:eastAsia="黑体" w:cs="Times New Roman"/>
                <w:b/>
                <w:bCs w:val="0"/>
                <w:color w:val="auto"/>
                <w:kern w:val="0"/>
                <w:sz w:val="20"/>
                <w:szCs w:val="20"/>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lang w:val="en-US" w:eastAsia="zh-CN" w:bidi="ar-SA"/>
              </w:rPr>
            </w:pPr>
            <w:r>
              <w:rPr>
                <w:rFonts w:hint="eastAsia" w:eastAsia="黑体" w:cs="Times New Roman"/>
                <w:b/>
                <w:bCs w:val="0"/>
                <w:color w:val="auto"/>
                <w:kern w:val="0"/>
                <w:sz w:val="20"/>
                <w:szCs w:val="20"/>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lang w:val="en-US" w:eastAsia="zh-CN" w:bidi="ar-SA"/>
              </w:rPr>
            </w:pPr>
            <w:r>
              <w:rPr>
                <w:rFonts w:hint="default" w:ascii="Times New Roman" w:hAnsi="Times New Roman" w:eastAsia="黑体" w:cs="Times New Roman"/>
                <w:b/>
                <w:bCs w:val="0"/>
                <w:color w:val="auto"/>
                <w:kern w:val="0"/>
                <w:sz w:val="20"/>
                <w:szCs w:val="20"/>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val="0"/>
                <w:color w:val="auto"/>
                <w:lang w:val="en-US" w:eastAsia="zh-CN" w:bidi="ar-SA"/>
              </w:rPr>
            </w:pPr>
            <w:r>
              <w:rPr>
                <w:rFonts w:hint="default" w:ascii="Times New Roman" w:hAnsi="Times New Roman" w:eastAsia="黑体" w:cs="Times New Roman"/>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eastAsia" w:ascii="Times New Roman" w:hAnsi="Times New Roman" w:eastAsia="宋体" w:cs="Times New Roman"/>
                <w:b/>
                <w:bCs w:val="0"/>
                <w:color w:val="auto"/>
                <w:lang w:val="en-US" w:eastAsia="zh-CN" w:bidi="ar-SA"/>
              </w:rPr>
            </w:pPr>
            <w:r>
              <w:rPr>
                <w:rFonts w:hint="default" w:ascii="Times New Roman" w:hAnsi="Times New Roman" w:eastAsia="黑体" w:cs="Times New Roman"/>
                <w:b/>
                <w:bCs w:val="0"/>
                <w:color w:val="auto"/>
                <w:kern w:val="0"/>
                <w:sz w:val="20"/>
                <w:szCs w:val="20"/>
                <w:lang w:val="en-US" w:eastAsia="zh-CN" w:bidi="ar"/>
              </w:rPr>
              <w:t>0</w:t>
            </w:r>
          </w:p>
        </w:tc>
      </w:tr>
    </w:tbl>
    <w:p>
      <w:pPr>
        <w:keepNext w:val="0"/>
        <w:keepLines w:val="0"/>
        <w:pageBreakBefore w:val="0"/>
        <w:kinsoku/>
        <w:wordWrap/>
        <w:overflowPunct/>
        <w:topLinePunct w:val="0"/>
        <w:autoSpaceDE/>
        <w:autoSpaceDN/>
        <w:bidi w:val="0"/>
        <w:adjustRightInd/>
        <w:snapToGrid/>
        <w:spacing w:line="560" w:lineRule="exact"/>
        <w:ind w:right="-160" w:rightChars="-50" w:firstLine="642" w:firstLineChars="200"/>
        <w:textAlignment w:val="auto"/>
        <w:outlineLvl w:val="0"/>
        <w:rPr>
          <w:rFonts w:hint="default" w:ascii="Times New Roman" w:hAnsi="Times New Roman" w:eastAsia="方正黑体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五、存在的主要问题及改进情况</w:t>
      </w:r>
    </w:p>
    <w:p>
      <w:pPr>
        <w:keepNext w:val="0"/>
        <w:keepLines w:val="0"/>
        <w:pageBreakBefore w:val="0"/>
        <w:kinsoku/>
        <w:wordWrap/>
        <w:overflowPunct/>
        <w:topLinePunct w:val="0"/>
        <w:autoSpaceDE/>
        <w:autoSpaceDN/>
        <w:bidi w:val="0"/>
        <w:adjustRightInd/>
        <w:snapToGrid/>
        <w:spacing w:line="560" w:lineRule="exact"/>
        <w:ind w:right="-160" w:rightChars="-50" w:firstLine="642" w:firstLineChars="200"/>
        <w:textAlignment w:val="auto"/>
        <w:outlineLvl w:val="1"/>
        <w:rPr>
          <w:rFonts w:hint="default" w:ascii="Times New Roman" w:hAnsi="Times New Roman" w:eastAsia="方正楷体简体" w:cs="Times New Roman"/>
          <w:b/>
          <w:color w:val="auto"/>
          <w:sz w:val="32"/>
          <w:szCs w:val="32"/>
          <w:highlight w:val="none"/>
        </w:rPr>
      </w:pPr>
      <w:r>
        <w:rPr>
          <w:rFonts w:hint="default" w:ascii="Times New Roman" w:hAnsi="Times New Roman" w:eastAsia="方正楷体简体" w:cs="Times New Roman"/>
          <w:b/>
          <w:color w:val="auto"/>
          <w:sz w:val="32"/>
          <w:szCs w:val="32"/>
          <w:highlight w:val="none"/>
        </w:rPr>
        <w:t>（一）工作中存在的主要问题和困难</w:t>
      </w:r>
    </w:p>
    <w:p>
      <w:pPr>
        <w:keepNext w:val="0"/>
        <w:keepLines w:val="0"/>
        <w:pageBreakBefore w:val="0"/>
        <w:kinsoku/>
        <w:wordWrap/>
        <w:overflowPunct/>
        <w:topLinePunct w:val="0"/>
        <w:autoSpaceDE/>
        <w:autoSpaceDN/>
        <w:bidi w:val="0"/>
        <w:adjustRightInd/>
        <w:snapToGrid/>
        <w:spacing w:line="560" w:lineRule="exact"/>
        <w:ind w:right="-160" w:rightChars="-50" w:firstLine="642" w:firstLineChars="200"/>
        <w:textAlignment w:val="auto"/>
        <w:outlineLvl w:val="1"/>
        <w:rPr>
          <w:rFonts w:hint="eastAsia" w:ascii="Times New Roman" w:hAnsi="Times New Roman" w:eastAsia="方正仿宋简体" w:cs="Times New Roman"/>
          <w:b/>
          <w:color w:val="auto"/>
          <w:sz w:val="32"/>
          <w:szCs w:val="32"/>
          <w:lang w:val="en-US" w:eastAsia="zh-CN"/>
        </w:rPr>
      </w:pPr>
      <w:r>
        <w:rPr>
          <w:rFonts w:hint="eastAsia" w:ascii="Times New Roman" w:hAnsi="Times New Roman" w:eastAsia="方正仿宋简体" w:cs="Times New Roman"/>
          <w:b/>
          <w:color w:val="auto"/>
          <w:sz w:val="32"/>
          <w:szCs w:val="32"/>
          <w:lang w:val="en-US" w:eastAsia="zh-CN"/>
        </w:rPr>
        <w:t>2025年，</w:t>
      </w:r>
      <w:r>
        <w:rPr>
          <w:rFonts w:hint="eastAsia" w:eastAsia="方正仿宋简体" w:cs="Times New Roman"/>
          <w:b/>
          <w:color w:val="auto"/>
          <w:sz w:val="32"/>
          <w:szCs w:val="32"/>
          <w:lang w:val="en-US" w:eastAsia="zh-CN"/>
        </w:rPr>
        <w:t>市交通运输局</w:t>
      </w:r>
      <w:r>
        <w:rPr>
          <w:rFonts w:hint="eastAsia" w:ascii="Times New Roman" w:hAnsi="Times New Roman" w:eastAsia="方正仿宋简体" w:cs="Times New Roman"/>
          <w:b/>
          <w:color w:val="auto"/>
          <w:sz w:val="32"/>
          <w:szCs w:val="32"/>
          <w:lang w:val="en-US" w:eastAsia="zh-CN"/>
        </w:rPr>
        <w:t>政府信息公开工作虽稳步推进，但在满足公众日益增长的精细化、场景化信息需求方面仍面临挑战，</w:t>
      </w:r>
      <w:r>
        <w:rPr>
          <w:rFonts w:hint="eastAsia" w:eastAsia="方正仿宋简体" w:cs="Times New Roman"/>
          <w:b/>
          <w:color w:val="auto"/>
          <w:sz w:val="32"/>
          <w:szCs w:val="32"/>
          <w:lang w:val="en-US" w:eastAsia="zh-CN"/>
        </w:rPr>
        <w:t>其中，</w:t>
      </w:r>
      <w:r>
        <w:rPr>
          <w:rFonts w:hint="eastAsia" w:ascii="Times New Roman" w:hAnsi="Times New Roman" w:eastAsia="方正仿宋简体" w:cs="Times New Roman"/>
          <w:b/>
          <w:color w:val="auto"/>
          <w:sz w:val="32"/>
          <w:szCs w:val="32"/>
          <w:lang w:val="en-US" w:eastAsia="zh-CN"/>
        </w:rPr>
        <w:t>政策解读的呈现方式与传播效能有待进一步优化。</w:t>
      </w:r>
    </w:p>
    <w:p>
      <w:pPr>
        <w:keepNext w:val="0"/>
        <w:keepLines w:val="0"/>
        <w:pageBreakBefore w:val="0"/>
        <w:kinsoku/>
        <w:wordWrap/>
        <w:overflowPunct/>
        <w:topLinePunct w:val="0"/>
        <w:autoSpaceDE/>
        <w:autoSpaceDN/>
        <w:bidi w:val="0"/>
        <w:adjustRightInd/>
        <w:snapToGrid/>
        <w:spacing w:line="560" w:lineRule="exact"/>
        <w:ind w:right="-160" w:rightChars="-50" w:firstLine="642" w:firstLineChars="200"/>
        <w:textAlignment w:val="auto"/>
        <w:outlineLvl w:val="1"/>
        <w:rPr>
          <w:rFonts w:hint="default" w:ascii="Times New Roman" w:hAnsi="Times New Roman" w:eastAsia="方正楷体简体" w:cs="Times New Roman"/>
          <w:b/>
          <w:color w:val="auto"/>
          <w:sz w:val="32"/>
          <w:szCs w:val="32"/>
          <w:highlight w:val="none"/>
        </w:rPr>
      </w:pPr>
      <w:r>
        <w:rPr>
          <w:rFonts w:hint="default" w:ascii="Times New Roman" w:hAnsi="Times New Roman" w:eastAsia="方正楷体简体" w:cs="Times New Roman"/>
          <w:b/>
          <w:color w:val="auto"/>
          <w:sz w:val="32"/>
          <w:szCs w:val="32"/>
          <w:highlight w:val="none"/>
        </w:rPr>
        <w:t>（二）具体的解决办法和改进措施</w:t>
      </w:r>
    </w:p>
    <w:p>
      <w:pPr>
        <w:keepNext w:val="0"/>
        <w:keepLines w:val="0"/>
        <w:pageBreakBefore w:val="0"/>
        <w:kinsoku/>
        <w:wordWrap/>
        <w:overflowPunct/>
        <w:topLinePunct w:val="0"/>
        <w:autoSpaceDE/>
        <w:autoSpaceDN/>
        <w:bidi w:val="0"/>
        <w:adjustRightInd/>
        <w:snapToGrid/>
        <w:spacing w:line="560" w:lineRule="exact"/>
        <w:ind w:right="-160" w:rightChars="-50" w:firstLine="642" w:firstLineChars="200"/>
        <w:textAlignment w:val="auto"/>
        <w:outlineLvl w:val="0"/>
        <w:rPr>
          <w:rFonts w:hint="default" w:ascii="Times New Roman" w:hAnsi="Times New Roman" w:eastAsia="方正仿宋简体" w:cs="Times New Roman"/>
          <w:b/>
          <w:color w:val="auto"/>
          <w:sz w:val="32"/>
          <w:szCs w:val="32"/>
          <w:lang w:val="en-US" w:eastAsia="zh-CN"/>
        </w:rPr>
      </w:pPr>
      <w:r>
        <w:rPr>
          <w:rFonts w:hint="eastAsia" w:eastAsia="方正仿宋简体" w:cs="Times New Roman"/>
          <w:b/>
          <w:color w:val="auto"/>
          <w:sz w:val="32"/>
          <w:szCs w:val="32"/>
          <w:lang w:val="en-US" w:eastAsia="zh-CN"/>
        </w:rPr>
        <w:t>一是</w:t>
      </w:r>
      <w:r>
        <w:rPr>
          <w:rFonts w:hint="default" w:ascii="Times New Roman" w:hAnsi="Times New Roman" w:eastAsia="方正仿宋简体" w:cs="Times New Roman"/>
          <w:b/>
          <w:color w:val="auto"/>
          <w:sz w:val="32"/>
          <w:szCs w:val="32"/>
          <w:lang w:val="en-US" w:eastAsia="zh-CN"/>
        </w:rPr>
        <w:t>实施解读形式创新</w:t>
      </w:r>
      <w:r>
        <w:rPr>
          <w:rFonts w:hint="eastAsia" w:eastAsia="方正仿宋简体" w:cs="Times New Roman"/>
          <w:b/>
          <w:color w:val="auto"/>
          <w:sz w:val="32"/>
          <w:szCs w:val="32"/>
          <w:lang w:val="en-US" w:eastAsia="zh-CN"/>
        </w:rPr>
        <w:t>提升</w:t>
      </w:r>
      <w:r>
        <w:rPr>
          <w:rFonts w:hint="default" w:ascii="Times New Roman" w:hAnsi="Times New Roman" w:eastAsia="方正仿宋简体" w:cs="Times New Roman"/>
          <w:b/>
          <w:color w:val="auto"/>
          <w:sz w:val="32"/>
          <w:szCs w:val="32"/>
          <w:lang w:val="en-US" w:eastAsia="zh-CN"/>
        </w:rPr>
        <w:t>。系统化开发多元化解读产品，对</w:t>
      </w:r>
      <w:r>
        <w:rPr>
          <w:rFonts w:hint="eastAsia" w:eastAsia="方正仿宋简体" w:cs="Times New Roman"/>
          <w:b/>
          <w:color w:val="auto"/>
          <w:sz w:val="32"/>
          <w:szCs w:val="32"/>
          <w:lang w:val="en-US" w:eastAsia="zh-CN"/>
        </w:rPr>
        <w:t>政策文件</w:t>
      </w:r>
      <w:r>
        <w:rPr>
          <w:rFonts w:hint="default" w:ascii="Times New Roman" w:hAnsi="Times New Roman" w:eastAsia="方正仿宋简体" w:cs="Times New Roman"/>
          <w:b/>
          <w:color w:val="auto"/>
          <w:sz w:val="32"/>
          <w:szCs w:val="32"/>
          <w:lang w:val="en-US" w:eastAsia="zh-CN"/>
        </w:rPr>
        <w:t>、行业管理新规等，</w:t>
      </w:r>
      <w:r>
        <w:rPr>
          <w:rFonts w:hint="eastAsia" w:eastAsia="方正仿宋简体" w:cs="Times New Roman"/>
          <w:b/>
          <w:color w:val="auto"/>
          <w:sz w:val="32"/>
          <w:szCs w:val="32"/>
          <w:lang w:val="en-US" w:eastAsia="zh-CN"/>
        </w:rPr>
        <w:t>积极</w:t>
      </w:r>
      <w:r>
        <w:rPr>
          <w:rFonts w:hint="default" w:ascii="Times New Roman" w:hAnsi="Times New Roman" w:eastAsia="方正仿宋简体" w:cs="Times New Roman"/>
          <w:b/>
          <w:color w:val="auto"/>
          <w:sz w:val="32"/>
          <w:szCs w:val="32"/>
          <w:lang w:val="en-US" w:eastAsia="zh-CN"/>
        </w:rPr>
        <w:t>策划并推出“一图读懂”、政策问答短视频等配套解读材料。</w:t>
      </w:r>
      <w:r>
        <w:rPr>
          <w:rFonts w:hint="eastAsia" w:eastAsia="方正仿宋简体" w:cs="Times New Roman"/>
          <w:b/>
          <w:color w:val="auto"/>
          <w:sz w:val="32"/>
          <w:szCs w:val="32"/>
          <w:lang w:val="en-US" w:eastAsia="zh-CN"/>
        </w:rPr>
        <w:t>二是</w:t>
      </w:r>
      <w:r>
        <w:rPr>
          <w:rFonts w:hint="default" w:ascii="Times New Roman" w:hAnsi="Times New Roman" w:eastAsia="方正仿宋简体" w:cs="Times New Roman"/>
          <w:b/>
          <w:color w:val="auto"/>
          <w:sz w:val="32"/>
          <w:szCs w:val="32"/>
          <w:lang w:val="en-US" w:eastAsia="zh-CN"/>
        </w:rPr>
        <w:t>推进解读内容精准分层。建立政策解读素材库，在起草政策性文件时同步规划解读方案。提炼</w:t>
      </w:r>
      <w:r>
        <w:rPr>
          <w:rFonts w:hint="eastAsia" w:eastAsia="方正仿宋简体" w:cs="Times New Roman"/>
          <w:b/>
          <w:color w:val="auto"/>
          <w:sz w:val="32"/>
          <w:szCs w:val="32"/>
          <w:lang w:val="en-US" w:eastAsia="zh-CN"/>
        </w:rPr>
        <w:t>公众</w:t>
      </w:r>
      <w:r>
        <w:rPr>
          <w:rFonts w:hint="default" w:ascii="Times New Roman" w:hAnsi="Times New Roman" w:eastAsia="方正仿宋简体" w:cs="Times New Roman"/>
          <w:b/>
          <w:color w:val="auto"/>
          <w:sz w:val="32"/>
          <w:szCs w:val="32"/>
          <w:lang w:val="en-US" w:eastAsia="zh-CN"/>
        </w:rPr>
        <w:t>最关切的条款与影响，用白话口语、具体案例替代部分专业表述，使解读更接地气、更具针对性。</w:t>
      </w:r>
      <w:r>
        <w:rPr>
          <w:rFonts w:hint="eastAsia" w:eastAsia="方正仿宋简体" w:cs="Times New Roman"/>
          <w:b/>
          <w:color w:val="auto"/>
          <w:sz w:val="32"/>
          <w:szCs w:val="32"/>
          <w:lang w:val="en-US" w:eastAsia="zh-CN"/>
        </w:rPr>
        <w:t>三是</w:t>
      </w:r>
      <w:r>
        <w:rPr>
          <w:rFonts w:hint="default" w:ascii="Times New Roman" w:hAnsi="Times New Roman" w:eastAsia="方正仿宋简体" w:cs="Times New Roman"/>
          <w:b/>
          <w:color w:val="auto"/>
          <w:sz w:val="32"/>
          <w:szCs w:val="32"/>
          <w:lang w:val="en-US" w:eastAsia="zh-CN"/>
        </w:rPr>
        <w:t>拓展解读发布渠道。在巩固政府网站、政务新媒体主渠道基础上，加强与社会媒体、新闻客户端及交通枢纽场站显示屏等平台的推送，实现优质解读产品的跨平台、多形态分发，提升政策知晓率和应用度。</w:t>
      </w:r>
    </w:p>
    <w:p>
      <w:pPr>
        <w:keepNext w:val="0"/>
        <w:keepLines w:val="0"/>
        <w:pageBreakBefore w:val="0"/>
        <w:kinsoku/>
        <w:wordWrap/>
        <w:overflowPunct/>
        <w:topLinePunct w:val="0"/>
        <w:autoSpaceDE/>
        <w:autoSpaceDN/>
        <w:bidi w:val="0"/>
        <w:adjustRightInd/>
        <w:snapToGrid/>
        <w:spacing w:line="560" w:lineRule="exact"/>
        <w:ind w:right="-160" w:rightChars="-50" w:firstLine="642" w:firstLineChars="200"/>
        <w:textAlignment w:val="auto"/>
        <w:outlineLvl w:val="0"/>
        <w:rPr>
          <w:rFonts w:hint="default" w:ascii="Times New Roman" w:hAnsi="Times New Roman" w:eastAsia="方正黑体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六、其他需要报告的事项</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outlineLvl w:val="1"/>
        <w:rPr>
          <w:rFonts w:hint="default" w:ascii="Times New Roman" w:hAnsi="Times New Roman" w:eastAsia="方正楷体简体" w:cs="Times New Roman"/>
          <w:b/>
          <w:color w:val="auto"/>
          <w:sz w:val="32"/>
          <w:szCs w:val="32"/>
          <w:highlight w:val="none"/>
          <w:lang w:val="en-US" w:eastAsia="zh-CN" w:bidi="ar-SA"/>
        </w:rPr>
      </w:pPr>
      <w:r>
        <w:rPr>
          <w:rFonts w:hint="default" w:ascii="Times New Roman" w:hAnsi="Times New Roman" w:eastAsia="方正楷体简体" w:cs="Times New Roman"/>
          <w:b/>
          <w:color w:val="auto"/>
          <w:sz w:val="32"/>
          <w:szCs w:val="32"/>
          <w:highlight w:val="none"/>
          <w:lang w:val="en-US" w:eastAsia="zh-CN" w:bidi="ar-SA"/>
        </w:rPr>
        <w:t>（一）收取信息处理收费情况</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color w:val="auto"/>
          <w:sz w:val="32"/>
          <w:szCs w:val="32"/>
          <w:highlight w:val="none"/>
          <w:lang w:val="en-US" w:eastAsia="zh-CN"/>
        </w:rPr>
      </w:pPr>
      <w:r>
        <w:rPr>
          <w:rFonts w:hint="eastAsia" w:ascii="Times New Roman" w:hAnsi="Times New Roman" w:eastAsia="方正仿宋简体" w:cs="Times New Roman"/>
          <w:b/>
          <w:color w:val="auto"/>
          <w:sz w:val="32"/>
          <w:szCs w:val="32"/>
          <w:highlight w:val="none"/>
          <w:lang w:val="en-US" w:eastAsia="zh-CN"/>
        </w:rPr>
        <w:t>202</w:t>
      </w:r>
      <w:r>
        <w:rPr>
          <w:rFonts w:hint="eastAsia" w:eastAsia="方正仿宋简体" w:cs="Times New Roman"/>
          <w:b/>
          <w:color w:val="auto"/>
          <w:sz w:val="32"/>
          <w:szCs w:val="32"/>
          <w:highlight w:val="none"/>
          <w:lang w:val="en-US" w:eastAsia="zh-CN"/>
        </w:rPr>
        <w:t>5</w:t>
      </w:r>
      <w:r>
        <w:rPr>
          <w:rFonts w:hint="default" w:ascii="Times New Roman" w:hAnsi="Times New Roman" w:eastAsia="方正仿宋简体" w:cs="Times New Roman"/>
          <w:b/>
          <w:color w:val="auto"/>
          <w:sz w:val="32"/>
          <w:szCs w:val="32"/>
          <w:highlight w:val="none"/>
          <w:lang w:val="en-US" w:eastAsia="zh-CN"/>
        </w:rPr>
        <w:t>年市交通运输局未收取信息处理费用。</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outlineLvl w:val="1"/>
        <w:rPr>
          <w:rFonts w:hint="default" w:ascii="Times New Roman" w:hAnsi="Times New Roman" w:eastAsia="方正楷体简体" w:cs="Times New Roman"/>
          <w:b/>
          <w:color w:val="auto"/>
          <w:sz w:val="32"/>
          <w:szCs w:val="32"/>
          <w:highlight w:val="none"/>
          <w:lang w:val="en-US" w:eastAsia="zh-CN" w:bidi="ar-SA"/>
        </w:rPr>
      </w:pPr>
      <w:r>
        <w:rPr>
          <w:rFonts w:hint="default" w:ascii="Times New Roman" w:hAnsi="Times New Roman" w:eastAsia="方正楷体简体" w:cs="Times New Roman"/>
          <w:b/>
          <w:color w:val="auto"/>
          <w:sz w:val="32"/>
          <w:szCs w:val="32"/>
          <w:highlight w:val="none"/>
          <w:lang w:val="en-US" w:eastAsia="zh-CN" w:bidi="ar-SA"/>
        </w:rPr>
        <w:t>（</w:t>
      </w:r>
      <w:r>
        <w:rPr>
          <w:rFonts w:hint="eastAsia" w:eastAsia="方正楷体简体" w:cs="Times New Roman"/>
          <w:b/>
          <w:color w:val="auto"/>
          <w:sz w:val="32"/>
          <w:szCs w:val="32"/>
          <w:highlight w:val="none"/>
          <w:lang w:val="en-US" w:eastAsia="zh-CN" w:bidi="ar-SA"/>
        </w:rPr>
        <w:t>二</w:t>
      </w:r>
      <w:r>
        <w:rPr>
          <w:rFonts w:hint="default" w:ascii="Times New Roman" w:hAnsi="Times New Roman" w:eastAsia="方正楷体简体" w:cs="Times New Roman"/>
          <w:b/>
          <w:color w:val="auto"/>
          <w:sz w:val="32"/>
          <w:szCs w:val="32"/>
          <w:highlight w:val="none"/>
          <w:lang w:val="en-US" w:eastAsia="zh-CN" w:bidi="ar-SA"/>
        </w:rPr>
        <w:t>）政务公开工作要点情况</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outlineLvl w:val="1"/>
        <w:rPr>
          <w:rFonts w:hint="default" w:ascii="Times New Roman" w:hAnsi="Times New Roman" w:eastAsia="方正仿宋简体" w:cs="Times New Roman"/>
          <w:b/>
          <w:color w:val="auto"/>
          <w:sz w:val="32"/>
          <w:szCs w:val="32"/>
          <w:lang w:val="en-US" w:eastAsia="zh-CN"/>
        </w:rPr>
      </w:pPr>
      <w:r>
        <w:rPr>
          <w:rFonts w:hint="eastAsia" w:eastAsia="方正仿宋简体" w:cs="Times New Roman"/>
          <w:b/>
          <w:color w:val="auto"/>
          <w:sz w:val="32"/>
          <w:szCs w:val="32"/>
          <w:lang w:val="en-US" w:eastAsia="zh-CN"/>
        </w:rPr>
        <w:t>2025年，</w:t>
      </w:r>
      <w:r>
        <w:rPr>
          <w:rFonts w:hint="default" w:ascii="Times New Roman" w:hAnsi="Times New Roman" w:eastAsia="方正仿宋简体" w:cs="Times New Roman"/>
          <w:b/>
          <w:color w:val="auto"/>
          <w:sz w:val="32"/>
          <w:szCs w:val="32"/>
          <w:lang w:val="en-US" w:eastAsia="zh-CN"/>
        </w:rPr>
        <w:t>市交通运输局以提升政务公开服务效能为核心，系统推进年度工作要点落实。通过完善标准化工作流程与清单化管理，推动公开工作从“合规发布”向“精准服务”深化。工作中注重前端需求汇集与后端效果跟踪，针对公众关切和行业特点，优化信息供给内容与方式，确保公开信息既全面准确又易于获取理解。同时，强化</w:t>
      </w:r>
      <w:r>
        <w:rPr>
          <w:rFonts w:hint="eastAsia" w:eastAsia="方正仿宋简体" w:cs="Times New Roman"/>
          <w:b/>
          <w:color w:val="auto"/>
          <w:sz w:val="32"/>
          <w:szCs w:val="32"/>
          <w:lang w:val="en-US" w:eastAsia="zh-CN"/>
        </w:rPr>
        <w:t>局门户网站、微信公众号等</w:t>
      </w:r>
      <w:r>
        <w:rPr>
          <w:rFonts w:hint="default" w:ascii="Times New Roman" w:hAnsi="Times New Roman" w:eastAsia="方正仿宋简体" w:cs="Times New Roman"/>
          <w:b/>
          <w:color w:val="auto"/>
          <w:sz w:val="32"/>
          <w:szCs w:val="32"/>
          <w:lang w:val="en-US" w:eastAsia="zh-CN"/>
        </w:rPr>
        <w:t>跨平台发布的协同性与一致性，使政务公开持续成为驱动工作改进、增进社会认同的重要支撑。</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outlineLvl w:val="1"/>
        <w:rPr>
          <w:rFonts w:hint="default" w:ascii="Times New Roman" w:hAnsi="Times New Roman" w:eastAsia="方正楷体简体" w:cs="Times New Roman"/>
          <w:b/>
          <w:color w:val="auto"/>
          <w:sz w:val="32"/>
          <w:szCs w:val="32"/>
          <w:lang w:val="en-US" w:eastAsia="zh-CN" w:bidi="ar-SA"/>
        </w:rPr>
      </w:pPr>
      <w:r>
        <w:rPr>
          <w:rFonts w:hint="default" w:ascii="Times New Roman" w:hAnsi="Times New Roman" w:eastAsia="方正楷体简体" w:cs="Times New Roman"/>
          <w:b/>
          <w:color w:val="auto"/>
          <w:sz w:val="32"/>
          <w:szCs w:val="32"/>
          <w:lang w:val="en-US" w:eastAsia="zh-CN" w:bidi="ar-SA"/>
        </w:rPr>
        <w:t>（</w:t>
      </w:r>
      <w:r>
        <w:rPr>
          <w:rFonts w:hint="eastAsia" w:eastAsia="方正楷体简体" w:cs="Times New Roman"/>
          <w:b/>
          <w:color w:val="auto"/>
          <w:sz w:val="32"/>
          <w:szCs w:val="32"/>
          <w:lang w:val="en-US" w:eastAsia="zh-CN" w:bidi="ar-SA"/>
        </w:rPr>
        <w:t>三</w:t>
      </w:r>
      <w:r>
        <w:rPr>
          <w:rFonts w:hint="default" w:ascii="Times New Roman" w:hAnsi="Times New Roman" w:eastAsia="方正楷体简体" w:cs="Times New Roman"/>
          <w:b/>
          <w:color w:val="auto"/>
          <w:sz w:val="32"/>
          <w:szCs w:val="32"/>
          <w:lang w:val="en-US" w:eastAsia="zh-CN" w:bidi="ar-SA"/>
        </w:rPr>
        <w:t>）人大代表建议和政协提案办理情况</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outlineLvl w:val="1"/>
        <w:rPr>
          <w:rFonts w:hint="eastAsia" w:ascii="Times New Roman" w:hAnsi="Times New Roman" w:eastAsia="方正仿宋简体" w:cs="Times New Roman"/>
          <w:b/>
          <w:color w:val="auto"/>
          <w:sz w:val="32"/>
          <w:szCs w:val="32"/>
          <w:lang w:val="en-US" w:eastAsia="zh-CN"/>
        </w:rPr>
      </w:pPr>
      <w:r>
        <w:rPr>
          <w:rFonts w:hint="eastAsia" w:ascii="Times New Roman" w:hAnsi="Times New Roman" w:eastAsia="方正仿宋简体" w:cs="Times New Roman"/>
          <w:b/>
          <w:color w:val="auto"/>
          <w:sz w:val="32"/>
          <w:szCs w:val="32"/>
          <w:lang w:val="en-US" w:eastAsia="zh-CN"/>
        </w:rPr>
        <w:t>2025年</w:t>
      </w:r>
      <w:r>
        <w:rPr>
          <w:rFonts w:hint="eastAsia" w:eastAsia="方正仿宋简体" w:cs="Times New Roman"/>
          <w:b/>
          <w:color w:val="auto"/>
          <w:sz w:val="32"/>
          <w:szCs w:val="32"/>
          <w:lang w:val="en-US" w:eastAsia="zh-CN"/>
        </w:rPr>
        <w:t>，市交通运输局</w:t>
      </w:r>
      <w:r>
        <w:rPr>
          <w:rFonts w:hint="eastAsia" w:ascii="Times New Roman" w:hAnsi="Times New Roman" w:eastAsia="方正仿宋简体" w:cs="Times New Roman"/>
          <w:b/>
          <w:color w:val="auto"/>
          <w:sz w:val="32"/>
          <w:szCs w:val="32"/>
          <w:lang w:val="en-US" w:eastAsia="zh-CN"/>
        </w:rPr>
        <w:t>共承办（主办、协办）市人大建议29件、政协提案24件，内容涉及交通基础设施建设、行业管理等事关全市经济社会发展和群众关注的热点难点问题。这些建议和提案内容翔实，对改进工作、促进发展具有重要作用，全部按要求办复。</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outlineLvl w:val="1"/>
        <w:rPr>
          <w:rFonts w:hint="default" w:ascii="Times New Roman" w:hAnsi="Times New Roman" w:eastAsia="方正楷体简体" w:cs="Times New Roman"/>
          <w:b/>
          <w:color w:val="auto"/>
          <w:sz w:val="32"/>
          <w:szCs w:val="32"/>
          <w:highlight w:val="none"/>
          <w:lang w:val="en-US" w:eastAsia="zh-CN" w:bidi="ar-SA"/>
        </w:rPr>
      </w:pPr>
      <w:r>
        <w:rPr>
          <w:rFonts w:hint="default" w:ascii="Times New Roman" w:hAnsi="Times New Roman" w:eastAsia="方正楷体简体" w:cs="Times New Roman"/>
          <w:b/>
          <w:color w:val="auto"/>
          <w:sz w:val="32"/>
          <w:szCs w:val="32"/>
          <w:highlight w:val="none"/>
          <w:lang w:val="en-US" w:eastAsia="zh-CN" w:bidi="ar-SA"/>
        </w:rPr>
        <w:t>（四）政务公开工作创新情况</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outlineLvl w:val="1"/>
        <w:rPr>
          <w:rFonts w:hint="eastAsia" w:ascii="Times New Roman" w:hAnsi="Times New Roman" w:eastAsia="方正仿宋简体" w:cs="Times New Roman"/>
          <w:b/>
          <w:color w:val="auto"/>
          <w:sz w:val="32"/>
          <w:szCs w:val="32"/>
          <w:lang w:val="en-US" w:eastAsia="zh-CN"/>
        </w:rPr>
      </w:pPr>
      <w:r>
        <w:rPr>
          <w:rFonts w:hint="eastAsia" w:ascii="Times New Roman" w:hAnsi="Times New Roman" w:eastAsia="方正仿宋简体" w:cs="Times New Roman"/>
          <w:b/>
          <w:color w:val="auto"/>
          <w:sz w:val="32"/>
          <w:szCs w:val="32"/>
          <w:lang w:val="en-US" w:eastAsia="zh-CN"/>
        </w:rPr>
        <w:t>202</w:t>
      </w:r>
      <w:r>
        <w:rPr>
          <w:rFonts w:hint="eastAsia" w:eastAsia="方正仿宋简体" w:cs="Times New Roman"/>
          <w:b/>
          <w:color w:val="auto"/>
          <w:sz w:val="32"/>
          <w:szCs w:val="32"/>
          <w:lang w:val="en-US" w:eastAsia="zh-CN"/>
        </w:rPr>
        <w:t>5</w:t>
      </w:r>
      <w:r>
        <w:rPr>
          <w:rFonts w:hint="eastAsia" w:ascii="Times New Roman" w:hAnsi="Times New Roman" w:eastAsia="方正仿宋简体" w:cs="Times New Roman"/>
          <w:b/>
          <w:color w:val="auto"/>
          <w:sz w:val="32"/>
          <w:szCs w:val="32"/>
          <w:lang w:val="en-US" w:eastAsia="zh-CN"/>
        </w:rPr>
        <w:t>，</w:t>
      </w:r>
      <w:r>
        <w:rPr>
          <w:rFonts w:hint="eastAsia" w:eastAsia="方正仿宋简体" w:cs="Times New Roman"/>
          <w:b/>
          <w:color w:val="auto"/>
          <w:sz w:val="32"/>
          <w:szCs w:val="32"/>
          <w:lang w:val="en-US" w:eastAsia="zh-CN"/>
        </w:rPr>
        <w:t>市交通运输局</w:t>
      </w:r>
      <w:r>
        <w:rPr>
          <w:rFonts w:hint="eastAsia" w:ascii="Times New Roman" w:hAnsi="Times New Roman" w:eastAsia="方正仿宋简体" w:cs="Times New Roman"/>
          <w:b/>
          <w:color w:val="auto"/>
          <w:sz w:val="32"/>
          <w:szCs w:val="32"/>
          <w:lang w:val="en-US" w:eastAsia="zh-CN"/>
        </w:rPr>
        <w:t>积极拓展政务公开的广度与深度，致力于构建场景化、立体化、精准化的公开新模式，显著提升了政务服务的透明度与公信力。一是</w:t>
      </w:r>
      <w:r>
        <w:rPr>
          <w:rFonts w:hint="eastAsia" w:eastAsia="方正仿宋简体" w:cs="Times New Roman"/>
          <w:b/>
          <w:color w:val="auto"/>
          <w:sz w:val="32"/>
          <w:szCs w:val="32"/>
          <w:lang w:val="en-US" w:eastAsia="zh-CN"/>
        </w:rPr>
        <w:t>积极开展</w:t>
      </w:r>
      <w:r>
        <w:rPr>
          <w:rFonts w:hint="eastAsia" w:ascii="Times New Roman" w:hAnsi="Times New Roman" w:eastAsia="方正仿宋简体" w:cs="Times New Roman"/>
          <w:b/>
          <w:color w:val="auto"/>
          <w:sz w:val="32"/>
          <w:szCs w:val="32"/>
          <w:lang w:val="en-US" w:eastAsia="zh-CN"/>
        </w:rPr>
        <w:t>政府开放活动，深化政民互动体验。</w:t>
      </w:r>
      <w:r>
        <w:rPr>
          <w:rFonts w:hint="eastAsia" w:eastAsia="方正仿宋简体" w:cs="Times New Roman"/>
          <w:b/>
          <w:color w:val="auto"/>
          <w:sz w:val="32"/>
          <w:szCs w:val="32"/>
          <w:lang w:val="en-US" w:eastAsia="zh-CN"/>
        </w:rPr>
        <w:t>通过“请进来”、“走出去”等多种方式，开展以“零距离感受执法温度 心贴心共筑文明交通”为主题的政府开放活动，维护交通运输市场主体和人民群众的合法权益，增进社会各界对交通运输执法工作的理解与支持。</w:t>
      </w:r>
      <w:r>
        <w:rPr>
          <w:rFonts w:hint="eastAsia" w:ascii="Times New Roman" w:hAnsi="Times New Roman" w:eastAsia="方正仿宋简体" w:cs="Times New Roman"/>
          <w:b/>
          <w:color w:val="auto"/>
          <w:sz w:val="32"/>
          <w:szCs w:val="32"/>
          <w:lang w:val="en-US" w:eastAsia="zh-CN"/>
        </w:rPr>
        <w:t>二是策划系列</w:t>
      </w:r>
      <w:r>
        <w:rPr>
          <w:rFonts w:hint="eastAsia" w:eastAsia="方正仿宋简体" w:cs="Times New Roman"/>
          <w:b/>
          <w:color w:val="auto"/>
          <w:sz w:val="32"/>
          <w:szCs w:val="32"/>
          <w:lang w:val="en-US" w:eastAsia="zh-CN"/>
        </w:rPr>
        <w:t>主题</w:t>
      </w:r>
      <w:r>
        <w:rPr>
          <w:rFonts w:hint="eastAsia" w:ascii="Times New Roman" w:hAnsi="Times New Roman" w:eastAsia="方正仿宋简体" w:cs="Times New Roman"/>
          <w:b/>
          <w:color w:val="auto"/>
          <w:sz w:val="32"/>
          <w:szCs w:val="32"/>
          <w:lang w:val="en-US" w:eastAsia="zh-CN"/>
        </w:rPr>
        <w:t>宣传，提升行业形象传播力。 围绕“济宁港跻身亿吨大港”</w:t>
      </w:r>
      <w:r>
        <w:rPr>
          <w:rFonts w:hint="eastAsia" w:eastAsia="方正仿宋简体" w:cs="Times New Roman"/>
          <w:b/>
          <w:color w:val="auto"/>
          <w:sz w:val="32"/>
          <w:szCs w:val="32"/>
          <w:lang w:val="en-US" w:eastAsia="zh-CN"/>
        </w:rPr>
        <w:t>等</w:t>
      </w:r>
      <w:r>
        <w:rPr>
          <w:rFonts w:hint="eastAsia" w:ascii="Times New Roman" w:hAnsi="Times New Roman" w:eastAsia="方正仿宋简体" w:cs="Times New Roman"/>
          <w:b/>
          <w:color w:val="auto"/>
          <w:sz w:val="32"/>
          <w:szCs w:val="32"/>
          <w:lang w:val="en-US" w:eastAsia="zh-CN"/>
        </w:rPr>
        <w:t>重大成就，主动策划媒体集中采访，引导主流媒体从区域经济、物流枢纽等多元视角进行深度报道。在</w:t>
      </w:r>
      <w:r>
        <w:rPr>
          <w:rFonts w:hint="eastAsia" w:eastAsia="方正仿宋简体" w:cs="Times New Roman"/>
          <w:b/>
          <w:color w:val="auto"/>
          <w:sz w:val="32"/>
          <w:szCs w:val="32"/>
          <w:lang w:val="en-US" w:eastAsia="zh-CN"/>
        </w:rPr>
        <w:t>“济宁交通”微信公众号开展</w:t>
      </w:r>
      <w:r>
        <w:rPr>
          <w:rFonts w:hint="eastAsia" w:ascii="Times New Roman" w:hAnsi="Times New Roman" w:eastAsia="方正仿宋简体" w:cs="Times New Roman"/>
          <w:b/>
          <w:color w:val="auto"/>
          <w:sz w:val="32"/>
          <w:szCs w:val="32"/>
          <w:lang w:val="en-US" w:eastAsia="zh-CN"/>
        </w:rPr>
        <w:t>系列宣传，通过</w:t>
      </w:r>
      <w:r>
        <w:rPr>
          <w:rFonts w:hint="eastAsia" w:eastAsia="方正仿宋简体" w:cs="Times New Roman"/>
          <w:b/>
          <w:color w:val="auto"/>
          <w:sz w:val="32"/>
          <w:szCs w:val="32"/>
          <w:lang w:val="en-US" w:eastAsia="zh-CN"/>
        </w:rPr>
        <w:t>文字、短视频</w:t>
      </w:r>
      <w:r>
        <w:rPr>
          <w:rFonts w:hint="eastAsia" w:ascii="Times New Roman" w:hAnsi="Times New Roman" w:eastAsia="方正仿宋简体" w:cs="Times New Roman"/>
          <w:b/>
          <w:color w:val="auto"/>
          <w:sz w:val="32"/>
          <w:szCs w:val="32"/>
          <w:lang w:val="en-US" w:eastAsia="zh-CN"/>
        </w:rPr>
        <w:t>等丰富形式，系统性地呈现港口发展</w:t>
      </w:r>
      <w:r>
        <w:rPr>
          <w:rFonts w:hint="eastAsia" w:eastAsia="方正仿宋简体" w:cs="Times New Roman"/>
          <w:b/>
          <w:color w:val="auto"/>
          <w:sz w:val="32"/>
          <w:szCs w:val="32"/>
          <w:lang w:val="en-US" w:eastAsia="zh-CN"/>
        </w:rPr>
        <w:t>成就</w:t>
      </w:r>
      <w:r>
        <w:rPr>
          <w:rFonts w:hint="eastAsia" w:ascii="Times New Roman" w:hAnsi="Times New Roman" w:eastAsia="方正仿宋简体" w:cs="Times New Roman"/>
          <w:b/>
          <w:color w:val="auto"/>
          <w:sz w:val="32"/>
          <w:szCs w:val="32"/>
          <w:lang w:val="en-US" w:eastAsia="zh-CN"/>
        </w:rPr>
        <w:t>，将专业成果成功转化为公众可感知、易共鸣的城市发展故事。</w:t>
      </w:r>
    </w:p>
    <w:p>
      <w:pPr>
        <w:ind w:left="0" w:leftChars="0" w:firstLine="0" w:firstLineChars="0"/>
        <w:jc w:val="both"/>
        <w:rPr>
          <w:rFonts w:hint="eastAsia"/>
          <w:color w:val="FF0000"/>
        </w:rPr>
      </w:pPr>
      <w:r>
        <w:rPr>
          <w:rFonts w:hint="eastAsia" w:ascii="Times New Roman" w:hAnsi="Times New Roman" w:eastAsia="方正仿宋简体" w:cs="Times New Roman"/>
          <w:b/>
          <w:color w:val="auto"/>
          <w:sz w:val="32"/>
          <w:szCs w:val="32"/>
          <w:lang w:val="en-US" w:eastAsia="zh-CN"/>
        </w:rPr>
        <w:t>三是推行</w:t>
      </w:r>
      <w:r>
        <w:rPr>
          <w:rFonts w:hint="eastAsia" w:eastAsia="方正仿宋简体" w:cs="Times New Roman"/>
          <w:b/>
          <w:color w:val="auto"/>
          <w:sz w:val="32"/>
          <w:szCs w:val="32"/>
          <w:lang w:val="en-US" w:eastAsia="zh-CN"/>
        </w:rPr>
        <w:t>便民化</w:t>
      </w:r>
      <w:r>
        <w:rPr>
          <w:rFonts w:hint="eastAsia" w:ascii="Times New Roman" w:hAnsi="Times New Roman" w:eastAsia="方正仿宋简体" w:cs="Times New Roman"/>
          <w:b/>
          <w:color w:val="auto"/>
          <w:sz w:val="32"/>
          <w:szCs w:val="32"/>
          <w:lang w:val="en-US" w:eastAsia="zh-CN"/>
        </w:rPr>
        <w:t>政策解读，增强信息获取便捷性。持续优化图文解读产品</w:t>
      </w:r>
      <w:r>
        <w:rPr>
          <w:rFonts w:hint="eastAsia" w:eastAsia="方正仿宋简体" w:cs="Times New Roman"/>
          <w:b/>
          <w:color w:val="auto"/>
          <w:sz w:val="32"/>
          <w:szCs w:val="32"/>
          <w:lang w:val="en-US" w:eastAsia="zh-CN"/>
        </w:rPr>
        <w:t>，</w:t>
      </w:r>
      <w:r>
        <w:rPr>
          <w:rFonts w:hint="eastAsia" w:ascii="Times New Roman" w:hAnsi="Times New Roman" w:eastAsia="方正仿宋简体" w:cs="Times New Roman"/>
          <w:b/>
          <w:color w:val="auto"/>
          <w:sz w:val="32"/>
          <w:szCs w:val="32"/>
          <w:lang w:val="en-US" w:eastAsia="zh-CN"/>
        </w:rPr>
        <w:t>重点针对与群众切身利益相关的条款，摒弃简单复制条文的方式，转而提炼核心要点，配套操作流程图、申请条件等，力求内容一目了然、指引清晰明确。</w:t>
      </w: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2"/>
      </w:pPr>
      <w:r>
        <w:separator/>
      </w:r>
    </w:p>
  </w:endnote>
  <w:endnote w:type="continuationSeparator" w:id="1">
    <w:p>
      <w:pPr>
        <w:spacing w:line="240" w:lineRule="auto"/>
        <w:ind w:firstLine="64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86"/>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val="0"/>
                            <w:kinsoku/>
                            <w:wordWrap/>
                            <w:overflowPunct/>
                            <w:topLinePunct w:val="0"/>
                            <w:bidi w:val="0"/>
                            <w:adjustRightInd/>
                            <w:snapToGrid w:val="0"/>
                            <w:ind w:firstLine="0" w:firstLineChars="0"/>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keepNext w:val="0"/>
                      <w:keepLines w:val="0"/>
                      <w:pageBreakBefore w:val="0"/>
                      <w:widowControl w:val="0"/>
                      <w:kinsoku/>
                      <w:wordWrap/>
                      <w:overflowPunct/>
                      <w:topLinePunct w:val="0"/>
                      <w:bidi w:val="0"/>
                      <w:adjustRightInd/>
                      <w:snapToGrid w:val="0"/>
                      <w:ind w:firstLine="0" w:firstLineChars="0"/>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2"/>
      </w:pPr>
      <w:r>
        <w:separator/>
      </w:r>
    </w:p>
  </w:footnote>
  <w:footnote w:type="continuationSeparator" w:id="1">
    <w:p>
      <w:pPr>
        <w:spacing w:line="240" w:lineRule="auto"/>
        <w:ind w:firstLine="64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80DD24"/>
    <w:multiLevelType w:val="singleLevel"/>
    <w:tmpl w:val="3580DD24"/>
    <w:lvl w:ilvl="0" w:tentative="0">
      <w:start w:val="1"/>
      <w:numFmt w:val="chineseCounting"/>
      <w:suff w:val="nothing"/>
      <w:lvlText w:val="（%1）"/>
      <w:lvlJc w:val="left"/>
      <w:rPr>
        <w:rFonts w:hint="eastAsia"/>
      </w:rPr>
    </w:lvl>
  </w:abstractNum>
  <w:abstractNum w:abstractNumId="1">
    <w:nsid w:val="47C226C6"/>
    <w:multiLevelType w:val="singleLevel"/>
    <w:tmpl w:val="47C226C6"/>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10631"/>
    <w:rsid w:val="0EDC536C"/>
    <w:rsid w:val="1A132140"/>
    <w:rsid w:val="1CCA6669"/>
    <w:rsid w:val="200B409F"/>
    <w:rsid w:val="20E22BD6"/>
    <w:rsid w:val="20EA1F2B"/>
    <w:rsid w:val="2E0F00A5"/>
    <w:rsid w:val="454F7F8B"/>
    <w:rsid w:val="490D3B87"/>
    <w:rsid w:val="49E30B41"/>
    <w:rsid w:val="4B14723F"/>
    <w:rsid w:val="4D754275"/>
    <w:rsid w:val="4F732BBC"/>
    <w:rsid w:val="51AC5C98"/>
    <w:rsid w:val="6C822932"/>
    <w:rsid w:val="728366E1"/>
    <w:rsid w:val="73BC5F3C"/>
    <w:rsid w:val="7C8B6DF3"/>
    <w:rsid w:val="7CC242E1"/>
    <w:rsid w:val="7F0709B3"/>
    <w:rsid w:val="7F9FA142"/>
    <w:rsid w:val="B1FCF1FE"/>
    <w:rsid w:val="C3BFEF90"/>
    <w:rsid w:val="E377702D"/>
    <w:rsid w:val="FDFF7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3" w:firstLineChars="200"/>
      <w:jc w:val="both"/>
    </w:pPr>
    <w:rPr>
      <w:rFonts w:ascii="Times New Roman" w:hAnsi="Times New Roman" w:eastAsia="仿宋_GB2312" w:cs="Times New Roman"/>
      <w:b/>
      <w:bCs/>
      <w:kern w:val="2"/>
      <w:sz w:val="32"/>
      <w:szCs w:val="32"/>
      <w:lang w:val="en-US" w:eastAsia="zh-CN" w:bidi="ar-SA"/>
    </w:rPr>
  </w:style>
  <w:style w:type="paragraph" w:styleId="3">
    <w:name w:val="heading 2"/>
    <w:basedOn w:val="1"/>
    <w:next w:val="1"/>
    <w:semiHidden/>
    <w:unhideWhenUsed/>
    <w:qFormat/>
    <w:uiPriority w:val="0"/>
    <w:pPr>
      <w:keepNext/>
      <w:keepLines/>
      <w:spacing w:beforeLines="0" w:beforeAutospacing="0" w:afterLines="0" w:afterAutospacing="0" w:line="560" w:lineRule="exact"/>
      <w:ind w:firstLine="883" w:firstLineChars="200"/>
      <w:outlineLvl w:val="1"/>
    </w:pPr>
    <w:rPr>
      <w:rFonts w:eastAsia="方正楷体简体"/>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4">
    <w:name w:val="Body Text Indent"/>
    <w:basedOn w:val="1"/>
    <w:next w:val="1"/>
    <w:qFormat/>
    <w:uiPriority w:val="0"/>
    <w:pPr>
      <w:spacing w:after="120" w:afterLines="0" w:afterAutospacing="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4"/>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3883</Words>
  <Characters>3989</Characters>
  <Lines>0</Lines>
  <Paragraphs>0</Paragraphs>
  <TotalTime>580</TotalTime>
  <ScaleCrop>false</ScaleCrop>
  <LinksUpToDate>false</LinksUpToDate>
  <CharactersWithSpaces>3991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2024-12-07T06:45:00Z</dcterms:created>
  <dc:creator>dell</dc:creator>
  <cp:lastModifiedBy>user</cp:lastModifiedBy>
  <cp:lastPrinted>2026-01-22T23:09:00Z</cp:lastPrinted>
  <dcterms:modified xsi:type="dcterms:W3CDTF">2026-01-26T18:02:02Z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95EF673FFEBD464E9A21DDE361572AFC_13</vt:lpwstr>
  </property>
  <property fmtid="{D5CDD505-2E9C-101B-9397-08002B2CF9AE}" pid="4" name="KSOTemplateDocerSaveRecord">
    <vt:lpwstr>eyJoZGlkIjoiNDFlMzljMTVlYzBjNjc4NzUxYmNjODhjNDdhOGMwNWQiLCJ1c2VySWQiOiIzMTU3NTE2NDQifQ==</vt:lpwstr>
  </property>
</Properties>
</file>