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0" w:lineRule="atLeast"/>
        <w:ind w:right="0"/>
        <w:jc w:val="center"/>
        <w:rPr>
          <w:rFonts w:hint="eastAsia" w:ascii="方正小标宋简体" w:hAnsi="方正小标宋简体" w:eastAsia="方正小标宋简体" w:cs="方正小标宋简体"/>
          <w:b/>
          <w:bCs w:val="0"/>
          <w:sz w:val="44"/>
          <w:szCs w:val="44"/>
          <w:lang w:val="en-US" w:eastAsia="zh-CN"/>
        </w:rPr>
      </w:pPr>
      <w:r>
        <w:rPr>
          <w:rFonts w:hint="eastAsia" w:ascii="方正小标宋简体" w:hAnsi="方正小标宋简体" w:eastAsia="方正小标宋简体" w:cs="方正小标宋简体"/>
          <w:b/>
          <w:bCs w:val="0"/>
          <w:sz w:val="44"/>
          <w:szCs w:val="44"/>
          <w:lang w:val="en-US" w:eastAsia="zh-CN"/>
        </w:rPr>
        <w:t>济宁市医疗保障局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0" w:lineRule="atLeast"/>
        <w:ind w:right="0"/>
        <w:jc w:val="center"/>
        <w:rPr>
          <w:rStyle w:val="8"/>
          <w:rFonts w:hint="eastAsia" w:ascii="方正小标宋简体" w:hAnsi="方正小标宋简体" w:eastAsia="方正小标宋简体" w:cs="方正小标宋简体"/>
          <w:color w:val="333333"/>
          <w:sz w:val="44"/>
          <w:szCs w:val="44"/>
        </w:rPr>
      </w:pPr>
      <w:r>
        <w:rPr>
          <w:rFonts w:hint="eastAsia" w:ascii="方正小标宋简体" w:hAnsi="方正小标宋简体" w:eastAsia="方正小标宋简体" w:cs="方正小标宋简体"/>
          <w:b/>
          <w:bCs w:val="0"/>
          <w:sz w:val="44"/>
          <w:szCs w:val="44"/>
          <w:lang w:val="en-US" w:eastAsia="zh-CN"/>
        </w:rPr>
        <w:t>2023年政府信息公开工作年度报告</w:t>
      </w:r>
    </w:p>
    <w:p>
      <w:pPr>
        <w:spacing w:line="600" w:lineRule="exact"/>
        <w:ind w:firstLine="640" w:firstLineChars="200"/>
        <w:rPr>
          <w:rFonts w:ascii="仿宋_GB2312" w:eastAsia="仿宋_GB2312"/>
          <w:sz w:val="32"/>
          <w:szCs w:val="32"/>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0" w:lineRule="atLeast"/>
        <w:ind w:right="0" w:firstLine="643" w:firstLineChars="200"/>
        <w:jc w:val="both"/>
        <w:rPr>
          <w:rFonts w:hint="eastAsia" w:ascii="Times New Roman" w:hAnsi="Times New Roman" w:eastAsia="方正仿宋简体" w:cs="Times New Roman"/>
          <w:b/>
          <w:bCs/>
          <w:kern w:val="2"/>
          <w:sz w:val="32"/>
          <w:szCs w:val="32"/>
          <w:lang w:val="en-US" w:eastAsia="zh-CN" w:bidi="ar-SA"/>
        </w:rPr>
      </w:pPr>
      <w:r>
        <w:rPr>
          <w:rFonts w:hint="eastAsia" w:ascii="Times New Roman" w:hAnsi="Times New Roman" w:eastAsia="方正仿宋简体" w:cs="Times New Roman"/>
          <w:b/>
          <w:bCs/>
          <w:kern w:val="2"/>
          <w:sz w:val="32"/>
          <w:szCs w:val="32"/>
          <w:lang w:val="en-US" w:eastAsia="zh-CN" w:bidi="ar-SA"/>
        </w:rPr>
        <w:t>本报告由济宁市医疗保障局按照《中华人民共和国政府信息公开条例》（以下简称《条例》）和《中华人民共和国政府信息公开工作年度报告格式》要求编制。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0" w:lineRule="atLeast"/>
        <w:ind w:right="0" w:firstLine="643" w:firstLineChars="200"/>
        <w:jc w:val="both"/>
        <w:rPr>
          <w:rFonts w:hint="eastAsia" w:ascii="Times New Roman" w:hAnsi="Times New Roman" w:eastAsia="方正仿宋简体" w:cs="Times New Roman"/>
          <w:b/>
          <w:bCs/>
          <w:kern w:val="2"/>
          <w:sz w:val="32"/>
          <w:szCs w:val="32"/>
          <w:lang w:val="en-US" w:eastAsia="zh-CN" w:bidi="ar-SA"/>
        </w:rPr>
      </w:pPr>
      <w:r>
        <w:rPr>
          <w:rFonts w:hint="eastAsia" w:ascii="Times New Roman" w:hAnsi="Times New Roman" w:eastAsia="方正仿宋简体" w:cs="Times New Roman"/>
          <w:b/>
          <w:bCs/>
          <w:kern w:val="2"/>
          <w:sz w:val="32"/>
          <w:szCs w:val="32"/>
          <w:lang w:val="en-US" w:eastAsia="zh-CN" w:bidi="ar-SA"/>
        </w:rPr>
        <w:t>本报告内容包括总体情况、主动公开政府信息情况、收到和处理政府信息公开申请情况、政府信息公开行政复议和行政诉讼情况、存在的主要问题及改进情况、其他需要报告的事项等六部分内容。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0" w:lineRule="atLeast"/>
        <w:ind w:right="0" w:firstLine="643" w:firstLineChars="200"/>
        <w:jc w:val="both"/>
        <w:rPr>
          <w:rFonts w:hint="eastAsia" w:ascii="Times New Roman" w:hAnsi="Times New Roman" w:eastAsia="方正仿宋简体" w:cs="Times New Roman"/>
          <w:b/>
          <w:bCs/>
          <w:kern w:val="2"/>
          <w:sz w:val="32"/>
          <w:szCs w:val="32"/>
          <w:lang w:val="en-US" w:eastAsia="zh-CN" w:bidi="ar-SA"/>
        </w:rPr>
      </w:pPr>
      <w:r>
        <w:rPr>
          <w:rFonts w:hint="eastAsia" w:ascii="Times New Roman" w:hAnsi="Times New Roman" w:eastAsia="方正仿宋简体" w:cs="Times New Roman"/>
          <w:b/>
          <w:bCs/>
          <w:i w:val="0"/>
          <w:iCs w:val="0"/>
          <w:caps w:val="0"/>
          <w:spacing w:val="0"/>
          <w:kern w:val="2"/>
          <w:sz w:val="32"/>
          <w:szCs w:val="32"/>
          <w:lang w:bidi="ar-SA"/>
        </w:rPr>
        <w:t>本报告所列数据的统计期限自202</w:t>
      </w:r>
      <w:r>
        <w:rPr>
          <w:rFonts w:hint="eastAsia" w:ascii="Times New Roman" w:hAnsi="Times New Roman" w:eastAsia="方正仿宋简体" w:cs="Times New Roman"/>
          <w:b/>
          <w:bCs/>
          <w:i w:val="0"/>
          <w:iCs w:val="0"/>
          <w:caps w:val="0"/>
          <w:spacing w:val="0"/>
          <w:kern w:val="2"/>
          <w:sz w:val="32"/>
          <w:szCs w:val="32"/>
          <w:lang w:val="en-US" w:eastAsia="zh-CN" w:bidi="ar-SA"/>
        </w:rPr>
        <w:t>3</w:t>
      </w:r>
      <w:r>
        <w:rPr>
          <w:rFonts w:hint="eastAsia" w:ascii="Times New Roman" w:hAnsi="Times New Roman" w:eastAsia="方正仿宋简体" w:cs="Times New Roman"/>
          <w:b/>
          <w:bCs/>
          <w:i w:val="0"/>
          <w:iCs w:val="0"/>
          <w:caps w:val="0"/>
          <w:spacing w:val="0"/>
          <w:kern w:val="2"/>
          <w:sz w:val="32"/>
          <w:szCs w:val="32"/>
          <w:lang w:bidi="ar-SA"/>
        </w:rPr>
        <w:t>年1月1日起至202</w:t>
      </w:r>
      <w:r>
        <w:rPr>
          <w:rFonts w:hint="eastAsia" w:ascii="Times New Roman" w:hAnsi="Times New Roman" w:eastAsia="方正仿宋简体" w:cs="Times New Roman"/>
          <w:b/>
          <w:bCs/>
          <w:i w:val="0"/>
          <w:iCs w:val="0"/>
          <w:caps w:val="0"/>
          <w:spacing w:val="0"/>
          <w:kern w:val="2"/>
          <w:sz w:val="32"/>
          <w:szCs w:val="32"/>
          <w:lang w:val="en-US" w:eastAsia="zh-CN" w:bidi="ar-SA"/>
        </w:rPr>
        <w:t>3</w:t>
      </w:r>
      <w:r>
        <w:rPr>
          <w:rFonts w:hint="eastAsia" w:ascii="Times New Roman" w:hAnsi="Times New Roman" w:eastAsia="方正仿宋简体" w:cs="Times New Roman"/>
          <w:b/>
          <w:bCs/>
          <w:i w:val="0"/>
          <w:iCs w:val="0"/>
          <w:caps w:val="0"/>
          <w:spacing w:val="0"/>
          <w:kern w:val="2"/>
          <w:sz w:val="32"/>
          <w:szCs w:val="32"/>
          <w:lang w:bidi="ar-SA"/>
        </w:rPr>
        <w:t>年12月31日止。本报告电子版可在“中国·济宁”政府门户网站（https://www.jining.gov.cn/col/col61540/index.html?jh=263）查阅或下载。如对本报告有疑问，请与济宁市医疗保障局联系（地址：济宁市太白湖新区省运会指挥中心B区5楼，联系电话：0537-2969500）。</w:t>
      </w:r>
      <w:bookmarkStart w:id="10" w:name="_GoBack"/>
      <w:bookmarkEnd w:id="10"/>
    </w:p>
    <w:p>
      <w:pPr>
        <w:spacing w:line="600" w:lineRule="exact"/>
        <w:ind w:firstLine="640" w:firstLineChars="200"/>
        <w:rPr>
          <w:rFonts w:ascii="黑体" w:hAnsi="黑体" w:eastAsia="黑体"/>
          <w:sz w:val="32"/>
          <w:szCs w:val="32"/>
        </w:rPr>
      </w:pPr>
      <w:r>
        <w:rPr>
          <w:rFonts w:hint="eastAsia" w:ascii="黑体" w:hAnsi="黑体" w:eastAsia="黑体"/>
          <w:sz w:val="32"/>
          <w:szCs w:val="32"/>
        </w:rPr>
        <w:t>一、总体情况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0" w:lineRule="atLeast"/>
        <w:ind w:right="0" w:firstLine="643" w:firstLineChars="200"/>
        <w:jc w:val="both"/>
        <w:rPr>
          <w:rFonts w:hint="eastAsia" w:ascii="Times New Roman" w:hAnsi="Times New Roman" w:eastAsia="方正仿宋简体" w:cs="Times New Roman"/>
          <w:b/>
          <w:bCs/>
          <w:kern w:val="2"/>
          <w:sz w:val="32"/>
          <w:szCs w:val="32"/>
          <w:lang w:val="en-US" w:eastAsia="zh-CN" w:bidi="ar-SA"/>
        </w:rPr>
      </w:pPr>
      <w:r>
        <w:rPr>
          <w:rFonts w:hint="eastAsia" w:ascii="Times New Roman" w:hAnsi="Times New Roman" w:eastAsia="方正仿宋简体" w:cs="Times New Roman"/>
          <w:b/>
          <w:bCs/>
          <w:kern w:val="2"/>
          <w:sz w:val="32"/>
          <w:szCs w:val="32"/>
          <w:lang w:val="en-US" w:eastAsia="zh-CN" w:bidi="ar-SA"/>
        </w:rPr>
        <w:t>市医保局坚持“应公开尽公开”，践行“以人民为中心”理念，紧紧围绕全市医保中心工作，积极做好政府信息主动公开。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0" w:lineRule="atLeast"/>
        <w:ind w:right="0" w:firstLine="643" w:firstLineChars="200"/>
        <w:jc w:val="both"/>
        <w:rPr>
          <w:rFonts w:hint="default" w:ascii="Times New Roman" w:hAnsi="Times New Roman" w:eastAsia="方正仿宋简体" w:cs="Times New Roman"/>
          <w:b/>
          <w:bCs/>
          <w:kern w:val="2"/>
          <w:sz w:val="32"/>
          <w:szCs w:val="32"/>
          <w:lang w:val="en-US" w:eastAsia="zh-CN" w:bidi="ar-SA"/>
        </w:rPr>
      </w:pPr>
      <w:r>
        <w:rPr>
          <w:rFonts w:hint="eastAsia" w:ascii="楷体_GB2312" w:eastAsia="楷体_GB2312" w:hAnsiTheme="minorHAnsi" w:cstheme="minorBidi"/>
          <w:b/>
          <w:bCs/>
          <w:kern w:val="2"/>
          <w:sz w:val="32"/>
          <w:szCs w:val="32"/>
          <w:lang w:val="en-US" w:eastAsia="zh-CN" w:bidi="ar-SA"/>
        </w:rPr>
        <w:t>（一）主动公开方面。</w:t>
      </w:r>
      <w:r>
        <w:rPr>
          <w:rFonts w:hint="default" w:ascii="Times New Roman" w:hAnsi="Times New Roman" w:eastAsia="方正仿宋简体" w:cs="Times New Roman"/>
          <w:b/>
          <w:bCs/>
          <w:kern w:val="2"/>
          <w:sz w:val="32"/>
          <w:szCs w:val="32"/>
          <w:lang w:val="en-US" w:eastAsia="zh-CN" w:bidi="ar-SA"/>
        </w:rPr>
        <w:t>2023年，</w:t>
      </w:r>
      <w:r>
        <w:rPr>
          <w:rFonts w:hint="eastAsia" w:ascii="Times New Roman" w:hAnsi="Times New Roman" w:eastAsia="方正仿宋简体" w:cs="Times New Roman"/>
          <w:b/>
          <w:bCs/>
          <w:kern w:val="2"/>
          <w:sz w:val="32"/>
          <w:szCs w:val="32"/>
          <w:lang w:val="en-US" w:eastAsia="zh-CN" w:bidi="ar-SA"/>
        </w:rPr>
        <w:t>市医疗保障局</w:t>
      </w:r>
      <w:r>
        <w:rPr>
          <w:rFonts w:hint="default" w:ascii="Times New Roman" w:hAnsi="Times New Roman" w:eastAsia="方正仿宋简体" w:cs="Times New Roman"/>
          <w:b/>
          <w:bCs/>
          <w:kern w:val="2"/>
          <w:sz w:val="32"/>
          <w:szCs w:val="32"/>
          <w:lang w:val="en-US" w:eastAsia="zh-CN" w:bidi="ar-SA"/>
        </w:rPr>
        <w:t>主动公开部门文件14条，医保服务信息9条，建议提案办理信息7条，财务信息9条，政策解读25条，其他政府信息58条。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0" w:lineRule="atLeast"/>
        <w:ind w:right="0"/>
        <w:jc w:val="center"/>
        <w:rPr>
          <w:rFonts w:hint="eastAsia" w:ascii="Times New Roman" w:hAnsi="Times New Roman" w:eastAsia="方正仿宋简体" w:cs="Times New Roman"/>
          <w:b/>
          <w:bCs/>
          <w:kern w:val="2"/>
          <w:sz w:val="32"/>
          <w:szCs w:val="32"/>
          <w:lang w:val="en-US" w:eastAsia="zh-CN" w:bidi="ar-SA"/>
        </w:rPr>
      </w:pPr>
      <w:r>
        <w:drawing>
          <wp:inline distT="0" distB="0" distL="114300" distR="114300">
            <wp:extent cx="4572000" cy="2743200"/>
            <wp:effectExtent l="4445" t="4445" r="8255" b="825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0" w:lineRule="atLeast"/>
        <w:ind w:right="0" w:firstLine="643" w:firstLineChars="200"/>
        <w:jc w:val="both"/>
        <w:rPr>
          <w:color w:val="333333"/>
          <w:sz w:val="14"/>
          <w:szCs w:val="14"/>
        </w:rPr>
      </w:pPr>
      <w:r>
        <w:rPr>
          <w:rFonts w:hint="eastAsia" w:ascii="楷体_GB2312" w:eastAsia="楷体_GB2312" w:hAnsiTheme="minorHAnsi" w:cstheme="minorBidi"/>
          <w:b/>
          <w:bCs/>
          <w:kern w:val="2"/>
          <w:sz w:val="32"/>
          <w:szCs w:val="32"/>
          <w:lang w:val="en-US" w:eastAsia="zh-CN" w:bidi="ar-SA"/>
        </w:rPr>
        <w:t>（二）依申请公开工作方面。</w:t>
      </w:r>
      <w:r>
        <w:rPr>
          <w:rFonts w:hint="default" w:ascii="Times New Roman" w:hAnsi="Times New Roman" w:eastAsia="方正仿宋简体" w:cs="Times New Roman"/>
          <w:b/>
          <w:bCs/>
          <w:kern w:val="2"/>
          <w:sz w:val="32"/>
          <w:szCs w:val="32"/>
          <w:lang w:val="en-US" w:eastAsia="zh-CN" w:bidi="ar-SA"/>
        </w:rPr>
        <w:t>202</w:t>
      </w:r>
      <w:r>
        <w:rPr>
          <w:rFonts w:hint="eastAsia" w:ascii="Times New Roman" w:hAnsi="Times New Roman" w:eastAsia="方正仿宋简体" w:cs="Times New Roman"/>
          <w:b/>
          <w:bCs/>
          <w:kern w:val="2"/>
          <w:sz w:val="32"/>
          <w:szCs w:val="32"/>
          <w:lang w:val="en-US" w:eastAsia="zh-CN" w:bidi="ar-SA"/>
        </w:rPr>
        <w:t>3年，共受理依申请公开5件，已在法定期限内予以答复，未收到以政府信息公开为由提起的行政诉讼。</w:t>
      </w:r>
      <w:r>
        <w:rPr>
          <w:rFonts w:hint="default" w:ascii="Times New Roman" w:hAnsi="Times New Roman" w:eastAsia="方正仿宋简体" w:cs="Times New Roman"/>
          <w:b/>
          <w:bCs/>
          <w:kern w:val="2"/>
          <w:sz w:val="32"/>
          <w:szCs w:val="32"/>
          <w:lang w:val="en-US" w:eastAsia="zh-CN" w:bidi="ar-SA"/>
        </w:rPr>
        <w:t>202</w:t>
      </w:r>
      <w:r>
        <w:rPr>
          <w:rFonts w:hint="eastAsia" w:ascii="Times New Roman" w:hAnsi="Times New Roman" w:eastAsia="方正仿宋简体" w:cs="Times New Roman"/>
          <w:b/>
          <w:bCs/>
          <w:kern w:val="2"/>
          <w:sz w:val="32"/>
          <w:szCs w:val="32"/>
          <w:lang w:val="en-US" w:eastAsia="zh-CN" w:bidi="ar-SA"/>
        </w:rPr>
        <w:t>3年，政府信息公开申请未向申请人收取任何费用。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0" w:lineRule="atLeast"/>
        <w:ind w:right="0" w:firstLine="643" w:firstLineChars="200"/>
        <w:jc w:val="both"/>
        <w:rPr>
          <w:color w:val="333333"/>
          <w:sz w:val="14"/>
          <w:szCs w:val="14"/>
        </w:rPr>
      </w:pPr>
      <w:r>
        <w:rPr>
          <w:rFonts w:hint="eastAsia" w:ascii="楷体_GB2312" w:eastAsia="楷体_GB2312" w:hAnsiTheme="minorHAnsi" w:cstheme="minorBidi"/>
          <w:b/>
          <w:bCs/>
          <w:kern w:val="2"/>
          <w:sz w:val="32"/>
          <w:szCs w:val="32"/>
          <w:lang w:val="en-US" w:eastAsia="zh-CN" w:bidi="ar-SA"/>
        </w:rPr>
        <w:t>（三）政府信息管理方面。</w:t>
      </w:r>
      <w:r>
        <w:rPr>
          <w:rFonts w:hint="eastAsia" w:ascii="Times New Roman" w:hAnsi="Times New Roman" w:eastAsia="方正仿宋简体" w:cs="Times New Roman"/>
          <w:b/>
          <w:bCs/>
          <w:kern w:val="2"/>
          <w:sz w:val="32"/>
          <w:szCs w:val="32"/>
          <w:lang w:val="en-US" w:eastAsia="zh-CN" w:bidi="ar-SA"/>
        </w:rPr>
        <w:t>聚焦医保领域重点工作，认真梳理主动公开信息，编制2023年济宁市医疗保障局政府信息主动公开基本目录。提升政策解读质量，按照“谁起草、谁解读”原则，对行政规范性文件、重要政策性文件进行多元化精准解读，丰富解读形式，利用图文、动漫、媒体等多种形式进行解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0" w:lineRule="atLeast"/>
        <w:ind w:right="0" w:firstLine="643" w:firstLineChars="200"/>
        <w:jc w:val="both"/>
        <w:rPr>
          <w:rFonts w:hint="eastAsia" w:ascii="楷体_GB2312" w:eastAsia="楷体_GB2312" w:hAnsiTheme="minorHAnsi" w:cstheme="minorBidi"/>
          <w:b/>
          <w:bCs/>
          <w:kern w:val="2"/>
          <w:sz w:val="32"/>
          <w:szCs w:val="32"/>
          <w:lang w:val="en-US" w:eastAsia="zh-CN" w:bidi="ar-SA"/>
        </w:rPr>
      </w:pPr>
      <w:r>
        <w:rPr>
          <w:rFonts w:hint="eastAsia" w:ascii="楷体_GB2312" w:eastAsia="楷体_GB2312" w:hAnsiTheme="minorHAnsi" w:cstheme="minorBidi"/>
          <w:b/>
          <w:bCs/>
          <w:kern w:val="2"/>
          <w:sz w:val="32"/>
          <w:szCs w:val="32"/>
          <w:lang w:val="en-US" w:eastAsia="zh-CN" w:bidi="ar-SA"/>
        </w:rPr>
        <w:t>（四）政府信息公开平台建设方面</w:t>
      </w:r>
      <w:r>
        <w:rPr>
          <w:rFonts w:hint="eastAsia" w:ascii="楷体_GB2312" w:eastAsia="楷体_GB2312" w:cstheme="minorBidi"/>
          <w:b/>
          <w:bCs/>
          <w:kern w:val="2"/>
          <w:sz w:val="32"/>
          <w:szCs w:val="32"/>
          <w:lang w:val="en-US" w:eastAsia="zh-CN" w:bidi="ar-SA"/>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0" w:lineRule="atLeast"/>
        <w:ind w:right="0" w:firstLine="643" w:firstLineChars="200"/>
        <w:jc w:val="left"/>
        <w:rPr>
          <w:rFonts w:hint="eastAsia" w:ascii="Times New Roman" w:hAnsi="Times New Roman" w:eastAsia="方正仿宋简体" w:cs="Times New Roman"/>
          <w:b/>
          <w:bCs/>
          <w:kern w:val="2"/>
          <w:sz w:val="32"/>
          <w:szCs w:val="32"/>
          <w:lang w:val="en-US" w:eastAsia="zh-CN" w:bidi="ar-SA"/>
        </w:rPr>
      </w:pPr>
      <w:r>
        <w:rPr>
          <w:rFonts w:hint="eastAsia" w:ascii="Times New Roman" w:hAnsi="Times New Roman" w:eastAsia="方正仿宋简体" w:cs="Times New Roman"/>
          <w:b/>
          <w:bCs/>
          <w:kern w:val="2"/>
          <w:sz w:val="32"/>
          <w:szCs w:val="32"/>
          <w:lang w:val="en-US" w:eastAsia="zh-CN" w:bidi="ar-SA"/>
        </w:rPr>
        <w:t>加强网站、微信公众号公开平台建设，通过济宁市医疗保障局官方网站、“济宁医疗保障”微信公众号及时公开政策文件、政策解读、工作动态等相关信息。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0" w:lineRule="atLeast"/>
        <w:ind w:right="0" w:firstLine="643" w:firstLineChars="200"/>
        <w:jc w:val="both"/>
        <w:rPr>
          <w:rFonts w:hint="eastAsia" w:ascii="楷体_GB2312" w:eastAsia="楷体_GB2312" w:hAnsiTheme="minorHAnsi" w:cstheme="minorBidi"/>
          <w:b/>
          <w:bCs/>
          <w:kern w:val="2"/>
          <w:sz w:val="32"/>
          <w:szCs w:val="32"/>
          <w:lang w:val="en-US" w:eastAsia="zh-CN" w:bidi="ar-SA"/>
        </w:rPr>
      </w:pPr>
      <w:r>
        <w:rPr>
          <w:rFonts w:hint="eastAsia" w:ascii="楷体_GB2312" w:eastAsia="楷体_GB2312" w:hAnsiTheme="minorHAnsi" w:cstheme="minorBidi"/>
          <w:b/>
          <w:bCs/>
          <w:kern w:val="2"/>
          <w:sz w:val="32"/>
          <w:szCs w:val="32"/>
          <w:lang w:val="en-US" w:eastAsia="zh-CN" w:bidi="ar-SA"/>
        </w:rPr>
        <w:t>（五）监督保障方面</w:t>
      </w:r>
      <w:r>
        <w:rPr>
          <w:rFonts w:hint="eastAsia" w:ascii="楷体_GB2312" w:eastAsia="楷体_GB2312" w:cstheme="minorBidi"/>
          <w:b/>
          <w:bCs/>
          <w:kern w:val="2"/>
          <w:sz w:val="32"/>
          <w:szCs w:val="32"/>
          <w:lang w:val="en-US" w:eastAsia="zh-CN" w:bidi="ar-SA"/>
        </w:rPr>
        <w:t>。</w:t>
      </w:r>
    </w:p>
    <w:p>
      <w:pPr>
        <w:spacing w:line="600" w:lineRule="exact"/>
        <w:ind w:firstLine="643" w:firstLineChars="200"/>
        <w:rPr>
          <w:rFonts w:hint="default" w:ascii="Times New Roman" w:hAnsi="Times New Roman" w:eastAsia="方正仿宋简体" w:cs="Times New Roman"/>
          <w:b/>
          <w:bCs/>
          <w:kern w:val="2"/>
          <w:sz w:val="32"/>
          <w:szCs w:val="32"/>
          <w:lang w:val="en-US" w:eastAsia="zh-CN" w:bidi="ar-SA"/>
        </w:rPr>
      </w:pPr>
      <w:r>
        <w:rPr>
          <w:rFonts w:hint="eastAsia" w:ascii="Times New Roman" w:hAnsi="Times New Roman" w:eastAsia="方正仿宋简体" w:cs="Times New Roman"/>
          <w:b/>
          <w:bCs/>
          <w:kern w:val="2"/>
          <w:sz w:val="32"/>
          <w:szCs w:val="32"/>
          <w:lang w:val="en-US" w:eastAsia="zh-CN" w:bidi="ar-SA"/>
        </w:rPr>
        <w:t>通过召开政务公开领导小组会议，及时解决</w:t>
      </w:r>
      <w:r>
        <w:rPr>
          <w:rFonts w:hint="default" w:ascii="Times New Roman" w:hAnsi="Times New Roman" w:eastAsia="方正仿宋简体" w:cs="Times New Roman"/>
          <w:b/>
          <w:bCs/>
          <w:kern w:val="2"/>
          <w:sz w:val="32"/>
          <w:szCs w:val="32"/>
          <w:lang w:val="en-US" w:eastAsia="zh-CN" w:bidi="ar-SA"/>
        </w:rPr>
        <w:t>政务公开面临的</w:t>
      </w:r>
      <w:r>
        <w:rPr>
          <w:rFonts w:hint="eastAsia" w:ascii="Times New Roman" w:hAnsi="Times New Roman" w:eastAsia="方正仿宋简体" w:cs="Times New Roman"/>
          <w:b/>
          <w:bCs/>
          <w:kern w:val="2"/>
          <w:sz w:val="32"/>
          <w:szCs w:val="32"/>
          <w:lang w:val="en-US" w:eastAsia="zh-CN" w:bidi="ar-SA"/>
        </w:rPr>
        <w:t>问题，及时改进</w:t>
      </w:r>
      <w:r>
        <w:rPr>
          <w:rFonts w:hint="default" w:ascii="Times New Roman" w:hAnsi="Times New Roman" w:eastAsia="方正仿宋简体" w:cs="Times New Roman"/>
          <w:b/>
          <w:bCs/>
          <w:kern w:val="2"/>
          <w:sz w:val="32"/>
          <w:szCs w:val="32"/>
          <w:lang w:val="en-US" w:eastAsia="zh-CN" w:bidi="ar-SA"/>
        </w:rPr>
        <w:t>工作中存在</w:t>
      </w:r>
      <w:r>
        <w:rPr>
          <w:rFonts w:hint="eastAsia" w:ascii="Times New Roman" w:hAnsi="Times New Roman" w:eastAsia="方正仿宋简体" w:cs="Times New Roman"/>
          <w:b/>
          <w:bCs/>
          <w:kern w:val="2"/>
          <w:sz w:val="32"/>
          <w:szCs w:val="32"/>
          <w:lang w:val="en-US" w:eastAsia="zh-CN" w:bidi="ar-SA"/>
        </w:rPr>
        <w:t>的</w:t>
      </w:r>
      <w:r>
        <w:rPr>
          <w:rFonts w:hint="default" w:ascii="Times New Roman" w:hAnsi="Times New Roman" w:eastAsia="方正仿宋简体" w:cs="Times New Roman"/>
          <w:b/>
          <w:bCs/>
          <w:kern w:val="2"/>
          <w:sz w:val="32"/>
          <w:szCs w:val="32"/>
          <w:lang w:val="en-US" w:eastAsia="zh-CN" w:bidi="ar-SA"/>
        </w:rPr>
        <w:t>不足</w:t>
      </w:r>
      <w:r>
        <w:rPr>
          <w:rFonts w:hint="eastAsia" w:ascii="Times New Roman" w:hAnsi="Times New Roman" w:eastAsia="方正仿宋简体" w:cs="Times New Roman"/>
          <w:b/>
          <w:bCs/>
          <w:kern w:val="2"/>
          <w:sz w:val="32"/>
          <w:szCs w:val="32"/>
          <w:lang w:val="en-US" w:eastAsia="zh-CN" w:bidi="ar-SA"/>
        </w:rPr>
        <w:t>。通过加强政务公开业务培训，从公开标准化、规范化入手，提升政务公开工作水平</w:t>
      </w:r>
      <w:r>
        <w:rPr>
          <w:rFonts w:hint="default" w:ascii="Times New Roman" w:hAnsi="Times New Roman" w:eastAsia="方正仿宋简体" w:cs="Times New Roman"/>
          <w:b/>
          <w:bCs/>
          <w:kern w:val="2"/>
          <w:sz w:val="32"/>
          <w:szCs w:val="32"/>
          <w:lang w:val="en-US" w:eastAsia="zh-CN" w:bidi="ar-SA"/>
        </w:rPr>
        <w:t>。</w:t>
      </w:r>
    </w:p>
    <w:p>
      <w:pPr>
        <w:spacing w:line="600" w:lineRule="exact"/>
        <w:ind w:firstLine="640" w:firstLineChars="200"/>
        <w:rPr>
          <w:rFonts w:hint="eastAsia" w:ascii="黑体" w:hAnsi="黑体" w:eastAsia="黑体"/>
          <w:sz w:val="32"/>
          <w:szCs w:val="32"/>
        </w:rPr>
      </w:pPr>
      <w:r>
        <w:rPr>
          <w:rFonts w:hint="eastAsia" w:ascii="黑体" w:hAnsi="黑体" w:eastAsia="黑体"/>
          <w:sz w:val="32"/>
          <w:szCs w:val="32"/>
          <w:lang w:val="en-US" w:eastAsia="zh-CN"/>
        </w:rPr>
        <w:t>二</w:t>
      </w:r>
      <w:r>
        <w:rPr>
          <w:rFonts w:hint="eastAsia" w:ascii="黑体" w:hAnsi="黑体" w:eastAsia="黑体"/>
          <w:sz w:val="32"/>
          <w:szCs w:val="32"/>
        </w:rPr>
        <w:t>、主动公开政府信息情况</w:t>
      </w:r>
    </w:p>
    <w:tbl>
      <w:tblPr>
        <w:tblStyle w:val="6"/>
        <w:tblW w:w="5000" w:type="pct"/>
        <w:tblInd w:w="0" w:type="dxa"/>
        <w:tblLayout w:type="autofit"/>
        <w:tblCellMar>
          <w:top w:w="0" w:type="dxa"/>
          <w:left w:w="108" w:type="dxa"/>
          <w:bottom w:w="0" w:type="dxa"/>
          <w:right w:w="108" w:type="dxa"/>
        </w:tblCellMar>
      </w:tblPr>
      <w:tblGrid>
        <w:gridCol w:w="2265"/>
        <w:gridCol w:w="2265"/>
        <w:gridCol w:w="2265"/>
        <w:gridCol w:w="2265"/>
      </w:tblGrid>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1250"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1250"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1250"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1250" w:type="pct"/>
            <w:tcBorders>
              <w:top w:val="nil"/>
              <w:left w:val="nil"/>
              <w:bottom w:val="single" w:color="auto" w:sz="8" w:space="0"/>
              <w:right w:val="single" w:color="auto" w:sz="8" w:space="0"/>
            </w:tcBorders>
            <w:shd w:val="clear" w:color="auto" w:fill="auto"/>
            <w:vAlign w:val="center"/>
          </w:tcPr>
          <w:p>
            <w:pPr>
              <w:widowControl/>
              <w:jc w:val="left"/>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rPr>
              <w:t>　　</w:t>
            </w:r>
            <w:r>
              <w:rPr>
                <w:rFonts w:hint="eastAsia" w:ascii="仿宋_GB2312" w:hAnsi="宋体" w:eastAsia="仿宋_GB2312" w:cs="宋体"/>
                <w:color w:val="000000"/>
                <w:kern w:val="0"/>
                <w:szCs w:val="21"/>
                <w:lang w:val="en-US" w:eastAsia="zh-CN"/>
              </w:rPr>
              <w:t>0</w:t>
            </w:r>
          </w:p>
        </w:tc>
        <w:tc>
          <w:tcPr>
            <w:tcW w:w="1250" w:type="pct"/>
            <w:tcBorders>
              <w:top w:val="nil"/>
              <w:left w:val="nil"/>
              <w:bottom w:val="single" w:color="auto" w:sz="8" w:space="0"/>
              <w:right w:val="single" w:color="auto" w:sz="8" w:space="0"/>
            </w:tcBorders>
            <w:shd w:val="clear" w:color="auto" w:fill="auto"/>
            <w:vAlign w:val="center"/>
          </w:tcPr>
          <w:p>
            <w:pPr>
              <w:widowControl/>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val="en-US" w:eastAsia="zh-CN"/>
              </w:rPr>
              <w:t>0</w:t>
            </w:r>
          </w:p>
        </w:tc>
        <w:tc>
          <w:tcPr>
            <w:tcW w:w="1250" w:type="pct"/>
            <w:tcBorders>
              <w:top w:val="nil"/>
              <w:left w:val="nil"/>
              <w:bottom w:val="single" w:color="auto" w:sz="8" w:space="0"/>
              <w:right w:val="single" w:color="auto" w:sz="8" w:space="0"/>
            </w:tcBorders>
            <w:shd w:val="clear" w:color="auto" w:fill="auto"/>
            <w:vAlign w:val="center"/>
          </w:tcPr>
          <w:p>
            <w:pPr>
              <w:widowControl/>
              <w:jc w:val="left"/>
              <w:rPr>
                <w:rFonts w:hint="eastAsia" w:ascii="仿宋_GB2312" w:hAnsi="Calibri" w:eastAsia="仿宋_GB2312" w:cs="Calibri"/>
                <w:color w:val="000000"/>
                <w:kern w:val="0"/>
                <w:szCs w:val="21"/>
                <w:lang w:eastAsia="zh-CN"/>
              </w:rPr>
            </w:pPr>
            <w:r>
              <w:rPr>
                <w:rFonts w:hint="eastAsia" w:ascii="仿宋_GB2312" w:hAnsi="Calibri" w:eastAsia="仿宋_GB2312" w:cs="Calibri"/>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1250" w:type="pct"/>
            <w:tcBorders>
              <w:top w:val="nil"/>
              <w:left w:val="nil"/>
              <w:bottom w:val="single" w:color="auto" w:sz="8" w:space="0"/>
              <w:right w:val="single" w:color="auto" w:sz="8" w:space="0"/>
            </w:tcBorders>
            <w:shd w:val="clear" w:color="auto" w:fill="auto"/>
            <w:vAlign w:val="center"/>
          </w:tcPr>
          <w:p>
            <w:pPr>
              <w:widowControl/>
              <w:ind w:firstLine="420" w:firstLineChars="200"/>
              <w:jc w:val="left"/>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1250" w:type="pct"/>
            <w:tcBorders>
              <w:top w:val="nil"/>
              <w:left w:val="nil"/>
              <w:bottom w:val="single" w:color="auto" w:sz="8" w:space="0"/>
              <w:right w:val="single" w:color="auto" w:sz="8" w:space="0"/>
            </w:tcBorders>
            <w:shd w:val="clear" w:color="auto" w:fill="auto"/>
            <w:vAlign w:val="center"/>
          </w:tcPr>
          <w:p>
            <w:pPr>
              <w:widowControl/>
              <w:jc w:val="left"/>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1250" w:type="pct"/>
            <w:tcBorders>
              <w:top w:val="nil"/>
              <w:left w:val="nil"/>
              <w:bottom w:val="single" w:color="auto" w:sz="8" w:space="0"/>
              <w:right w:val="single" w:color="auto" w:sz="8" w:space="0"/>
            </w:tcBorders>
            <w:shd w:val="clear" w:color="auto" w:fill="auto"/>
            <w:vAlign w:val="center"/>
          </w:tcPr>
          <w:p>
            <w:pPr>
              <w:widowControl/>
              <w:jc w:val="left"/>
              <w:rPr>
                <w:rFonts w:hint="default"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3</w:t>
            </w:r>
          </w:p>
        </w:tc>
      </w:tr>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widowControl/>
              <w:jc w:val="left"/>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rPr>
              <w:t>　</w:t>
            </w:r>
            <w:r>
              <w:rPr>
                <w:rFonts w:hint="eastAsia" w:ascii="仿宋_GB2312" w:hAnsi="Calibri" w:eastAsia="仿宋_GB2312" w:cs="Calibri"/>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第二十条第（六）项</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widowControl/>
              <w:jc w:val="left"/>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rPr>
              <w:t>　</w:t>
            </w:r>
            <w:r>
              <w:rPr>
                <w:rFonts w:hint="eastAsia" w:ascii="仿宋_GB2312" w:hAnsi="宋体" w:eastAsia="仿宋_GB2312" w:cs="宋体"/>
                <w:color w:val="000000"/>
                <w:kern w:val="0"/>
                <w:szCs w:val="21"/>
                <w:lang w:val="en-US" w:eastAsia="zh-CN"/>
              </w:rPr>
              <w:t>7</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widowControl/>
              <w:jc w:val="left"/>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rPr>
              <w:t>　</w:t>
            </w:r>
            <w:r>
              <w:rPr>
                <w:rFonts w:hint="eastAsia" w:ascii="仿宋_GB2312" w:hAnsi="宋体" w:eastAsia="仿宋_GB2312" w:cs="宋体"/>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本年收费金额（单位：万元）</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widowControl/>
              <w:jc w:val="left"/>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rPr>
              <w:t>　</w:t>
            </w:r>
            <w:r>
              <w:rPr>
                <w:rFonts w:hint="eastAsia" w:ascii="仿宋_GB2312" w:hAnsi="Calibri" w:eastAsia="仿宋_GB2312" w:cs="Calibri"/>
                <w:color w:val="000000"/>
                <w:kern w:val="0"/>
                <w:szCs w:val="21"/>
                <w:lang w:val="en-US" w:eastAsia="zh-CN"/>
              </w:rPr>
              <w:t>0</w:t>
            </w:r>
          </w:p>
        </w:tc>
      </w:tr>
    </w:tbl>
    <w:p>
      <w:pPr>
        <w:spacing w:line="600" w:lineRule="exact"/>
        <w:ind w:firstLine="640" w:firstLineChars="200"/>
        <w:rPr>
          <w:rFonts w:hint="eastAsia" w:ascii="黑体" w:hAnsi="黑体" w:eastAsia="黑体"/>
          <w:sz w:val="32"/>
          <w:szCs w:val="32"/>
          <w:lang w:val="en-US" w:eastAsia="zh-CN"/>
        </w:rPr>
      </w:pPr>
      <w:r>
        <w:rPr>
          <w:rFonts w:hint="eastAsia" w:ascii="黑体" w:hAnsi="黑体" w:eastAsia="黑体"/>
          <w:sz w:val="32"/>
          <w:szCs w:val="32"/>
          <w:lang w:val="en-US" w:eastAsia="zh-CN"/>
        </w:rPr>
        <w:t>三、收到和处理政府信息公开申请情况</w:t>
      </w:r>
    </w:p>
    <w:tbl>
      <w:tblPr>
        <w:tblStyle w:val="6"/>
        <w:tblW w:w="99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shd w:val="clear" w:color="auto" w:fill="auto"/>
            <w:tcMar>
              <w:left w:w="108" w:type="dxa"/>
              <w:right w:w="108" w:type="dxa"/>
            </w:tcMar>
            <w:vAlign w:val="center"/>
          </w:tcPr>
          <w:p>
            <w:pPr>
              <w:widowControl/>
              <w:jc w:val="center"/>
              <w:rPr>
                <w:rFonts w:ascii="楷体_GB2312" w:hAnsi="黑体" w:eastAsia="楷体_GB2312"/>
                <w:kern w:val="0"/>
                <w:szCs w:val="21"/>
              </w:rPr>
            </w:pPr>
            <w:r>
              <w:rPr>
                <w:rFonts w:hint="eastAsia" w:ascii="楷体_GB2312" w:hAnsi="黑体" w:eastAsia="楷体_GB2312"/>
                <w:kern w:val="0"/>
                <w:szCs w:val="21"/>
              </w:rPr>
              <w:t>（本列数据的勾稽关系为：第一项加第二项之和，</w:t>
            </w:r>
          </w:p>
          <w:p>
            <w:pPr>
              <w:widowControl/>
              <w:jc w:val="center"/>
              <w:rPr>
                <w:rFonts w:ascii="仿宋_GB2312" w:hAnsi="Times New Roman" w:eastAsia="仿宋_GB2312"/>
                <w:szCs w:val="21"/>
              </w:rPr>
            </w:pPr>
            <w:r>
              <w:rPr>
                <w:rFonts w:hint="eastAsia" w:ascii="楷体_GB2312" w:hAnsi="黑体" w:eastAsia="楷体_GB2312"/>
                <w:kern w:val="0"/>
                <w:szCs w:val="21"/>
              </w:rPr>
              <w:t>等于第三项加第四项之和）</w:t>
            </w:r>
          </w:p>
        </w:tc>
        <w:tc>
          <w:tcPr>
            <w:tcW w:w="4820" w:type="dxa"/>
            <w:gridSpan w:val="7"/>
            <w:shd w:val="clear" w:color="auto" w:fill="auto"/>
            <w:tcMar>
              <w:left w:w="108" w:type="dxa"/>
              <w:right w:w="108" w:type="dxa"/>
            </w:tcMar>
            <w:vAlign w:val="center"/>
          </w:tcPr>
          <w:p>
            <w:pPr>
              <w:widowControl/>
              <w:spacing w:line="320" w:lineRule="exact"/>
              <w:jc w:val="center"/>
              <w:rPr>
                <w:rFonts w:ascii="黑体" w:hAnsi="黑体" w:eastAsia="黑体"/>
                <w:szCs w:val="21"/>
              </w:rPr>
            </w:pPr>
            <w:r>
              <w:rPr>
                <w:rFonts w:hint="eastAsia" w:ascii="黑体" w:hAnsi="黑体" w:eastAsia="黑体"/>
                <w:kern w:val="0"/>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pPr>
              <w:jc w:val="center"/>
              <w:rPr>
                <w:rFonts w:ascii="仿宋_GB2312" w:hAnsi="Times New Roman" w:eastAsia="仿宋_GB2312"/>
                <w:szCs w:val="21"/>
              </w:rPr>
            </w:pPr>
          </w:p>
        </w:tc>
        <w:tc>
          <w:tcPr>
            <w:tcW w:w="829" w:type="dxa"/>
            <w:vMerge w:val="restart"/>
            <w:shd w:val="clear" w:color="auto" w:fill="auto"/>
            <w:tcMar>
              <w:left w:w="108" w:type="dxa"/>
              <w:right w:w="108" w:type="dxa"/>
            </w:tcMar>
            <w:vAlign w:val="center"/>
          </w:tcPr>
          <w:p>
            <w:pPr>
              <w:widowControl/>
              <w:jc w:val="center"/>
              <w:rPr>
                <w:rFonts w:ascii="黑体" w:hAnsi="黑体" w:eastAsia="黑体"/>
                <w:szCs w:val="21"/>
              </w:rPr>
            </w:pPr>
            <w:r>
              <w:rPr>
                <w:rFonts w:hint="eastAsia" w:ascii="黑体" w:hAnsi="黑体" w:eastAsia="黑体"/>
                <w:kern w:val="0"/>
                <w:szCs w:val="21"/>
              </w:rPr>
              <w:t>自然人</w:t>
            </w:r>
          </w:p>
        </w:tc>
        <w:tc>
          <w:tcPr>
            <w:tcW w:w="3140" w:type="dxa"/>
            <w:gridSpan w:val="5"/>
            <w:shd w:val="clear" w:color="auto" w:fill="auto"/>
            <w:tcMar>
              <w:left w:w="108" w:type="dxa"/>
              <w:right w:w="108" w:type="dxa"/>
            </w:tcMar>
            <w:vAlign w:val="center"/>
          </w:tcPr>
          <w:p>
            <w:pPr>
              <w:widowControl/>
              <w:spacing w:line="320" w:lineRule="exact"/>
              <w:jc w:val="center"/>
              <w:rPr>
                <w:rFonts w:ascii="黑体" w:hAnsi="黑体" w:eastAsia="黑体"/>
                <w:szCs w:val="21"/>
              </w:rPr>
            </w:pPr>
            <w:r>
              <w:rPr>
                <w:rFonts w:hint="eastAsia" w:ascii="黑体" w:hAnsi="黑体" w:eastAsia="黑体"/>
                <w:kern w:val="0"/>
                <w:szCs w:val="21"/>
              </w:rPr>
              <w:t>法人或其他组织</w:t>
            </w:r>
          </w:p>
        </w:tc>
        <w:tc>
          <w:tcPr>
            <w:tcW w:w="851" w:type="dxa"/>
            <w:vMerge w:val="restart"/>
            <w:shd w:val="clear" w:color="auto" w:fill="auto"/>
            <w:tcMar>
              <w:left w:w="108" w:type="dxa"/>
              <w:right w:w="108" w:type="dxa"/>
            </w:tcMar>
            <w:vAlign w:val="center"/>
          </w:tcPr>
          <w:p>
            <w:pPr>
              <w:widowControl/>
              <w:jc w:val="center"/>
              <w:rPr>
                <w:rFonts w:ascii="黑体" w:hAnsi="黑体" w:eastAsia="黑体"/>
                <w:szCs w:val="21"/>
              </w:rPr>
            </w:pPr>
            <w:r>
              <w:rPr>
                <w:rFonts w:hint="eastAsia" w:ascii="黑体" w:hAnsi="黑体" w:eastAsia="黑体"/>
                <w:kern w:val="0"/>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pPr>
              <w:jc w:val="center"/>
              <w:rPr>
                <w:rFonts w:ascii="仿宋_GB2312" w:hAnsi="Times New Roman" w:eastAsia="仿宋_GB2312"/>
                <w:szCs w:val="21"/>
              </w:rPr>
            </w:pPr>
          </w:p>
        </w:tc>
        <w:tc>
          <w:tcPr>
            <w:tcW w:w="829" w:type="dxa"/>
            <w:vMerge w:val="continue"/>
            <w:shd w:val="clear" w:color="auto" w:fill="auto"/>
            <w:tcMar>
              <w:left w:w="108" w:type="dxa"/>
              <w:right w:w="108" w:type="dxa"/>
            </w:tcMar>
            <w:vAlign w:val="center"/>
          </w:tcPr>
          <w:p>
            <w:pPr>
              <w:jc w:val="center"/>
              <w:rPr>
                <w:rFonts w:ascii="黑体" w:hAnsi="黑体" w:eastAsia="黑体"/>
                <w:szCs w:val="21"/>
              </w:rPr>
            </w:pPr>
          </w:p>
        </w:tc>
        <w:tc>
          <w:tcPr>
            <w:tcW w:w="567" w:type="dxa"/>
            <w:shd w:val="clear" w:color="auto" w:fill="auto"/>
            <w:tcMar>
              <w:left w:w="108" w:type="dxa"/>
              <w:right w:w="108" w:type="dxa"/>
            </w:tcMar>
            <w:vAlign w:val="center"/>
          </w:tcPr>
          <w:p>
            <w:pPr>
              <w:widowControl/>
              <w:spacing w:line="320" w:lineRule="exact"/>
              <w:ind w:left="-106" w:leftChars="-51" w:right="-107" w:rightChars="-51" w:hanging="1"/>
              <w:jc w:val="center"/>
              <w:rPr>
                <w:rFonts w:ascii="黑体" w:hAnsi="黑体" w:eastAsia="黑体"/>
                <w:szCs w:val="21"/>
              </w:rPr>
            </w:pPr>
            <w:r>
              <w:rPr>
                <w:rFonts w:hint="eastAsia" w:ascii="黑体" w:hAnsi="黑体" w:eastAsia="黑体"/>
                <w:kern w:val="0"/>
                <w:szCs w:val="21"/>
              </w:rPr>
              <w:t>商业企业</w:t>
            </w:r>
          </w:p>
        </w:tc>
        <w:tc>
          <w:tcPr>
            <w:tcW w:w="567" w:type="dxa"/>
            <w:shd w:val="clear" w:color="auto" w:fill="auto"/>
            <w:tcMar>
              <w:left w:w="108" w:type="dxa"/>
              <w:right w:w="108" w:type="dxa"/>
            </w:tcMar>
            <w:vAlign w:val="center"/>
          </w:tcPr>
          <w:p>
            <w:pPr>
              <w:widowControl/>
              <w:spacing w:line="320" w:lineRule="exact"/>
              <w:ind w:left="-107" w:leftChars="-51" w:right="-107" w:rightChars="-51"/>
              <w:jc w:val="center"/>
              <w:rPr>
                <w:rFonts w:ascii="黑体" w:hAnsi="黑体" w:eastAsia="黑体"/>
                <w:szCs w:val="21"/>
              </w:rPr>
            </w:pPr>
            <w:r>
              <w:rPr>
                <w:rFonts w:hint="eastAsia" w:ascii="黑体" w:hAnsi="黑体" w:eastAsia="黑体"/>
                <w:kern w:val="0"/>
                <w:szCs w:val="21"/>
              </w:rPr>
              <w:t>科研机构</w:t>
            </w:r>
          </w:p>
        </w:tc>
        <w:tc>
          <w:tcPr>
            <w:tcW w:w="731" w:type="dxa"/>
            <w:shd w:val="clear" w:color="auto" w:fill="auto"/>
            <w:tcMar>
              <w:left w:w="108" w:type="dxa"/>
              <w:right w:w="108" w:type="dxa"/>
            </w:tcMar>
            <w:vAlign w:val="center"/>
          </w:tcPr>
          <w:p>
            <w:pPr>
              <w:widowControl/>
              <w:spacing w:line="320" w:lineRule="exact"/>
              <w:ind w:left="-107" w:leftChars="-51" w:right="-107" w:rightChars="-51"/>
              <w:jc w:val="center"/>
              <w:rPr>
                <w:rFonts w:ascii="黑体" w:hAnsi="黑体" w:eastAsia="黑体"/>
                <w:szCs w:val="21"/>
              </w:rPr>
            </w:pPr>
            <w:r>
              <w:rPr>
                <w:rFonts w:hint="eastAsia" w:ascii="黑体" w:hAnsi="黑体" w:eastAsia="黑体"/>
                <w:kern w:val="0"/>
                <w:szCs w:val="21"/>
              </w:rPr>
              <w:t>社会公益组织</w:t>
            </w:r>
          </w:p>
        </w:tc>
        <w:tc>
          <w:tcPr>
            <w:tcW w:w="708" w:type="dxa"/>
            <w:shd w:val="clear" w:color="auto" w:fill="auto"/>
            <w:tcMar>
              <w:left w:w="108" w:type="dxa"/>
              <w:right w:w="108" w:type="dxa"/>
            </w:tcMar>
            <w:vAlign w:val="center"/>
          </w:tcPr>
          <w:p>
            <w:pPr>
              <w:widowControl/>
              <w:spacing w:line="320" w:lineRule="exact"/>
              <w:ind w:left="-106" w:leftChars="-51" w:right="-107" w:rightChars="-51" w:hanging="1"/>
              <w:jc w:val="center"/>
              <w:rPr>
                <w:rFonts w:ascii="黑体" w:hAnsi="黑体" w:eastAsia="黑体"/>
                <w:szCs w:val="21"/>
              </w:rPr>
            </w:pPr>
            <w:r>
              <w:rPr>
                <w:rFonts w:hint="eastAsia" w:ascii="黑体" w:hAnsi="黑体" w:eastAsia="黑体"/>
                <w:kern w:val="0"/>
                <w:szCs w:val="21"/>
              </w:rPr>
              <w:t>法律服务机构</w:t>
            </w:r>
          </w:p>
        </w:tc>
        <w:tc>
          <w:tcPr>
            <w:tcW w:w="567" w:type="dxa"/>
            <w:shd w:val="clear" w:color="auto" w:fill="auto"/>
            <w:tcMar>
              <w:left w:w="108" w:type="dxa"/>
              <w:right w:w="108" w:type="dxa"/>
            </w:tcMar>
            <w:vAlign w:val="center"/>
          </w:tcPr>
          <w:p>
            <w:pPr>
              <w:widowControl/>
              <w:spacing w:line="360" w:lineRule="exact"/>
              <w:ind w:left="-63" w:leftChars="-30" w:right="-134" w:rightChars="-64"/>
              <w:jc w:val="center"/>
              <w:rPr>
                <w:rFonts w:ascii="黑体" w:hAnsi="黑体" w:eastAsia="黑体"/>
                <w:szCs w:val="21"/>
              </w:rPr>
            </w:pPr>
            <w:r>
              <w:rPr>
                <w:rFonts w:hint="eastAsia" w:ascii="黑体" w:hAnsi="黑体" w:eastAsia="黑体"/>
                <w:kern w:val="0"/>
                <w:szCs w:val="21"/>
              </w:rPr>
              <w:t>其他</w:t>
            </w:r>
          </w:p>
        </w:tc>
        <w:tc>
          <w:tcPr>
            <w:tcW w:w="851" w:type="dxa"/>
            <w:vMerge w:val="continue"/>
            <w:shd w:val="clear" w:color="auto" w:fill="auto"/>
            <w:tcMar>
              <w:left w:w="108" w:type="dxa"/>
              <w:right w:w="108" w:type="dxa"/>
            </w:tcMar>
            <w:vAlign w:val="center"/>
          </w:tcPr>
          <w:p>
            <w:pPr>
              <w:jc w:val="center"/>
              <w:rPr>
                <w:rFonts w:ascii="仿宋_GB2312" w:hAnsi="Times New Roman"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一、</w:t>
            </w:r>
            <w:bookmarkStart w:id="0" w:name="_Hlk66973412"/>
            <w:r>
              <w:rPr>
                <w:rFonts w:hint="eastAsia" w:ascii="黑体" w:hAnsi="黑体" w:eastAsia="黑体"/>
                <w:kern w:val="0"/>
                <w:szCs w:val="21"/>
              </w:rPr>
              <w:t>本年新收政府信息公开申请数量</w:t>
            </w:r>
            <w:bookmarkEnd w:id="0"/>
          </w:p>
        </w:tc>
        <w:tc>
          <w:tcPr>
            <w:tcW w:w="829"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5</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二、上年结转政府信息公开申请数量</w:t>
            </w:r>
          </w:p>
        </w:tc>
        <w:tc>
          <w:tcPr>
            <w:tcW w:w="829"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pPr>
              <w:widowControl/>
              <w:spacing w:after="180"/>
              <w:rPr>
                <w:rFonts w:ascii="黑体" w:hAnsi="黑体" w:eastAsia="黑体"/>
                <w:szCs w:val="21"/>
              </w:rPr>
            </w:pPr>
            <w:r>
              <w:rPr>
                <w:rFonts w:hint="eastAsia" w:ascii="黑体" w:hAnsi="黑体" w:eastAsia="黑体"/>
                <w:kern w:val="0"/>
                <w:szCs w:val="21"/>
              </w:rPr>
              <w:t>三、本年度办理结果</w:t>
            </w:r>
          </w:p>
        </w:tc>
        <w:tc>
          <w:tcPr>
            <w:tcW w:w="4677" w:type="dxa"/>
            <w:gridSpan w:val="2"/>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（一）予以公开</w:t>
            </w:r>
          </w:p>
        </w:tc>
        <w:tc>
          <w:tcPr>
            <w:tcW w:w="829"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5</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4677" w:type="dxa"/>
            <w:gridSpan w:val="2"/>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（二）部分公开（</w:t>
            </w:r>
            <w:bookmarkStart w:id="1" w:name="_Hlk66973981"/>
            <w:r>
              <w:rPr>
                <w:rFonts w:hint="eastAsia" w:ascii="黑体" w:hAnsi="黑体" w:eastAsia="黑体"/>
                <w:kern w:val="0"/>
                <w:szCs w:val="21"/>
              </w:rPr>
              <w:t>区分处理的，只计这一情形，不计其他情形</w:t>
            </w:r>
            <w:bookmarkEnd w:id="1"/>
            <w:r>
              <w:rPr>
                <w:rFonts w:hint="eastAsia" w:ascii="黑体" w:hAnsi="黑体" w:eastAsia="黑体"/>
                <w:kern w:val="0"/>
                <w:szCs w:val="21"/>
              </w:rPr>
              <w:t>）</w:t>
            </w:r>
          </w:p>
        </w:tc>
        <w:tc>
          <w:tcPr>
            <w:tcW w:w="829"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200" w:lineRule="exact"/>
              <w:ind w:left="-107" w:leftChars="-51"/>
              <w:rPr>
                <w:rFonts w:ascii="黑体" w:hAnsi="黑体" w:eastAsia="黑体"/>
                <w:szCs w:val="21"/>
              </w:rPr>
            </w:pPr>
            <w:r>
              <w:rPr>
                <w:rFonts w:hint="eastAsia" w:ascii="黑体" w:hAnsi="黑体" w:eastAsia="黑体"/>
                <w:kern w:val="0"/>
                <w:szCs w:val="21"/>
              </w:rPr>
              <w:t>（三）不予公开</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1.属于国家秘密</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2" w:name="_Hlk66974104"/>
            <w:r>
              <w:rPr>
                <w:rFonts w:hint="eastAsia" w:ascii="仿宋_GB2312" w:hAnsi="黑体" w:eastAsia="仿宋_GB2312"/>
                <w:kern w:val="0"/>
                <w:szCs w:val="21"/>
              </w:rPr>
              <w:t>其他法律行政法规禁止公开</w:t>
            </w:r>
            <w:bookmarkEnd w:id="2"/>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3.危及“三安全一稳定”</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4.</w:t>
            </w:r>
            <w:bookmarkStart w:id="3" w:name="_Hlk66974290"/>
            <w:r>
              <w:rPr>
                <w:rFonts w:hint="eastAsia" w:ascii="仿宋_GB2312" w:hAnsi="黑体" w:eastAsia="仿宋_GB2312"/>
                <w:kern w:val="0"/>
                <w:szCs w:val="21"/>
              </w:rPr>
              <w:t>保护第三方合法权益</w:t>
            </w:r>
            <w:bookmarkEnd w:id="3"/>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5.属于三类内部事务信息</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6.</w:t>
            </w:r>
            <w:bookmarkStart w:id="4" w:name="_Hlk66974555"/>
            <w:r>
              <w:rPr>
                <w:rFonts w:hint="eastAsia" w:ascii="仿宋_GB2312" w:hAnsi="黑体" w:eastAsia="仿宋_GB2312"/>
                <w:kern w:val="0"/>
                <w:szCs w:val="21"/>
              </w:rPr>
              <w:t>属于四类过程性信息</w:t>
            </w:r>
            <w:bookmarkEnd w:id="4"/>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7.属于行政执法案卷</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8.</w:t>
            </w:r>
            <w:bookmarkStart w:id="5" w:name="_Hlk66975211"/>
            <w:r>
              <w:rPr>
                <w:rFonts w:hint="eastAsia" w:ascii="仿宋_GB2312" w:hAnsi="黑体" w:eastAsia="仿宋_GB2312"/>
                <w:kern w:val="0"/>
                <w:szCs w:val="21"/>
              </w:rPr>
              <w:t>属于行政查询事项</w:t>
            </w:r>
            <w:bookmarkEnd w:id="5"/>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200" w:lineRule="exact"/>
              <w:ind w:left="-107" w:leftChars="-51"/>
              <w:rPr>
                <w:rFonts w:ascii="黑体" w:hAnsi="黑体" w:eastAsia="黑体"/>
                <w:szCs w:val="21"/>
              </w:rPr>
            </w:pPr>
            <w:r>
              <w:rPr>
                <w:rFonts w:hint="eastAsia" w:ascii="黑体" w:hAnsi="黑体" w:eastAsia="黑体"/>
                <w:kern w:val="0"/>
                <w:szCs w:val="21"/>
              </w:rPr>
              <w:t>（四）无法提供</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1.本机关不掌握相关政府信息</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ind w:left="-107" w:leftChars="-51"/>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6" w:name="_Hlk66975392"/>
            <w:r>
              <w:rPr>
                <w:rFonts w:hint="eastAsia" w:ascii="仿宋_GB2312" w:hAnsi="黑体" w:eastAsia="仿宋_GB2312"/>
                <w:kern w:val="0"/>
                <w:szCs w:val="21"/>
              </w:rPr>
              <w:t>没有现成信息需要另行制作</w:t>
            </w:r>
            <w:bookmarkEnd w:id="6"/>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ind w:left="-107" w:leftChars="-51"/>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3.</w:t>
            </w:r>
            <w:bookmarkStart w:id="7" w:name="_Hlk66975466"/>
            <w:r>
              <w:rPr>
                <w:rFonts w:hint="eastAsia" w:ascii="仿宋_GB2312" w:hAnsi="黑体" w:eastAsia="仿宋_GB2312"/>
                <w:kern w:val="0"/>
                <w:szCs w:val="21"/>
              </w:rPr>
              <w:t>补正后申请内容仍不明确</w:t>
            </w:r>
            <w:bookmarkEnd w:id="7"/>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200" w:lineRule="exact"/>
              <w:ind w:left="-107" w:leftChars="-51"/>
              <w:rPr>
                <w:rFonts w:ascii="黑体" w:hAnsi="黑体" w:eastAsia="黑体"/>
                <w:szCs w:val="21"/>
              </w:rPr>
            </w:pPr>
            <w:r>
              <w:rPr>
                <w:rFonts w:hint="eastAsia" w:ascii="黑体" w:hAnsi="黑体" w:eastAsia="黑体"/>
                <w:kern w:val="0"/>
                <w:szCs w:val="21"/>
              </w:rPr>
              <w:t>（五）不予处理</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1.</w:t>
            </w:r>
            <w:bookmarkStart w:id="8" w:name="_Hlk66975537"/>
            <w:r>
              <w:rPr>
                <w:rFonts w:hint="eastAsia" w:ascii="仿宋_GB2312" w:hAnsi="黑体" w:eastAsia="仿宋_GB2312"/>
                <w:kern w:val="0"/>
                <w:szCs w:val="21"/>
              </w:rPr>
              <w:t>信访举报投诉类申请</w:t>
            </w:r>
            <w:bookmarkEnd w:id="8"/>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2.重复申请</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szCs w:val="21"/>
              </w:rPr>
            </w:pPr>
            <w:r>
              <w:rPr>
                <w:rFonts w:hint="eastAsia" w:ascii="仿宋_GB2312" w:hAnsi="黑体" w:eastAsia="仿宋_GB2312"/>
                <w:kern w:val="0"/>
                <w:szCs w:val="21"/>
              </w:rPr>
              <w:t>3.要求提供公开出版物</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szCs w:val="21"/>
              </w:rPr>
            </w:pPr>
            <w:r>
              <w:rPr>
                <w:rFonts w:hint="eastAsia" w:ascii="仿宋_GB2312" w:hAnsi="黑体" w:eastAsia="仿宋_GB2312"/>
                <w:kern w:val="0"/>
                <w:szCs w:val="21"/>
              </w:rPr>
              <w:t>4.无正当理由大量反复申请</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300" w:lineRule="exact"/>
              <w:rPr>
                <w:rFonts w:ascii="仿宋_GB2312" w:hAnsi="黑体" w:eastAsia="仿宋_GB2312"/>
                <w:kern w:val="0"/>
                <w:szCs w:val="21"/>
              </w:rPr>
            </w:pPr>
            <w:r>
              <w:rPr>
                <w:rFonts w:hint="eastAsia" w:ascii="仿宋_GB2312" w:hAnsi="黑体" w:eastAsia="仿宋_GB2312"/>
                <w:kern w:val="0"/>
                <w:szCs w:val="21"/>
              </w:rPr>
              <w:t>5.要求行政机关确认或重新</w:t>
            </w:r>
          </w:p>
          <w:p>
            <w:pPr>
              <w:widowControl/>
              <w:spacing w:line="300" w:lineRule="exact"/>
              <w:ind w:firstLine="210" w:firstLineChars="100"/>
              <w:rPr>
                <w:rFonts w:ascii="仿宋_GB2312" w:hAnsi="黑体" w:eastAsia="仿宋_GB2312"/>
                <w:szCs w:val="21"/>
              </w:rPr>
            </w:pPr>
            <w:r>
              <w:rPr>
                <w:rFonts w:hint="eastAsia" w:ascii="仿宋_GB2312" w:hAnsi="黑体" w:eastAsia="仿宋_GB2312"/>
                <w:kern w:val="0"/>
                <w:szCs w:val="21"/>
              </w:rPr>
              <w:t>出具已获取信息</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（六）其他处理</w:t>
            </w:r>
          </w:p>
        </w:tc>
        <w:tc>
          <w:tcPr>
            <w:tcW w:w="2976" w:type="dxa"/>
            <w:shd w:val="clear" w:color="auto" w:fill="auto"/>
            <w:vAlign w:val="center"/>
          </w:tcPr>
          <w:p>
            <w:pPr>
              <w:widowControl/>
              <w:spacing w:line="300" w:lineRule="exact"/>
              <w:rPr>
                <w:rFonts w:ascii="仿宋_GB2312" w:hAnsi="楷体" w:eastAsia="仿宋_GB2312"/>
              </w:rPr>
            </w:pPr>
            <w:r>
              <w:rPr>
                <w:rFonts w:hint="eastAsia" w:ascii="仿宋_GB2312" w:hAnsi="楷体" w:eastAsia="仿宋_GB2312"/>
              </w:rPr>
              <w:t>1.申请人无正当理由逾期不补正、行政机关不再处理其政府信息公开申请</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widowControl/>
              <w:spacing w:line="300" w:lineRule="exact"/>
              <w:rPr>
                <w:rFonts w:ascii="黑体" w:hAnsi="黑体" w:eastAsia="黑体"/>
                <w:kern w:val="0"/>
                <w:szCs w:val="21"/>
              </w:rPr>
            </w:pPr>
          </w:p>
        </w:tc>
        <w:tc>
          <w:tcPr>
            <w:tcW w:w="2976" w:type="dxa"/>
            <w:shd w:val="clear" w:color="auto" w:fill="auto"/>
            <w:vAlign w:val="center"/>
          </w:tcPr>
          <w:p>
            <w:pPr>
              <w:widowControl/>
              <w:spacing w:line="300" w:lineRule="exact"/>
              <w:rPr>
                <w:rFonts w:ascii="仿宋_GB2312" w:hAnsi="黑体" w:eastAsia="仿宋_GB2312"/>
                <w:kern w:val="0"/>
                <w:szCs w:val="21"/>
              </w:rPr>
            </w:pPr>
            <w:r>
              <w:rPr>
                <w:rFonts w:hint="eastAsia" w:ascii="仿宋_GB2312" w:hAnsi="楷体" w:eastAsia="仿宋_GB2312"/>
              </w:rPr>
              <w:t>2.申请人逾期未按收费通知要求缴纳费用、行政机关不再处理其政府信息公开申请</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widowControl/>
              <w:spacing w:line="300" w:lineRule="exact"/>
              <w:rPr>
                <w:rFonts w:ascii="黑体" w:hAnsi="黑体" w:eastAsia="黑体"/>
                <w:kern w:val="0"/>
                <w:szCs w:val="21"/>
              </w:rPr>
            </w:pPr>
          </w:p>
        </w:tc>
        <w:tc>
          <w:tcPr>
            <w:tcW w:w="2976" w:type="dxa"/>
            <w:shd w:val="clear" w:color="auto" w:fill="auto"/>
            <w:vAlign w:val="center"/>
          </w:tcPr>
          <w:p>
            <w:pPr>
              <w:widowControl/>
              <w:spacing w:line="300" w:lineRule="exact"/>
              <w:rPr>
                <w:rFonts w:ascii="仿宋_GB2312" w:hAnsi="黑体" w:eastAsia="仿宋_GB2312"/>
                <w:kern w:val="0"/>
                <w:szCs w:val="21"/>
              </w:rPr>
            </w:pPr>
            <w:r>
              <w:rPr>
                <w:rFonts w:hint="eastAsia" w:ascii="仿宋_GB2312" w:hAnsi="楷体" w:eastAsia="仿宋_GB2312"/>
              </w:rPr>
              <w:t>3.其他</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4677" w:type="dxa"/>
            <w:gridSpan w:val="2"/>
            <w:shd w:val="clear" w:color="auto" w:fill="auto"/>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（七）总计</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5</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shd w:val="clear" w:color="auto" w:fill="auto"/>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四、结转下年度继续办理</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bl>
    <w:p>
      <w:pPr>
        <w:spacing w:line="600" w:lineRule="exact"/>
        <w:ind w:firstLine="640" w:firstLineChars="200"/>
        <w:rPr>
          <w:rFonts w:hint="eastAsia" w:ascii="黑体" w:hAnsi="黑体" w:eastAsia="黑体"/>
          <w:sz w:val="32"/>
          <w:szCs w:val="32"/>
          <w:lang w:val="en-US" w:eastAsia="zh-CN"/>
        </w:rPr>
      </w:pPr>
      <w:r>
        <w:rPr>
          <w:rFonts w:hint="eastAsia" w:ascii="黑体" w:hAnsi="黑体" w:eastAsia="黑体"/>
          <w:sz w:val="32"/>
          <w:szCs w:val="32"/>
          <w:lang w:val="en-US" w:eastAsia="zh-CN"/>
        </w:rPr>
        <w:t>四、因政府信息公开工作被申请行政复议、提起行政诉讼情况</w:t>
      </w:r>
    </w:p>
    <w:tbl>
      <w:tblPr>
        <w:tblStyle w:val="6"/>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ind w:left="-149" w:leftChars="-71" w:right="-170" w:rightChars="-81"/>
              <w:jc w:val="center"/>
              <w:rPr>
                <w:rFonts w:ascii="黑体" w:hAnsi="黑体" w:eastAsia="黑体"/>
                <w:kern w:val="0"/>
                <w:sz w:val="20"/>
                <w:szCs w:val="20"/>
              </w:rPr>
            </w:pPr>
            <w:r>
              <w:rPr>
                <w:rFonts w:ascii="黑体" w:hAnsi="黑体" w:eastAsia="黑体"/>
                <w:kern w:val="0"/>
                <w:sz w:val="20"/>
                <w:szCs w:val="20"/>
              </w:rPr>
              <w:t>结果</w:t>
            </w:r>
          </w:p>
          <w:p>
            <w:pPr>
              <w:widowControl/>
              <w:ind w:left="-149" w:leftChars="-71" w:right="-170" w:rightChars="-81"/>
              <w:jc w:val="center"/>
              <w:rPr>
                <w:rFonts w:ascii="黑体" w:hAnsi="黑体" w:eastAsia="黑体"/>
              </w:rPr>
            </w:pPr>
            <w:r>
              <w:rPr>
                <w:rFonts w:ascii="黑体" w:hAnsi="黑体" w:eastAsia="黑体"/>
                <w:kern w:val="0"/>
                <w:sz w:val="20"/>
                <w:szCs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43" w:leftChars="-21" w:right="-132" w:rightChars="-63" w:hanging="1"/>
              <w:jc w:val="center"/>
              <w:rPr>
                <w:rFonts w:ascii="黑体" w:hAnsi="黑体" w:eastAsia="黑体"/>
              </w:rPr>
            </w:pPr>
            <w:r>
              <w:rPr>
                <w:rFonts w:ascii="黑体" w:hAnsi="黑体" w:eastAsia="黑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82" w:leftChars="-39" w:right="-97" w:rightChars="-46"/>
              <w:jc w:val="center"/>
              <w:rPr>
                <w:rFonts w:ascii="黑体" w:hAnsi="黑体" w:eastAsia="黑体"/>
              </w:rPr>
            </w:pPr>
            <w:r>
              <w:rPr>
                <w:rFonts w:ascii="黑体" w:hAnsi="黑体" w:eastAsia="黑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18" w:leftChars="-56" w:right="-118" w:rightChars="-56"/>
              <w:jc w:val="center"/>
              <w:rPr>
                <w:rFonts w:ascii="黑体" w:hAnsi="黑体" w:eastAsia="黑体"/>
                <w:kern w:val="0"/>
                <w:sz w:val="20"/>
                <w:szCs w:val="20"/>
              </w:rPr>
            </w:pPr>
            <w:r>
              <w:rPr>
                <w:rFonts w:ascii="黑体" w:hAnsi="黑体" w:eastAsia="黑体"/>
                <w:kern w:val="0"/>
                <w:sz w:val="20"/>
                <w:szCs w:val="20"/>
              </w:rPr>
              <w:t>尚未</w:t>
            </w:r>
          </w:p>
          <w:p>
            <w:pPr>
              <w:widowControl/>
              <w:ind w:left="-118" w:leftChars="-56" w:right="-118" w:rightChars="-56"/>
              <w:jc w:val="center"/>
              <w:rPr>
                <w:rFonts w:ascii="黑体" w:hAnsi="黑体" w:eastAsia="黑体"/>
              </w:rPr>
            </w:pPr>
            <w:r>
              <w:rPr>
                <w:rFonts w:ascii="黑体" w:hAnsi="黑体" w:eastAsia="黑体"/>
                <w:kern w:val="0"/>
                <w:sz w:val="20"/>
                <w:szCs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320" w:lineRule="exact"/>
              <w:jc w:val="center"/>
              <w:rPr>
                <w:rFonts w:ascii="黑体" w:hAnsi="黑体" w:eastAsia="黑体"/>
                <w:kern w:val="0"/>
                <w:sz w:val="20"/>
                <w:szCs w:val="20"/>
              </w:rPr>
            </w:pPr>
            <w:r>
              <w:rPr>
                <w:rFonts w:ascii="黑体" w:hAnsi="黑体" w:eastAsia="黑体"/>
                <w:kern w:val="0"/>
                <w:sz w:val="20"/>
                <w:szCs w:val="20"/>
              </w:rPr>
              <w:t>总</w:t>
            </w:r>
          </w:p>
          <w:p>
            <w:pPr>
              <w:widowControl/>
              <w:spacing w:line="320" w:lineRule="exact"/>
              <w:jc w:val="center"/>
              <w:rPr>
                <w:rFonts w:ascii="黑体" w:hAnsi="黑体" w:eastAsia="黑体"/>
              </w:rPr>
            </w:pPr>
            <w:r>
              <w:rPr>
                <w:rFonts w:ascii="黑体" w:hAnsi="黑体" w:eastAsia="黑体"/>
                <w:kern w:val="0"/>
                <w:sz w:val="20"/>
                <w:szCs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bookmarkStart w:id="9" w:name="_Hlk67039688"/>
            <w:r>
              <w:rPr>
                <w:rFonts w:ascii="黑体" w:hAnsi="黑体" w:eastAsia="黑体"/>
                <w:kern w:val="0"/>
                <w:sz w:val="20"/>
                <w:szCs w:val="20"/>
              </w:rPr>
              <w:t>复议后起诉</w:t>
            </w:r>
            <w:bookmarkEnd w:id="9"/>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105" w:leftChars="-50" w:right="-126" w:rightChars="-60"/>
              <w:jc w:val="center"/>
              <w:rPr>
                <w:rFonts w:ascii="黑体" w:hAnsi="黑体" w:eastAsia="黑体"/>
              </w:rPr>
            </w:pPr>
            <w:r>
              <w:rPr>
                <w:rFonts w:ascii="黑体" w:hAnsi="黑体" w:eastAsia="黑体"/>
                <w:kern w:val="0"/>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86" w:leftChars="-41" w:right="-88" w:rightChars="-42"/>
              <w:jc w:val="center"/>
              <w:rPr>
                <w:rFonts w:ascii="黑体" w:hAnsi="黑体" w:eastAsia="黑体"/>
              </w:rPr>
            </w:pPr>
            <w:r>
              <w:rPr>
                <w:rFonts w:ascii="黑体" w:hAnsi="黑体" w:eastAsia="黑体"/>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26" w:leftChars="-60" w:right="-136" w:rightChars="-65"/>
              <w:jc w:val="center"/>
              <w:rPr>
                <w:rFonts w:ascii="黑体" w:hAnsi="黑体" w:eastAsia="黑体"/>
                <w:kern w:val="0"/>
                <w:sz w:val="20"/>
                <w:szCs w:val="20"/>
              </w:rPr>
            </w:pPr>
            <w:r>
              <w:rPr>
                <w:rFonts w:ascii="黑体" w:hAnsi="黑体" w:eastAsia="黑体"/>
                <w:kern w:val="0"/>
                <w:sz w:val="20"/>
                <w:szCs w:val="20"/>
              </w:rPr>
              <w:t>其他</w:t>
            </w:r>
          </w:p>
          <w:p>
            <w:pPr>
              <w:widowControl/>
              <w:ind w:left="-126" w:leftChars="-60" w:right="-136" w:rightChars="-65"/>
              <w:jc w:val="center"/>
              <w:rPr>
                <w:rFonts w:ascii="黑体" w:hAnsi="黑体" w:eastAsia="黑体"/>
              </w:rPr>
            </w:pPr>
            <w:r>
              <w:rPr>
                <w:rFonts w:ascii="黑体" w:hAnsi="黑体" w:eastAsia="黑体"/>
                <w:kern w:val="0"/>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64" w:leftChars="-78" w:right="-153" w:rightChars="-73"/>
              <w:jc w:val="center"/>
              <w:rPr>
                <w:rFonts w:ascii="黑体" w:hAnsi="黑体" w:eastAsia="黑体"/>
                <w:kern w:val="0"/>
                <w:sz w:val="20"/>
                <w:szCs w:val="20"/>
              </w:rPr>
            </w:pPr>
            <w:r>
              <w:rPr>
                <w:rFonts w:ascii="黑体" w:hAnsi="黑体" w:eastAsia="黑体"/>
                <w:kern w:val="0"/>
                <w:sz w:val="20"/>
                <w:szCs w:val="20"/>
              </w:rPr>
              <w:t>尚未</w:t>
            </w:r>
          </w:p>
          <w:p>
            <w:pPr>
              <w:widowControl/>
              <w:ind w:left="-164" w:leftChars="-78" w:right="-153" w:rightChars="-73"/>
              <w:jc w:val="center"/>
              <w:rPr>
                <w:rFonts w:ascii="黑体" w:hAnsi="黑体" w:eastAsia="黑体"/>
              </w:rPr>
            </w:pPr>
            <w:r>
              <w:rPr>
                <w:rFonts w:ascii="黑体" w:hAnsi="黑体" w:eastAsia="黑体"/>
                <w:kern w:val="0"/>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99" w:leftChars="-47" w:right="-78" w:rightChars="-37"/>
              <w:jc w:val="center"/>
              <w:rPr>
                <w:rFonts w:ascii="黑体" w:hAnsi="黑体" w:eastAsia="黑体"/>
              </w:rPr>
            </w:pPr>
            <w:r>
              <w:rPr>
                <w:rFonts w:ascii="黑体" w:hAnsi="黑体" w:eastAsia="黑体"/>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36" w:leftChars="-65" w:right="-124" w:rightChars="-59"/>
              <w:jc w:val="center"/>
              <w:rPr>
                <w:rFonts w:ascii="黑体" w:hAnsi="黑体" w:eastAsia="黑体"/>
                <w:kern w:val="0"/>
                <w:sz w:val="20"/>
                <w:szCs w:val="20"/>
              </w:rPr>
            </w:pPr>
            <w:r>
              <w:rPr>
                <w:rFonts w:ascii="黑体" w:hAnsi="黑体" w:eastAsia="黑体"/>
                <w:kern w:val="0"/>
                <w:sz w:val="20"/>
                <w:szCs w:val="20"/>
              </w:rPr>
              <w:t>结果</w:t>
            </w:r>
          </w:p>
          <w:p>
            <w:pPr>
              <w:widowControl/>
              <w:ind w:left="-136" w:leftChars="-65" w:right="-124" w:rightChars="-59"/>
              <w:jc w:val="center"/>
              <w:rPr>
                <w:rFonts w:ascii="黑体" w:hAnsi="黑体" w:eastAsia="黑体"/>
              </w:rPr>
            </w:pPr>
            <w:r>
              <w:rPr>
                <w:rFonts w:ascii="黑体" w:hAnsi="黑体" w:eastAsia="黑体"/>
                <w:kern w:val="0"/>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73" w:leftChars="-83" w:right="-134" w:rightChars="-64" w:hanging="1"/>
              <w:jc w:val="center"/>
              <w:rPr>
                <w:rFonts w:ascii="黑体" w:hAnsi="黑体" w:eastAsia="黑体"/>
                <w:kern w:val="0"/>
                <w:sz w:val="20"/>
                <w:szCs w:val="20"/>
              </w:rPr>
            </w:pPr>
            <w:r>
              <w:rPr>
                <w:rFonts w:ascii="黑体" w:hAnsi="黑体" w:eastAsia="黑体"/>
                <w:kern w:val="0"/>
                <w:sz w:val="20"/>
                <w:szCs w:val="20"/>
              </w:rPr>
              <w:t>其他</w:t>
            </w:r>
          </w:p>
          <w:p>
            <w:pPr>
              <w:widowControl/>
              <w:ind w:left="-173" w:leftChars="-83" w:right="-134" w:rightChars="-64" w:hanging="1"/>
              <w:jc w:val="center"/>
              <w:rPr>
                <w:rFonts w:ascii="黑体" w:hAnsi="黑体" w:eastAsia="黑体"/>
              </w:rPr>
            </w:pPr>
            <w:r>
              <w:rPr>
                <w:rFonts w:ascii="黑体" w:hAnsi="黑体" w:eastAsia="黑体"/>
                <w:kern w:val="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67" w:leftChars="-33" w:right="-105" w:rightChars="-50" w:hanging="2" w:hangingChars="1"/>
              <w:jc w:val="center"/>
              <w:rPr>
                <w:rFonts w:ascii="黑体" w:hAnsi="黑体" w:eastAsia="黑体"/>
              </w:rPr>
            </w:pPr>
            <w:r>
              <w:rPr>
                <w:rFonts w:ascii="黑体" w:hAnsi="黑体" w:eastAsia="黑体"/>
                <w:kern w:val="0"/>
                <w:sz w:val="20"/>
                <w:szCs w:val="20"/>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r>
    </w:tbl>
    <w:p>
      <w:pPr>
        <w:spacing w:line="600" w:lineRule="exact"/>
        <w:ind w:firstLine="640" w:firstLineChars="200"/>
        <w:rPr>
          <w:rFonts w:hint="eastAsia" w:ascii="黑体" w:hAnsi="黑体" w:eastAsia="黑体"/>
          <w:sz w:val="32"/>
          <w:szCs w:val="32"/>
          <w:lang w:val="en-US" w:eastAsia="zh-CN"/>
        </w:rPr>
      </w:pPr>
      <w:r>
        <w:rPr>
          <w:rFonts w:hint="eastAsia" w:ascii="黑体" w:hAnsi="黑体" w:eastAsia="黑体"/>
          <w:sz w:val="32"/>
          <w:szCs w:val="32"/>
          <w:lang w:val="en-US" w:eastAsia="zh-CN"/>
        </w:rPr>
        <w:t>五、政府信息公开工作存在的主要问题及改进情况</w:t>
      </w:r>
    </w:p>
    <w:p>
      <w:pPr>
        <w:spacing w:line="600" w:lineRule="exact"/>
        <w:ind w:firstLine="643" w:firstLineChars="200"/>
        <w:rPr>
          <w:rFonts w:hint="eastAsia" w:ascii="方正仿宋简体" w:hAnsi="方正仿宋简体" w:eastAsia="方正仿宋简体" w:cs="方正仿宋简体"/>
          <w:b/>
          <w:bCs/>
          <w:kern w:val="2"/>
          <w:sz w:val="32"/>
          <w:szCs w:val="32"/>
          <w:lang w:val="en-US" w:eastAsia="zh-CN" w:bidi="ar-SA"/>
        </w:rPr>
      </w:pPr>
      <w:r>
        <w:rPr>
          <w:rFonts w:hint="eastAsia" w:ascii="方正仿宋简体" w:hAnsi="方正仿宋简体" w:eastAsia="方正仿宋简体" w:cs="方正仿宋简体"/>
          <w:b/>
          <w:bCs/>
          <w:kern w:val="2"/>
          <w:sz w:val="32"/>
          <w:szCs w:val="32"/>
          <w:lang w:val="en-US" w:eastAsia="zh-CN" w:bidi="ar-SA"/>
        </w:rPr>
        <w:t>存在问题：政府信息公开工作制度不够完善，缺乏操作性，与政府信息公开相适应的内部监督机制较少。</w:t>
      </w:r>
    </w:p>
    <w:p>
      <w:pPr>
        <w:spacing w:line="600" w:lineRule="exact"/>
        <w:ind w:firstLine="643" w:firstLineChars="200"/>
        <w:rPr>
          <w:rFonts w:hint="eastAsia" w:ascii="方正仿宋简体" w:hAnsi="方正仿宋简体" w:eastAsia="方正仿宋简体" w:cs="方正仿宋简体"/>
          <w:b/>
          <w:bCs/>
          <w:kern w:val="2"/>
          <w:sz w:val="32"/>
          <w:szCs w:val="32"/>
          <w:lang w:val="en-US" w:eastAsia="zh-CN" w:bidi="ar-SA"/>
        </w:rPr>
      </w:pPr>
      <w:r>
        <w:rPr>
          <w:rFonts w:hint="eastAsia" w:ascii="方正仿宋简体" w:hAnsi="方正仿宋简体" w:eastAsia="方正仿宋简体" w:cs="方正仿宋简体"/>
          <w:b/>
          <w:bCs/>
          <w:kern w:val="2"/>
          <w:sz w:val="32"/>
          <w:szCs w:val="32"/>
          <w:lang w:val="en-US" w:eastAsia="zh-CN" w:bidi="ar-SA"/>
        </w:rPr>
        <w:t>改进情况：进一步完善政府信息公开工作制度，明确各科室(单位)工作职责，落实工作人员。进一步规范政府信息公开内容和程序，完善运行机制，形成办公室统筹协调，相关科室、单位各负其责，各司其职，齐抓共管的工作格局。</w:t>
      </w:r>
    </w:p>
    <w:p>
      <w:pPr>
        <w:spacing w:line="600" w:lineRule="exact"/>
        <w:ind w:firstLine="640" w:firstLineChars="200"/>
        <w:rPr>
          <w:rFonts w:hint="eastAsia" w:ascii="黑体" w:hAnsi="黑体" w:eastAsia="黑体"/>
          <w:sz w:val="32"/>
          <w:szCs w:val="32"/>
          <w:lang w:val="en-US" w:eastAsia="zh-CN"/>
        </w:rPr>
      </w:pPr>
      <w:r>
        <w:rPr>
          <w:rFonts w:hint="eastAsia" w:ascii="黑体" w:hAnsi="黑体" w:eastAsia="黑体"/>
          <w:sz w:val="32"/>
          <w:szCs w:val="32"/>
          <w:lang w:val="en-US" w:eastAsia="zh-CN"/>
        </w:rPr>
        <w:t>六、其他需要报告的事项</w:t>
      </w:r>
    </w:p>
    <w:p>
      <w:pPr>
        <w:spacing w:line="600" w:lineRule="exact"/>
        <w:ind w:firstLine="643" w:firstLineChars="200"/>
        <w:rPr>
          <w:rFonts w:hint="eastAsia" w:ascii="Times New Roman" w:hAnsi="Times New Roman" w:eastAsia="方正仿宋简体" w:cs="Times New Roman"/>
          <w:b/>
          <w:bCs/>
          <w:kern w:val="2"/>
          <w:sz w:val="32"/>
          <w:szCs w:val="32"/>
          <w:lang w:val="en-US" w:eastAsia="zh-CN" w:bidi="ar-SA"/>
        </w:rPr>
      </w:pPr>
      <w:r>
        <w:rPr>
          <w:rFonts w:hint="eastAsia" w:ascii="Times New Roman" w:hAnsi="Times New Roman" w:eastAsia="方正仿宋简体" w:cs="Times New Roman"/>
          <w:b/>
          <w:bCs/>
          <w:kern w:val="2"/>
          <w:sz w:val="32"/>
          <w:szCs w:val="32"/>
          <w:lang w:val="en-US" w:eastAsia="zh-CN" w:bidi="ar-SA"/>
        </w:rPr>
        <w:t>（一）</w:t>
      </w:r>
      <w:r>
        <w:rPr>
          <w:rFonts w:hint="default" w:ascii="Times New Roman" w:hAnsi="Times New Roman" w:eastAsia="方正仿宋简体" w:cs="Times New Roman"/>
          <w:b/>
          <w:bCs/>
          <w:kern w:val="2"/>
          <w:sz w:val="32"/>
          <w:szCs w:val="32"/>
          <w:lang w:val="en-US" w:eastAsia="zh-CN" w:bidi="ar-SA"/>
        </w:rPr>
        <w:t>202</w:t>
      </w:r>
      <w:r>
        <w:rPr>
          <w:rFonts w:hint="eastAsia" w:ascii="Times New Roman" w:hAnsi="Times New Roman" w:eastAsia="方正仿宋简体" w:cs="Times New Roman"/>
          <w:b/>
          <w:bCs/>
          <w:kern w:val="2"/>
          <w:sz w:val="32"/>
          <w:szCs w:val="32"/>
          <w:lang w:val="en-US" w:eastAsia="zh-CN" w:bidi="ar-SA"/>
        </w:rPr>
        <w:t>3年度市医疗保障局无收取信息处理费的情况。</w:t>
      </w:r>
    </w:p>
    <w:p>
      <w:pPr>
        <w:spacing w:line="600" w:lineRule="exact"/>
        <w:ind w:firstLine="643" w:firstLineChars="200"/>
        <w:rPr>
          <w:rFonts w:hint="eastAsia" w:ascii="Times New Roman" w:hAnsi="Times New Roman" w:eastAsia="方正仿宋简体" w:cs="Times New Roman"/>
          <w:b/>
          <w:bCs/>
          <w:kern w:val="2"/>
          <w:sz w:val="32"/>
          <w:szCs w:val="32"/>
          <w:lang w:val="en-US" w:eastAsia="zh-CN" w:bidi="ar-SA"/>
        </w:rPr>
      </w:pPr>
      <w:r>
        <w:rPr>
          <w:rFonts w:hint="eastAsia" w:ascii="Times New Roman" w:hAnsi="Times New Roman" w:eastAsia="方正仿宋简体" w:cs="Times New Roman"/>
          <w:b/>
          <w:bCs/>
          <w:kern w:val="2"/>
          <w:sz w:val="32"/>
          <w:szCs w:val="32"/>
          <w:lang w:val="en-US" w:eastAsia="zh-CN" w:bidi="ar-SA"/>
        </w:rPr>
        <w:t>（二）</w:t>
      </w:r>
      <w:r>
        <w:rPr>
          <w:rFonts w:hint="default" w:ascii="Times New Roman" w:hAnsi="Times New Roman" w:eastAsia="方正仿宋简体" w:cs="Times New Roman"/>
          <w:b/>
          <w:bCs/>
          <w:kern w:val="2"/>
          <w:sz w:val="32"/>
          <w:szCs w:val="32"/>
          <w:lang w:val="en-US" w:eastAsia="zh-CN" w:bidi="ar-SA"/>
        </w:rPr>
        <w:t>202</w:t>
      </w:r>
      <w:r>
        <w:rPr>
          <w:rFonts w:hint="eastAsia" w:ascii="Times New Roman" w:hAnsi="Times New Roman" w:eastAsia="方正仿宋简体" w:cs="Times New Roman"/>
          <w:b/>
          <w:bCs/>
          <w:kern w:val="2"/>
          <w:sz w:val="32"/>
          <w:szCs w:val="32"/>
          <w:lang w:val="en-US" w:eastAsia="zh-CN" w:bidi="ar-SA"/>
        </w:rPr>
        <w:t>3年，市医疗保障局主办人大建议和政协提案共 6件，其中人大建议2件，政协提案4件。从建议内容上看，主要涉及完善多层次医疗保障体系、慢病报销、提高参保率等内容。经过与代表和委员们的充分沟通，目前建议提案均已答复完毕。</w:t>
      </w:r>
    </w:p>
    <w:p>
      <w:pPr>
        <w:spacing w:line="600" w:lineRule="exact"/>
        <w:ind w:firstLine="643" w:firstLineChars="200"/>
        <w:rPr>
          <w:rFonts w:hint="eastAsia" w:ascii="Times New Roman" w:hAnsi="Times New Roman" w:eastAsia="方正仿宋简体" w:cs="Times New Roman"/>
          <w:b/>
          <w:bCs/>
          <w:kern w:val="2"/>
          <w:sz w:val="32"/>
          <w:szCs w:val="32"/>
          <w:lang w:val="en-US" w:eastAsia="zh-CN" w:bidi="ar-SA"/>
        </w:rPr>
      </w:pPr>
      <w:r>
        <w:rPr>
          <w:rFonts w:hint="eastAsia" w:ascii="Times New Roman" w:hAnsi="Times New Roman" w:eastAsia="方正仿宋简体" w:cs="Times New Roman"/>
          <w:b/>
          <w:bCs/>
          <w:kern w:val="2"/>
          <w:sz w:val="32"/>
          <w:szCs w:val="32"/>
          <w:lang w:val="en-US" w:eastAsia="zh-CN" w:bidi="ar-SA"/>
        </w:rPr>
        <w:t>（三）政务公开要点落实情况。2023年，市医疗保障局围绕医保重点任务事项，做好重点公开；围绕保障改善民生，做好政策公开；加强政策多元解读，提升解读水平；加强公开业务培训，提升工作水平。</w:t>
      </w:r>
      <w:r>
        <w:rPr>
          <w:rFonts w:hint="default" w:ascii="Times New Roman" w:hAnsi="Times New Roman" w:eastAsia="方正仿宋简体" w:cs="Times New Roman"/>
          <w:b/>
          <w:bCs/>
          <w:kern w:val="2"/>
          <w:sz w:val="32"/>
          <w:szCs w:val="32"/>
          <w:lang w:val="en-US" w:eastAsia="zh-CN" w:bidi="ar-SA"/>
        </w:rPr>
        <w:t>2023年，</w:t>
      </w:r>
      <w:r>
        <w:rPr>
          <w:rFonts w:hint="eastAsia" w:ascii="Times New Roman" w:hAnsi="Times New Roman" w:eastAsia="方正仿宋简体" w:cs="Times New Roman"/>
          <w:b/>
          <w:bCs/>
          <w:kern w:val="2"/>
          <w:sz w:val="32"/>
          <w:szCs w:val="32"/>
          <w:lang w:val="en-US" w:eastAsia="zh-CN" w:bidi="ar-SA"/>
        </w:rPr>
        <w:t>市医疗保障局</w:t>
      </w:r>
      <w:r>
        <w:rPr>
          <w:rFonts w:hint="eastAsia" w:ascii="方正仿宋简体" w:hAnsi="方正仿宋简体" w:eastAsia="方正仿宋简体" w:cs="方正仿宋简体"/>
          <w:b/>
          <w:bCs/>
          <w:sz w:val="32"/>
          <w:szCs w:val="32"/>
          <w:lang w:val="en-US" w:eastAsia="zh-CN"/>
        </w:rPr>
        <w:t>将政务公开与医保服务紧密结合，积极</w:t>
      </w:r>
      <w:r>
        <w:rPr>
          <w:rFonts w:hint="eastAsia" w:ascii="Times New Roman" w:hAnsi="Times New Roman" w:eastAsia="方正仿宋简体" w:cs="Times New Roman"/>
          <w:b/>
          <w:bCs/>
          <w:sz w:val="32"/>
          <w:szCs w:val="32"/>
          <w:lang w:val="en-US" w:eastAsia="zh-CN"/>
        </w:rPr>
        <w:t>推进阳光、透明、开放、服务型政府建设</w:t>
      </w:r>
      <w:r>
        <w:rPr>
          <w:rFonts w:hint="eastAsia" w:ascii="方正仿宋简体" w:hAnsi="方正仿宋简体" w:eastAsia="方正仿宋简体" w:cs="方正仿宋简体"/>
          <w:b/>
          <w:bCs/>
          <w:sz w:val="32"/>
          <w:szCs w:val="32"/>
          <w:lang w:val="en-US" w:eastAsia="zh-CN"/>
        </w:rPr>
        <w:t>，</w:t>
      </w:r>
      <w:r>
        <w:rPr>
          <w:rFonts w:hint="default" w:ascii="Times New Roman" w:hAnsi="Times New Roman" w:eastAsia="方正仿宋简体" w:cs="Times New Roman"/>
          <w:b/>
          <w:bCs/>
          <w:kern w:val="2"/>
          <w:sz w:val="32"/>
          <w:szCs w:val="32"/>
          <w:lang w:val="en-US" w:eastAsia="zh-CN" w:bidi="ar-SA"/>
        </w:rPr>
        <w:t>主动公开政府信息122条</w:t>
      </w:r>
      <w:r>
        <w:rPr>
          <w:rFonts w:hint="eastAsia" w:ascii="Times New Roman" w:hAnsi="Times New Roman" w:eastAsia="方正仿宋简体" w:cs="Times New Roman"/>
          <w:b/>
          <w:bCs/>
          <w:kern w:val="2"/>
          <w:sz w:val="32"/>
          <w:szCs w:val="32"/>
          <w:lang w:val="en-US" w:eastAsia="zh-CN" w:bidi="ar-SA"/>
        </w:rPr>
        <w:t>。</w:t>
      </w:r>
    </w:p>
    <w:p>
      <w:pPr>
        <w:spacing w:line="600" w:lineRule="exact"/>
        <w:ind w:firstLine="643" w:firstLineChars="200"/>
        <w:rPr>
          <w:rFonts w:hint="default" w:ascii="Times New Roman" w:hAnsi="Times New Roman" w:eastAsia="方正仿宋简体" w:cs="Times New Roman"/>
          <w:b/>
          <w:bCs/>
          <w:kern w:val="2"/>
          <w:sz w:val="32"/>
          <w:szCs w:val="32"/>
          <w:lang w:val="en-US" w:eastAsia="zh-CN" w:bidi="ar-SA"/>
        </w:rPr>
      </w:pPr>
      <w:r>
        <w:rPr>
          <w:rFonts w:hint="eastAsia" w:ascii="Times New Roman" w:hAnsi="Times New Roman" w:eastAsia="方正仿宋简体" w:cs="Times New Roman"/>
          <w:b/>
          <w:bCs/>
          <w:kern w:val="2"/>
          <w:sz w:val="32"/>
          <w:szCs w:val="32"/>
          <w:lang w:val="en-US" w:eastAsia="zh-CN" w:bidi="ar-SA"/>
        </w:rPr>
        <w:t>（四）</w:t>
      </w:r>
      <w:r>
        <w:rPr>
          <w:rFonts w:hint="default" w:ascii="Times New Roman" w:hAnsi="Times New Roman" w:eastAsia="方正仿宋简体" w:cs="Times New Roman"/>
          <w:b/>
          <w:bCs/>
          <w:kern w:val="2"/>
          <w:sz w:val="32"/>
          <w:szCs w:val="32"/>
          <w:lang w:val="en-US" w:eastAsia="zh-CN" w:bidi="ar-SA"/>
        </w:rPr>
        <w:t>202</w:t>
      </w:r>
      <w:r>
        <w:rPr>
          <w:rFonts w:hint="eastAsia" w:ascii="Times New Roman" w:hAnsi="Times New Roman" w:eastAsia="方正仿宋简体" w:cs="Times New Roman"/>
          <w:b/>
          <w:bCs/>
          <w:kern w:val="2"/>
          <w:sz w:val="32"/>
          <w:szCs w:val="32"/>
          <w:lang w:val="en-US" w:eastAsia="zh-CN" w:bidi="ar-SA"/>
        </w:rPr>
        <w:t>3年度市医疗保障局政府信息公开工作年度报告数据统计无需要特别说明的事项；</w:t>
      </w:r>
    </w:p>
    <w:p>
      <w:pPr>
        <w:spacing w:line="600" w:lineRule="exact"/>
        <w:ind w:firstLine="643" w:firstLineChars="200"/>
        <w:rPr>
          <w:rFonts w:hint="eastAsia" w:ascii="Times New Roman" w:hAnsi="Times New Roman" w:eastAsia="方正仿宋简体" w:cs="Times New Roman"/>
          <w:b/>
          <w:bCs/>
          <w:kern w:val="2"/>
          <w:sz w:val="32"/>
          <w:szCs w:val="32"/>
          <w:lang w:val="en-US" w:eastAsia="zh-CN" w:bidi="ar-SA"/>
        </w:rPr>
      </w:pPr>
      <w:r>
        <w:rPr>
          <w:rFonts w:hint="eastAsia" w:ascii="Times New Roman" w:hAnsi="Times New Roman" w:eastAsia="方正仿宋简体" w:cs="Times New Roman"/>
          <w:b/>
          <w:bCs/>
          <w:kern w:val="2"/>
          <w:sz w:val="32"/>
          <w:szCs w:val="32"/>
          <w:lang w:val="en-US" w:eastAsia="zh-CN" w:bidi="ar-SA"/>
        </w:rPr>
        <w:t>（五）</w:t>
      </w:r>
      <w:r>
        <w:rPr>
          <w:rFonts w:hint="default" w:ascii="Times New Roman" w:hAnsi="Times New Roman" w:eastAsia="方正仿宋简体" w:cs="Times New Roman"/>
          <w:b/>
          <w:bCs/>
          <w:kern w:val="2"/>
          <w:sz w:val="32"/>
          <w:szCs w:val="32"/>
          <w:lang w:val="en-US" w:eastAsia="zh-CN" w:bidi="ar-SA"/>
        </w:rPr>
        <w:t>202</w:t>
      </w:r>
      <w:r>
        <w:rPr>
          <w:rFonts w:hint="eastAsia" w:ascii="Times New Roman" w:hAnsi="Times New Roman" w:eastAsia="方正仿宋简体" w:cs="Times New Roman"/>
          <w:b/>
          <w:bCs/>
          <w:kern w:val="2"/>
          <w:sz w:val="32"/>
          <w:szCs w:val="32"/>
          <w:lang w:val="en-US" w:eastAsia="zh-CN" w:bidi="ar-SA"/>
        </w:rPr>
        <w:t>3年度市医疗保障局无需要报告的其他事项；</w:t>
      </w:r>
    </w:p>
    <w:p>
      <w:pPr>
        <w:spacing w:line="600" w:lineRule="exact"/>
        <w:ind w:firstLine="643" w:firstLineChars="200"/>
        <w:rPr>
          <w:rFonts w:hint="eastAsia" w:ascii="Times New Roman" w:hAnsi="Times New Roman" w:eastAsia="方正仿宋简体" w:cs="Times New Roman"/>
          <w:b/>
          <w:bCs/>
          <w:kern w:val="2"/>
          <w:sz w:val="32"/>
          <w:szCs w:val="32"/>
          <w:lang w:val="en-US" w:eastAsia="zh-CN" w:bidi="ar-SA"/>
        </w:rPr>
      </w:pPr>
      <w:r>
        <w:rPr>
          <w:rFonts w:hint="eastAsia" w:ascii="Times New Roman" w:hAnsi="Times New Roman" w:eastAsia="方正仿宋简体" w:cs="Times New Roman"/>
          <w:b/>
          <w:bCs/>
          <w:kern w:val="2"/>
          <w:sz w:val="32"/>
          <w:szCs w:val="32"/>
          <w:lang w:val="en-US" w:eastAsia="zh-CN" w:bidi="ar-SA"/>
        </w:rPr>
        <w:t>（六）</w:t>
      </w:r>
      <w:r>
        <w:rPr>
          <w:rFonts w:hint="default" w:ascii="Times New Roman" w:hAnsi="Times New Roman" w:eastAsia="方正仿宋简体" w:cs="Times New Roman"/>
          <w:b/>
          <w:bCs/>
          <w:kern w:val="2"/>
          <w:sz w:val="32"/>
          <w:szCs w:val="32"/>
          <w:lang w:val="en-US" w:eastAsia="zh-CN" w:bidi="ar-SA"/>
        </w:rPr>
        <w:t>202</w:t>
      </w:r>
      <w:r>
        <w:rPr>
          <w:rFonts w:hint="eastAsia" w:ascii="Times New Roman" w:hAnsi="Times New Roman" w:eastAsia="方正仿宋简体" w:cs="Times New Roman"/>
          <w:b/>
          <w:bCs/>
          <w:kern w:val="2"/>
          <w:sz w:val="32"/>
          <w:szCs w:val="32"/>
          <w:lang w:val="en-US" w:eastAsia="zh-CN" w:bidi="ar-SA"/>
        </w:rPr>
        <w:t>3年度市医疗保障局无其他有关文件专门要求通过政府信息公开工作年度报告予以报告的事项。</w:t>
      </w:r>
    </w:p>
    <w:sectPr>
      <w:footerReference r:id="rId3"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EndPr>
      <w:rPr>
        <w:rFonts w:ascii="宋体" w:hAnsi="宋体" w:eastAsia="宋体"/>
        <w:sz w:val="28"/>
        <w:szCs w:val="28"/>
      </w:rPr>
    </w:sdtEndPr>
    <w:sdtContent>
      <w:p>
        <w:pPr>
          <w:pStyle w:val="3"/>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JhNWYzNzgzYjJhYjAyMzI5MTMzOWE0NzQ0MDgyZGMifQ=="/>
  </w:docVars>
  <w:rsids>
    <w:rsidRoot w:val="00CB63D1"/>
    <w:rsid w:val="00022AAA"/>
    <w:rsid w:val="000E1E7C"/>
    <w:rsid w:val="001E1F91"/>
    <w:rsid w:val="00266991"/>
    <w:rsid w:val="0027479F"/>
    <w:rsid w:val="002D7F9F"/>
    <w:rsid w:val="0036007F"/>
    <w:rsid w:val="00397CF8"/>
    <w:rsid w:val="00563328"/>
    <w:rsid w:val="008E39CD"/>
    <w:rsid w:val="009554FD"/>
    <w:rsid w:val="009E446A"/>
    <w:rsid w:val="00A90400"/>
    <w:rsid w:val="00B420B4"/>
    <w:rsid w:val="00B7698A"/>
    <w:rsid w:val="00B83CAB"/>
    <w:rsid w:val="00C654CB"/>
    <w:rsid w:val="00C97F51"/>
    <w:rsid w:val="00CB1DB6"/>
    <w:rsid w:val="00CB63D1"/>
    <w:rsid w:val="00F00377"/>
    <w:rsid w:val="00F97B01"/>
    <w:rsid w:val="02864C08"/>
    <w:rsid w:val="03383A1A"/>
    <w:rsid w:val="040E268F"/>
    <w:rsid w:val="05FC0422"/>
    <w:rsid w:val="080C7311"/>
    <w:rsid w:val="08B30855"/>
    <w:rsid w:val="093711A6"/>
    <w:rsid w:val="0C233370"/>
    <w:rsid w:val="12F24AEC"/>
    <w:rsid w:val="14050E3C"/>
    <w:rsid w:val="1B4C386F"/>
    <w:rsid w:val="1C007D05"/>
    <w:rsid w:val="1E9DBA01"/>
    <w:rsid w:val="20A3369E"/>
    <w:rsid w:val="23B0469D"/>
    <w:rsid w:val="24A24B56"/>
    <w:rsid w:val="282F0EA1"/>
    <w:rsid w:val="2A2607E6"/>
    <w:rsid w:val="2A75731E"/>
    <w:rsid w:val="3F677004"/>
    <w:rsid w:val="4A570F3A"/>
    <w:rsid w:val="4B06219E"/>
    <w:rsid w:val="53E268B6"/>
    <w:rsid w:val="54D1675D"/>
    <w:rsid w:val="55F132C7"/>
    <w:rsid w:val="61016904"/>
    <w:rsid w:val="64AE2A2B"/>
    <w:rsid w:val="690028FF"/>
    <w:rsid w:val="6B3A02CD"/>
    <w:rsid w:val="71E70A9B"/>
    <w:rsid w:val="76FF771C"/>
    <w:rsid w:val="78C557D2"/>
    <w:rsid w:val="796A42FA"/>
    <w:rsid w:val="7A11434D"/>
    <w:rsid w:val="7B22692D"/>
    <w:rsid w:val="7F3A53EE"/>
    <w:rsid w:val="CFCFEE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2"/>
    <w:semiHidden/>
    <w:unhideWhenUsed/>
    <w:qFormat/>
    <w:uiPriority w:val="99"/>
    <w:pPr>
      <w:ind w:left="100" w:leftChars="2500"/>
    </w:pPr>
  </w:style>
  <w:style w:type="paragraph" w:styleId="3">
    <w:name w:val="footer"/>
    <w:basedOn w:val="1"/>
    <w:next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日期 字符"/>
    <w:basedOn w:val="7"/>
    <w:link w:val="2"/>
    <w:semiHidden/>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a:latin typeface="Times New Roman" panose="02020603050405020304" charset="0"/>
                <a:ea typeface="Times New Roman" panose="02020603050405020304" charset="0"/>
                <a:cs typeface="Times New Roman" panose="02020603050405020304" charset="0"/>
                <a:sym typeface="Times New Roman" panose="02020603050405020304" charset="0"/>
              </a:rPr>
              <a:t>济宁市医疗保障局</a:t>
            </a:r>
            <a:endParaRPr>
              <a:latin typeface="Times New Roman" panose="02020603050405020304" charset="0"/>
              <a:ea typeface="Times New Roman" panose="02020603050405020304" charset="0"/>
              <a:cs typeface="Times New Roman" panose="02020603050405020304" charset="0"/>
              <a:sym typeface="Times New Roman" panose="02020603050405020304" charset="0"/>
            </a:endParaRPr>
          </a:p>
          <a:p>
            <a:pPr defTabSz="914400">
              <a:defRPr lang="zh-CN" sz="1400" b="0" i="0" u="none" strike="noStrike" kern="1200" spc="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altLang="zh-CN">
                <a:latin typeface="Times New Roman" panose="02020603050405020304" charset="0"/>
                <a:ea typeface="Times New Roman" panose="02020603050405020304" charset="0"/>
                <a:cs typeface="Times New Roman" panose="02020603050405020304" charset="0"/>
                <a:sym typeface="Times New Roman" panose="02020603050405020304" charset="0"/>
              </a:rPr>
              <a:t>2023</a:t>
            </a:r>
            <a:r>
              <a:rPr altLang="en-US">
                <a:latin typeface="Times New Roman" panose="02020603050405020304" charset="0"/>
                <a:ea typeface="Times New Roman" panose="02020603050405020304" charset="0"/>
                <a:cs typeface="Times New Roman" panose="02020603050405020304" charset="0"/>
                <a:sym typeface="Times New Roman" panose="02020603050405020304" charset="0"/>
              </a:rPr>
              <a:t>年度</a:t>
            </a:r>
            <a:r>
              <a:rPr>
                <a:latin typeface="Times New Roman" panose="02020603050405020304" charset="0"/>
                <a:ea typeface="Times New Roman" panose="02020603050405020304" charset="0"/>
                <a:cs typeface="Times New Roman" panose="02020603050405020304" charset="0"/>
                <a:sym typeface="Times New Roman" panose="02020603050405020304" charset="0"/>
              </a:rPr>
              <a:t>主动公开政府信息情况</a:t>
            </a:r>
            <a:endParaRPr>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[工作簿1]Sheet1!$A$1:$G$1</c:f>
              <c:strCache>
                <c:ptCount val="7"/>
                <c:pt idx="0">
                  <c:v>主动公开部门文件</c:v>
                </c:pt>
                <c:pt idx="1">
                  <c:v>医保服务信息</c:v>
                </c:pt>
                <c:pt idx="2">
                  <c:v>建议提案办理信息</c:v>
                </c:pt>
                <c:pt idx="3">
                  <c:v>财务信息</c:v>
                </c:pt>
                <c:pt idx="4">
                  <c:v>政策解读</c:v>
                </c:pt>
                <c:pt idx="5">
                  <c:v>其他政府信息</c:v>
                </c:pt>
              </c:strCache>
            </c:strRef>
          </c:cat>
          <c:val>
            <c:numRef>
              <c:f>[工作簿1]Sheet1!$A$2:$G$2</c:f>
              <c:numCache>
                <c:formatCode>General</c:formatCode>
                <c:ptCount val="7"/>
                <c:pt idx="0">
                  <c:v>14</c:v>
                </c:pt>
                <c:pt idx="1">
                  <c:v>9</c:v>
                </c:pt>
                <c:pt idx="2">
                  <c:v>7</c:v>
                </c:pt>
                <c:pt idx="3">
                  <c:v>9</c:v>
                </c:pt>
                <c:pt idx="4">
                  <c:v>25</c:v>
                </c:pt>
                <c:pt idx="5">
                  <c:v>58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egendEntry>
        <c:idx val="0"/>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1"/>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2"/>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3"/>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4"/>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5"/>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6"/>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646</Words>
  <Characters>3685</Characters>
  <Lines>30</Lines>
  <Paragraphs>8</Paragraphs>
  <TotalTime>12</TotalTime>
  <ScaleCrop>false</ScaleCrop>
  <LinksUpToDate>false</LinksUpToDate>
  <CharactersWithSpaces>4323</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2024-01-01T23:20:00Z</dcterms:created>
  <dc:creator>元华 戚</dc:creator>
  <cp:lastModifiedBy>杨锋</cp:lastModifiedBy>
  <cp:lastPrinted>2024-01-02T16:50:00Z</cp:lastPrinted>
  <dcterms:modified xsi:type="dcterms:W3CDTF">2024-01-31T01:55:00Z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49DCD425F28F473EAE8773CA336DF219_13</vt:lpwstr>
  </property>
</Properties>
</file>