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济宁市地震监测中心</w:t>
      </w: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方正小标宋简体" w:eastAsia="方正小标宋简体"/>
          <w:b/>
          <w:color w:val="000000" w:themeColor="text1"/>
          <w:sz w:val="44"/>
          <w:szCs w:val="44"/>
          <w:lang w:val="e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年政府信息公开工作年度报告</w:t>
      </w:r>
    </w:p>
    <w:p>
      <w:pPr>
        <w:spacing w:line="590" w:lineRule="exact"/>
        <w:ind w:right="-100" w:rightChars="-50" w:firstLine="642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济宁市地震监测中心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年1月1日起至202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年12月31日止。本报告电子版可在“中国·济宁”政府门户网站（http://www.jining.gov.cn/）查阅或下载。如对本报告有疑问，请与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济宁市地震监测中心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省运会指挥中心F36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房间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，联系电话：0537-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207612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济宁市地震监测中心认真贯彻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落实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《信息公开条例》，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按照市委、市政府有关要求，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坚持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“公开为原则、不公开为例外”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原则，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结合工作实际，依法如实公开政务信息，提高防震减灾工作透明度，在强化服务、规范流程等方面均取得新的进展。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年，济宁市地震监测中心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充分发挥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政府信息公开平台的作用，聚焦法定主动公开内容，聚焦主责主业，着力推进地震领域重点信息公开。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全年主动公开政府信息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其中具体发布情况为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法规文件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7项，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占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12.73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会议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8项，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占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14.55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%；财政预算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6项，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占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10.91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公共服务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31项，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占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56.36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人事信息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1项，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占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1.82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建议提案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1项，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占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1.82%；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其他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法定信息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1项，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占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1.82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</w:t>
      </w:r>
    </w:p>
    <w:p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eastAsia="zh-CN"/>
        </w:rPr>
      </w:pPr>
    </w:p>
    <w:p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eastAsia="zh-CN"/>
        </w:rPr>
      </w:pPr>
      <w:r>
        <w:drawing>
          <wp:inline distT="0" distB="0" distL="114300" distR="114300">
            <wp:extent cx="5270500" cy="4352925"/>
            <wp:effectExtent l="4445" t="4445" r="20955" b="5080"/>
            <wp:docPr id="7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eastAsia="zh-CN"/>
        </w:rPr>
      </w:pP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济宁市地震监测中心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未收到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政府信息公开申请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事项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济宁市地震监测中心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始终把做好政府信息公开工作列入单位工作议事日程。本年度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继续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加大公共服务类信息《震情信息》的发布力度，有力提升了广大群众的防震减灾意识和能力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健全领导机制，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积极加强政府信息平台建设，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编制《济宁市地震监测中心信息公开指南》，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安排专人负责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政府网站政府信息公开专栏政府信息公开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重点做好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法规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公共服务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、财政预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决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算、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人事信息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、会议公开等方面内容维护，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确保政府信息公开内容准确、及时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进一步加强政府信息公开工作的组织领导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成立了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济宁市地震监测中心政府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信息公开领导小组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根据人员变动，及时对中心政府信息公开工作领导小组人员进行调整充实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安排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1名专职人员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负责政府信息公开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积极参加市政府组织的各项培训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严格执行信息公开发布制度，信息发布、公开依照预定的程序进行，严格落实责任，明确责任追究，所有上网信息，都严格由领导审批，同意后方可发布，切实保障我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中心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政府信息公开工作安全、有序进行。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　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 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　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 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2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</w:tbl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202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年，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济宁市地震监测中心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政府信息公开工作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不足之处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：一是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政府信息公开的时效性、针对性还不强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，工作亮点提取不够；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是解读工作专业化、多元化程度有待加强，专家类、媒体类解读不够丰富。</w:t>
      </w:r>
      <w:bookmarkStart w:id="0" w:name="_GoBack"/>
      <w:bookmarkEnd w:id="0"/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下一步，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市地震监测中心将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严格按照《中华人民共和国政府信息公开条例》做好有关内容的公开工作，做到及时、主动公开，应公开事项全部公开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进一步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提升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政府信息公开人员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力量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，加大培训学习力度，提升政府信息公开人员业务素养；同时加强创新突破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围绕防震减灾主责主业，加大信息公开和科普宣传力度，优化公开形式，提升公开内容质效，不断提升全市防震避震意识和自救互救能力。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黑体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（一）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本中心2022年度无收取政府信息公开信息处理费的情况。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（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二</w:t>
      </w:r>
      <w:r>
        <w:rPr>
          <w:rFonts w:hint="eastAsia" w:ascii="方正仿宋简体" w:eastAsia="方正仿宋简体"/>
          <w:b/>
          <w:sz w:val="32"/>
          <w:szCs w:val="32"/>
        </w:rPr>
        <w:t>）本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中心全部</w:t>
      </w:r>
      <w:r>
        <w:rPr>
          <w:rFonts w:hint="eastAsia" w:ascii="方正仿宋简体" w:eastAsia="方正仿宋简体"/>
          <w:b/>
          <w:sz w:val="32"/>
          <w:szCs w:val="32"/>
        </w:rPr>
        <w:t>落实上级年度政务公开工作要点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事项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eastAsia="zh-CN"/>
        </w:rPr>
        <w:t>根据《2022年济宁市政务公开工作任务分解表》制定部门政务公开工作实施方案及年度政务公开重点工作台账，严格责任分工，细化工作任务，明确措施要求，确保各项工作落实落细，目前，2022年重点工作已全部按要求完成。</w:t>
      </w:r>
    </w:p>
    <w:p>
      <w:pPr>
        <w:spacing w:line="590" w:lineRule="exact"/>
        <w:ind w:right="-100" w:rightChars="-50" w:firstLine="642" w:firstLineChars="200"/>
        <w:rPr>
          <w:rFonts w:hint="default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（三）政务公开创新情况。 一是加强政务公开与业务工作联系紧密度，高标准搭建政策宣传解读平台，引入网格员等社会力量参与，开展政策解读进社区等系列活动，增加群众政策知晓度；二是加大现有平台公开力度，通过政府网站、微信公众号等形式及时公开部门会议、专题会议等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地震领域重点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信息。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（四）</w:t>
      </w:r>
      <w:r>
        <w:rPr>
          <w:rFonts w:hint="eastAsia" w:ascii="方正仿宋简体" w:eastAsia="方正仿宋简体"/>
          <w:b/>
          <w:sz w:val="32"/>
          <w:szCs w:val="32"/>
        </w:rPr>
        <w:t>本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中心2022年度未受理</w:t>
      </w:r>
      <w:r>
        <w:rPr>
          <w:rFonts w:hint="eastAsia" w:ascii="方正仿宋简体" w:eastAsia="方正仿宋简体"/>
          <w:b/>
          <w:sz w:val="32"/>
          <w:szCs w:val="32"/>
        </w:rPr>
        <w:t>人大代表建议和政协提案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方正小标宋简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方正楷体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130DB"/>
    <w:rsid w:val="0270686F"/>
    <w:rsid w:val="03353615"/>
    <w:rsid w:val="0341645D"/>
    <w:rsid w:val="06140C54"/>
    <w:rsid w:val="077C7A64"/>
    <w:rsid w:val="07F10452"/>
    <w:rsid w:val="08931509"/>
    <w:rsid w:val="08C94F2B"/>
    <w:rsid w:val="0A8C6210"/>
    <w:rsid w:val="0C2C3F43"/>
    <w:rsid w:val="0C394176"/>
    <w:rsid w:val="0DB22432"/>
    <w:rsid w:val="1272218F"/>
    <w:rsid w:val="12B72298"/>
    <w:rsid w:val="13961EAE"/>
    <w:rsid w:val="139E579D"/>
    <w:rsid w:val="13EE3A98"/>
    <w:rsid w:val="14DA3930"/>
    <w:rsid w:val="150D619F"/>
    <w:rsid w:val="17B172B6"/>
    <w:rsid w:val="18AB01A9"/>
    <w:rsid w:val="19702439"/>
    <w:rsid w:val="1A7D4463"/>
    <w:rsid w:val="1B122762"/>
    <w:rsid w:val="1C4C57FF"/>
    <w:rsid w:val="1D9565D3"/>
    <w:rsid w:val="1D9C27B6"/>
    <w:rsid w:val="1E8F5E77"/>
    <w:rsid w:val="211A411E"/>
    <w:rsid w:val="21A659B2"/>
    <w:rsid w:val="240370EB"/>
    <w:rsid w:val="267E5B7D"/>
    <w:rsid w:val="27427F2B"/>
    <w:rsid w:val="27D52B4D"/>
    <w:rsid w:val="28B57959"/>
    <w:rsid w:val="2C136339"/>
    <w:rsid w:val="2C776297"/>
    <w:rsid w:val="2D8A262B"/>
    <w:rsid w:val="2FA71273"/>
    <w:rsid w:val="30F5600E"/>
    <w:rsid w:val="3126266B"/>
    <w:rsid w:val="321B733C"/>
    <w:rsid w:val="33DE722D"/>
    <w:rsid w:val="35633E8E"/>
    <w:rsid w:val="36627EBA"/>
    <w:rsid w:val="36A64CF3"/>
    <w:rsid w:val="39B747A8"/>
    <w:rsid w:val="3C6D26CD"/>
    <w:rsid w:val="3D7D7146"/>
    <w:rsid w:val="3EB5FE6F"/>
    <w:rsid w:val="3EFB5137"/>
    <w:rsid w:val="3F2D2E17"/>
    <w:rsid w:val="3FEFE43F"/>
    <w:rsid w:val="41AD3B01"/>
    <w:rsid w:val="44676DCB"/>
    <w:rsid w:val="458C4D3B"/>
    <w:rsid w:val="46DA7D28"/>
    <w:rsid w:val="46E97F6B"/>
    <w:rsid w:val="4A842484"/>
    <w:rsid w:val="4B6D116B"/>
    <w:rsid w:val="4D5A74CD"/>
    <w:rsid w:val="50C779B3"/>
    <w:rsid w:val="52CA6EA2"/>
    <w:rsid w:val="53794425"/>
    <w:rsid w:val="55913F00"/>
    <w:rsid w:val="576C0528"/>
    <w:rsid w:val="583B7EFB"/>
    <w:rsid w:val="5AB53F94"/>
    <w:rsid w:val="5B130E01"/>
    <w:rsid w:val="5B174C4F"/>
    <w:rsid w:val="5D5C9C5E"/>
    <w:rsid w:val="5E190CDE"/>
    <w:rsid w:val="5F7148C6"/>
    <w:rsid w:val="62593D9F"/>
    <w:rsid w:val="62EE2739"/>
    <w:rsid w:val="639E1F8A"/>
    <w:rsid w:val="65A13A93"/>
    <w:rsid w:val="65DC0F6F"/>
    <w:rsid w:val="6C124653"/>
    <w:rsid w:val="6FF15617"/>
    <w:rsid w:val="70D64830"/>
    <w:rsid w:val="71922E29"/>
    <w:rsid w:val="728E35F1"/>
    <w:rsid w:val="729D3834"/>
    <w:rsid w:val="741E6BF6"/>
    <w:rsid w:val="754206C3"/>
    <w:rsid w:val="75A31161"/>
    <w:rsid w:val="763B2DDD"/>
    <w:rsid w:val="78801C2E"/>
    <w:rsid w:val="7A213719"/>
    <w:rsid w:val="7BF7C50A"/>
    <w:rsid w:val="7CE303AB"/>
    <w:rsid w:val="7DDE0D10"/>
    <w:rsid w:val="7EFCDCAE"/>
    <w:rsid w:val="B7FFC5D4"/>
    <w:rsid w:val="B93B7F7D"/>
    <w:rsid w:val="BFD629E5"/>
    <w:rsid w:val="DECB5D2C"/>
    <w:rsid w:val="DFFE0467"/>
    <w:rsid w:val="E8BF0BFA"/>
    <w:rsid w:val="EDEBF077"/>
    <w:rsid w:val="FBFF5BCF"/>
    <w:rsid w:val="FDFB130B"/>
    <w:rsid w:val="FEDFD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/home/thtf/Desktop/2022&#24180;&#24230;&#20449;&#24687;&#20844;&#24320;&#21344;&#27604;.et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true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800" b="1"/>
              <a:t>2022年度政府信息公开发布情况占比</a:t>
            </a:r>
            <a:endParaRPr sz="1800" b="1"/>
          </a:p>
        </c:rich>
      </c:tx>
      <c:layout/>
      <c:overlay val="false"/>
      <c:spPr>
        <a:noFill/>
        <a:ln>
          <a:noFill/>
        </a:ln>
        <a:effectLst/>
      </c:spPr>
    </c:title>
    <c:autoTitleDeleted val="false"/>
    <c:plotArea>
      <c:layout>
        <c:manualLayout>
          <c:layoutTarget val="inner"/>
          <c:xMode val="edge"/>
          <c:yMode val="edge"/>
          <c:x val="0.181833086824322"/>
          <c:y val="0.124248937355498"/>
          <c:w val="0.615384615384615"/>
          <c:h val="0.808641152153621"/>
        </c:manualLayout>
      </c:layout>
      <c:pieChart>
        <c:varyColors val="true"/>
        <c:ser>
          <c:idx val="0"/>
          <c:order val="0"/>
          <c:tx>
            <c:strRef>
              <c:f>[2022年度信息公开占比.et]Sheet1!$A$2</c:f>
              <c:strCache>
                <c:ptCount val="1"/>
                <c:pt idx="0">
                  <c:v>2022年度政府信息公开发布情况占比</c:v>
                </c:pt>
              </c:strCache>
            </c:strRef>
          </c:tx>
          <c:spPr/>
          <c:explosion val="0"/>
          <c:dPt>
            <c:idx val="0"/>
            <c:bubble3D val="false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false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false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false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false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false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false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0.0625941167267646"/>
                  <c:y val="0.144831117462234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true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法规文件</a:t>
                    </a:r>
                    <a:r>
                      <a:rPr lang="en-US" altLang="zh-CN"/>
                      <a:t>   </a:t>
                    </a:r>
                    <a:r>
                      <a:t>12.73%</a:t>
                    </a:r>
                  </a:p>
                </c:rich>
              </c:tx>
              <c:dLblPos val="bestFit"/>
              <c:showLegendKey val="false"/>
              <c:showVal val="false"/>
              <c:showCatName val="false"/>
              <c:showSerName val="false"/>
              <c:showPercent val="tru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230447792785844"/>
                  <c:y val="0.068470610327417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true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部门会议</a:t>
                    </a:r>
                    <a:r>
                      <a:rPr altLang="en-US"/>
                      <a:t>，</a:t>
                    </a:r>
                    <a:r>
                      <a:t>14.55%</a:t>
                    </a:r>
                  </a:p>
                </c:rich>
              </c:tx>
              <c:dLblPos val="bestFit"/>
              <c:showLegendKey val="false"/>
              <c:showVal val="false"/>
              <c:showCatName val="false"/>
              <c:showSerName val="false"/>
              <c:showPercent val="true"/>
              <c:showBubbleSize val="false"/>
              <c:extLst>
                <c:ext xmlns:c15="http://schemas.microsoft.com/office/drawing/2012/chart" uri="{CE6537A1-D6FC-4f65-9D91-7224C49458BB}">
                  <c15:layout>
                    <c:manualLayout>
                      <c:w val="0.217760015596062"/>
                      <c:h val="0.0311541184800566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84208443783582"/>
                  <c:y val="-0.100260979643845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true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财政预决算10.91%</a:t>
                    </a:r>
                  </a:p>
                </c:rich>
              </c:tx>
              <c:dLblPos val="bestFit"/>
              <c:showLegendKey val="false"/>
              <c:showVal val="false"/>
              <c:showCatName val="false"/>
              <c:showSerName val="false"/>
              <c:showPercent val="tru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0297054557842848"/>
                  <c:y val="-0.00400716264242157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true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人事信息，1.82%</a:t>
                    </a:r>
                  </a:p>
                </c:rich>
              </c:tx>
              <c:dLblPos val="bestFit"/>
              <c:showLegendKey val="false"/>
              <c:showVal val="false"/>
              <c:showCatName val="false"/>
              <c:showSerName val="false"/>
              <c:showPercent val="tru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240457628052573"/>
                  <c:y val="-0.0915211263162034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true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公共服务</a:t>
                    </a:r>
                    <a:r>
                      <a:rPr altLang="en-US"/>
                      <a:t>，</a:t>
                    </a:r>
                    <a:r>
                      <a:t>56.36%</a:t>
                    </a:r>
                  </a:p>
                </c:rich>
              </c:tx>
              <c:dLblPos val="bestFit"/>
              <c:showLegendKey val="false"/>
              <c:showVal val="false"/>
              <c:showCatName val="false"/>
              <c:showSerName val="false"/>
              <c:showPercent val="true"/>
              <c:showBubbleSize val="false"/>
              <c:extLst>
                <c:ext xmlns:c15="http://schemas.microsoft.com/office/drawing/2012/chart" uri="{CE6537A1-D6FC-4f65-9D91-7224C49458BB}">
                  <c15:layout>
                    <c:manualLayout>
                      <c:w val="0.218832244858173"/>
                      <c:h val="0.030800094406419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0565764149452927"/>
                  <c:y val="0.0110595875706293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true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建议提案，1.82%</a:t>
                    </a:r>
                  </a:p>
                </c:rich>
              </c:tx>
              <c:dLblPos val="bestFit"/>
              <c:showLegendKey val="false"/>
              <c:showVal val="false"/>
              <c:showCatName val="false"/>
              <c:showSerName val="false"/>
              <c:showPercent val="tru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0.104958966863216"/>
                  <c:y val="0.0172408415383071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true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其他法定信息，1.82%</a:t>
                    </a:r>
                  </a:p>
                </c:rich>
              </c:tx>
              <c:dLblPos val="bestFit"/>
              <c:showLegendKey val="false"/>
              <c:showVal val="false"/>
              <c:showCatName val="false"/>
              <c:showSerName val="false"/>
              <c:showPercent val="true"/>
              <c:showBubbleSize val="false"/>
              <c:extLst>
                <c:ext xmlns:c15="http://schemas.microsoft.com/office/drawing/2012/chart" uri="{CE6537A1-D6FC-4f65-9D91-7224C49458BB}">
                  <c15:layout>
                    <c:manualLayout>
                      <c:w val="0.247782434935179"/>
                      <c:h val="0.0403587443946188"/>
                    </c:manualLayout>
                  </c15:layout>
                </c:ext>
              </c:extLst>
            </c:dLbl>
            <c:numFmt formatCode="0.00%" sourceLinked="false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false"/>
            <c:showVal val="false"/>
            <c:showCatName val="false"/>
            <c:showSerName val="false"/>
            <c:showPercent val="tru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[2022年度信息公开占比.et]Sheet1!$B$1:$H$1</c:f>
              <c:strCache>
                <c:ptCount val="7"/>
                <c:pt idx="0">
                  <c:v>法规文件</c:v>
                </c:pt>
                <c:pt idx="1">
                  <c:v>部门会议</c:v>
                </c:pt>
                <c:pt idx="2">
                  <c:v>财政预决算</c:v>
                </c:pt>
                <c:pt idx="3">
                  <c:v>人事信息</c:v>
                </c:pt>
                <c:pt idx="4">
                  <c:v>公共服务</c:v>
                </c:pt>
                <c:pt idx="5">
                  <c:v>建议提案</c:v>
                </c:pt>
                <c:pt idx="6">
                  <c:v>其他法定信息</c:v>
                </c:pt>
              </c:strCache>
            </c:strRef>
          </c:cat>
          <c:val>
            <c:numRef>
              <c:f>[2022年度信息公开占比.et]Sheet1!$B$2:$H$2</c:f>
              <c:numCache>
                <c:formatCode>General</c:formatCode>
                <c:ptCount val="7"/>
                <c:pt idx="0">
                  <c:v>7</c:v>
                </c:pt>
                <c:pt idx="1">
                  <c:v>8</c:v>
                </c:pt>
                <c:pt idx="2">
                  <c:v>6</c:v>
                </c:pt>
                <c:pt idx="3">
                  <c:v>1</c:v>
                </c:pt>
                <c:pt idx="4">
                  <c:v>31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showLegendKey val="false"/>
          <c:showVal val="false"/>
          <c:showCatName val="false"/>
          <c:showSerName val="false"/>
          <c:showPercent val="true"/>
          <c:showBubbleSize val="false"/>
          <c:showLeaderLines val="true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0876940448560427"/>
          <c:y val="0.926729862372952"/>
        </c:manualLayout>
      </c:layout>
      <c:overlay val="false"/>
      <c:spPr>
        <a:noFill/>
        <a:ln>
          <a:noFill/>
        </a:ln>
        <a:effectLst/>
      </c:spPr>
      <c:txPr>
        <a:bodyPr rot="0" spcFirstLastPara="0" vertOverflow="ellipsis" vert="horz" wrap="square" anchor="ctr" anchorCtr="true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false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true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2022-01-02T05:55:00Z</dcterms:created>
  <dc:creator>admin</dc:creator>
  <cp:lastModifiedBy>thtf</cp:lastModifiedBy>
  <dcterms:modified xsi:type="dcterms:W3CDTF">2023-02-06T14:14:49Z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953913C113EB4D3C8179821ADD99E3B2</vt:lpwstr>
  </property>
</Properties>
</file>