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olors1.xml" ContentType="application/vnd.ms-office.chartcolorstyle+xml"/>
  <Override PartName="/word/charts/style1.xml" ContentType="application/vnd.ms-office.chart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ind w:right="-100" w:rightChars="-50"/>
        <w:jc w:val="center"/>
        <w:rPr>
          <w:rFonts w:ascii="方正小标宋简体" w:eastAsia="方正小标宋简体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b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济宁市地震监测中心</w:t>
      </w:r>
      <w:r>
        <w:rPr>
          <w:rFonts w:hint="eastAsia" w:ascii="方正小标宋简体" w:eastAsia="方正小标宋简体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202</w:t>
      </w:r>
      <w:r>
        <w:rPr>
          <w:rFonts w:hint="default" w:ascii="方正小标宋简体" w:eastAsia="方正小标宋简体"/>
          <w:b/>
          <w:color w:val="000000" w:themeColor="text1"/>
          <w:sz w:val="44"/>
          <w:szCs w:val="44"/>
          <w:lang w:val="e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方正小标宋简体" w:eastAsia="方正小标宋简体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年政府信息公开工作年度报告</w:t>
      </w:r>
    </w:p>
    <w:p>
      <w:pPr>
        <w:spacing w:line="590" w:lineRule="exact"/>
        <w:ind w:right="-100" w:rightChars="-50" w:firstLine="642" w:firstLineChars="200"/>
        <w:rPr>
          <w:rFonts w:ascii="方正仿宋简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90" w:lineRule="exact"/>
        <w:ind w:right="-100" w:rightChars="-50" w:firstLine="642" w:firstLineChars="200"/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本报告由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济宁市地震监测中心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按照《中华人民共和国政府信息公开条例》（以下简称《条例》）和《中华人民共和国政府信息公开工作年度报告格式》（国办公开办函〔2021〕30号）要求编制。</w:t>
      </w:r>
    </w:p>
    <w:p>
      <w:pPr>
        <w:spacing w:line="590" w:lineRule="exact"/>
        <w:ind w:right="-100" w:rightChars="-50" w:firstLine="642" w:firstLineChars="200"/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本报告内容包括总体情况、主动公开政府信息情况、收到和处理政府信息公开申请情况、政府信息公开行政复议和行政诉讼情况、存在的主要问题及改进情况、其他需要报告的事项等六部分内容。</w:t>
      </w:r>
    </w:p>
    <w:p>
      <w:pPr>
        <w:spacing w:line="590" w:lineRule="exact"/>
        <w:ind w:right="-100" w:rightChars="-50" w:firstLine="642" w:firstLineChars="200"/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本报告所列数据的统计期限自202</w:t>
      </w:r>
      <w:r>
        <w:rPr>
          <w:rFonts w:hint="eastAsia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年1月1日起至202</w:t>
      </w:r>
      <w:r>
        <w:rPr>
          <w:rFonts w:hint="eastAsia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年12月31日止。本报告电子版可在“中国·济宁”政府门户网站（http://www.jining.gov.cn/）查阅或下载。如对本报告有疑问，请与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济宁市地震监测中心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联系（地址：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省运会指挥中心F36</w:t>
      </w:r>
      <w:r>
        <w:rPr>
          <w:rFonts w:hint="eastAsia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房间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，联系电话：0537-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207612</w:t>
      </w:r>
      <w:r>
        <w:rPr>
          <w:rFonts w:hint="eastAsia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）。</w:t>
      </w:r>
    </w:p>
    <w:p>
      <w:pPr>
        <w:spacing w:line="590" w:lineRule="exact"/>
        <w:ind w:right="-100" w:rightChars="-50" w:firstLine="642" w:firstLineChars="200"/>
        <w:rPr>
          <w:rFonts w:hint="default" w:ascii="Times New Roman" w:hAnsi="Times New Roman" w:eastAsia="方正黑体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黑体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一、总体情况</w:t>
      </w:r>
    </w:p>
    <w:p>
      <w:pPr>
        <w:spacing w:line="590" w:lineRule="exact"/>
        <w:ind w:right="-100" w:rightChars="-50" w:firstLine="642" w:firstLineChars="200"/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济宁市地震监测中心认真贯彻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落实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《信息公开条例》，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按照市委、市政府有关要求，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坚持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以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“公开为原则、不公开为例外”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的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原则，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结合工作实际，依法如实公开政务信息，提高防震减灾工作透明度，在强化服务、规范流程等方面均取得新的进展。</w:t>
      </w:r>
    </w:p>
    <w:p>
      <w:pPr>
        <w:spacing w:line="590" w:lineRule="exact"/>
        <w:ind w:right="-100" w:rightChars="-50" w:firstLine="642" w:firstLineChars="200"/>
        <w:rPr>
          <w:rFonts w:hint="default" w:ascii="Times New Roman" w:hAnsi="Times New Roman" w:eastAsia="方正楷体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楷体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（一）主动公开情况</w:t>
      </w:r>
    </w:p>
    <w:p>
      <w:pPr>
        <w:spacing w:line="590" w:lineRule="exact"/>
        <w:ind w:right="-100" w:rightChars="-50" w:firstLine="642" w:firstLineChars="200"/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年，济宁市地震监测中心</w:t>
      </w:r>
      <w:r>
        <w:rPr>
          <w:rFonts w:hint="eastAsia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充分发挥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政府信息公开平台的作用，聚焦法定主动公开内容，聚焦主责主业，着力推进地震领域重点信息公开。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全年主动公开政府信息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项，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其中具体发布情况为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法规文件</w:t>
      </w:r>
      <w:r>
        <w:rPr>
          <w:rFonts w:hint="eastAsia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7项，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占</w:t>
      </w:r>
      <w:r>
        <w:rPr>
          <w:rFonts w:hint="eastAsia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12.73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%；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部门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会议</w:t>
      </w:r>
      <w:r>
        <w:rPr>
          <w:rFonts w:hint="eastAsia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8项，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占</w:t>
      </w:r>
      <w:r>
        <w:rPr>
          <w:rFonts w:hint="eastAsia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14.55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%；财政预算</w:t>
      </w:r>
      <w:r>
        <w:rPr>
          <w:rFonts w:hint="eastAsia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6项，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占</w:t>
      </w:r>
      <w:r>
        <w:rPr>
          <w:rFonts w:hint="eastAsia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10.91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%；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公共服务</w:t>
      </w:r>
      <w:r>
        <w:rPr>
          <w:rFonts w:hint="eastAsia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31项，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占</w:t>
      </w:r>
      <w:r>
        <w:rPr>
          <w:rFonts w:hint="eastAsia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56.36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%；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人事信息</w:t>
      </w:r>
      <w:r>
        <w:rPr>
          <w:rFonts w:hint="eastAsia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1项，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占</w:t>
      </w:r>
      <w:r>
        <w:rPr>
          <w:rFonts w:hint="eastAsia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1.82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%；</w:t>
      </w:r>
      <w:r>
        <w:rPr>
          <w:rFonts w:hint="eastAsia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建议提案</w:t>
      </w:r>
      <w:r>
        <w:rPr>
          <w:rFonts w:hint="eastAsia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1项，</w:t>
      </w:r>
      <w:r>
        <w:rPr>
          <w:rFonts w:hint="eastAsia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占</w:t>
      </w:r>
      <w:r>
        <w:rPr>
          <w:rFonts w:hint="eastAsia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1.82%；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其他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法定信息</w:t>
      </w:r>
      <w:r>
        <w:rPr>
          <w:rFonts w:hint="eastAsia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1项，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占</w:t>
      </w:r>
      <w:r>
        <w:rPr>
          <w:rFonts w:hint="eastAsia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1.82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%。</w:t>
      </w:r>
    </w:p>
    <w:p>
      <w:pPr>
        <w:rPr>
          <w:rFonts w:hint="eastAsia" w:asciiTheme="minorHAnsi" w:hAnsiTheme="minorHAnsi" w:eastAsiaTheme="minorEastAsia" w:cstheme="minorBidi"/>
          <w:kern w:val="2"/>
          <w:sz w:val="21"/>
          <w:szCs w:val="24"/>
          <w:lang w:eastAsia="zh-CN"/>
        </w:rPr>
      </w:pPr>
    </w:p>
    <w:p>
      <w:pPr>
        <w:rPr>
          <w:rFonts w:hint="eastAsia" w:asciiTheme="minorHAnsi" w:hAnsiTheme="minorHAnsi" w:eastAsiaTheme="minorEastAsia" w:cstheme="minorBidi"/>
          <w:kern w:val="2"/>
          <w:sz w:val="21"/>
          <w:szCs w:val="24"/>
          <w:lang w:eastAsia="zh-CN"/>
        </w:rPr>
      </w:pPr>
      <w:r>
        <w:drawing>
          <wp:inline distT="0" distB="0" distL="114300" distR="114300">
            <wp:extent cx="5270500" cy="4352925"/>
            <wp:effectExtent l="4445" t="4445" r="20955" b="5080"/>
            <wp:docPr id="7" name="图表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>
      <w:pPr>
        <w:rPr>
          <w:rFonts w:hint="eastAsia" w:asciiTheme="minorHAnsi" w:hAnsiTheme="minorHAnsi" w:eastAsiaTheme="minorEastAsia" w:cstheme="minorBidi"/>
          <w:kern w:val="2"/>
          <w:sz w:val="21"/>
          <w:szCs w:val="24"/>
          <w:lang w:eastAsia="zh-CN"/>
        </w:rPr>
      </w:pPr>
    </w:p>
    <w:p>
      <w:pPr>
        <w:spacing w:line="590" w:lineRule="exact"/>
        <w:ind w:right="-100" w:rightChars="-50" w:firstLine="642" w:firstLineChars="200"/>
        <w:rPr>
          <w:rFonts w:hint="default" w:ascii="Times New Roman" w:hAnsi="Times New Roman" w:eastAsia="方正楷体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楷体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（二）依申请公开情况</w:t>
      </w:r>
    </w:p>
    <w:p>
      <w:pPr>
        <w:spacing w:line="590" w:lineRule="exact"/>
        <w:ind w:right="-100" w:rightChars="-50" w:firstLine="642" w:firstLineChars="200"/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年，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济宁市地震监测中心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未收到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政府信息公开申请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事项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spacing w:line="590" w:lineRule="exact"/>
        <w:ind w:right="-100" w:rightChars="-50" w:firstLine="642" w:firstLineChars="200"/>
        <w:rPr>
          <w:rFonts w:hint="default" w:ascii="Times New Roman" w:hAnsi="Times New Roman" w:eastAsia="方正楷体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楷体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（三）政府信息管理情况</w:t>
      </w:r>
    </w:p>
    <w:p>
      <w:pPr>
        <w:spacing w:line="590" w:lineRule="exact"/>
        <w:ind w:right="-100" w:rightChars="-50" w:firstLine="642" w:firstLineChars="200"/>
        <w:rPr>
          <w:rFonts w:hint="default" w:ascii="Times New Roman" w:hAnsi="Times New Roman" w:eastAsia="方正仿宋简体" w:cs="Times New Roman"/>
          <w:b/>
          <w:color w:val="000000" w:themeColor="text1"/>
          <w:spacing w:val="-8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济宁市地震监测中心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始终把做好政府信息公开工作列入单位工作议事日程。本年度</w:t>
      </w:r>
      <w:r>
        <w:rPr>
          <w:rFonts w:hint="eastAsia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继续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加大公共服务类信息《震情信息》的发布力度，有力提升了广大群众的防震减灾意识和能力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spacing w:line="590" w:lineRule="exact"/>
        <w:ind w:right="-100" w:rightChars="-50" w:firstLine="642" w:firstLineChars="200"/>
        <w:rPr>
          <w:rFonts w:hint="default" w:ascii="Times New Roman" w:hAnsi="Times New Roman" w:eastAsia="方正楷体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楷体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（四）政府信息公开平台建设情况</w:t>
      </w:r>
    </w:p>
    <w:p>
      <w:pPr>
        <w:spacing w:line="590" w:lineRule="exact"/>
        <w:ind w:right="-100" w:rightChars="-50" w:firstLine="642" w:firstLineChars="200"/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健全领导机制，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积极加强政府信息平台建设，</w:t>
      </w:r>
      <w:r>
        <w:rPr>
          <w:rFonts w:hint="eastAsia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编制《济宁市地震监测中心信息公开指南》，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安排专人负责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市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政府网站政府信息公开专栏政府信息公开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工作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重点做好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法规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文件、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公共服务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、财政预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决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算、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人事信息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、会议公开等方面内容维护，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确保政府信息公开内容准确、及时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spacing w:line="590" w:lineRule="exact"/>
        <w:ind w:right="-100" w:rightChars="-50" w:firstLine="642" w:firstLineChars="200"/>
        <w:rPr>
          <w:rFonts w:hint="default" w:ascii="Times New Roman" w:hAnsi="Times New Roman" w:eastAsia="方正楷体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楷体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（五）监督保障情况</w:t>
      </w:r>
    </w:p>
    <w:p>
      <w:pPr>
        <w:spacing w:line="590" w:lineRule="exact"/>
        <w:ind w:right="-100" w:rightChars="-50" w:firstLine="642" w:firstLineChars="200"/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进一步加强政府信息公开工作的组织领导</w:t>
      </w:r>
      <w:r>
        <w:rPr>
          <w:rFonts w:hint="eastAsia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成立了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济宁市地震监测中心政府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信息公开领导小组</w:t>
      </w:r>
      <w:r>
        <w:rPr>
          <w:rFonts w:hint="eastAsia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根据人员变动，及时对中心政府信息公开工作领导小组人员进行调整充实</w:t>
      </w:r>
      <w:r>
        <w:rPr>
          <w:rFonts w:hint="eastAsia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安排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1名专职人员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负责政府信息公开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工作</w:t>
      </w:r>
      <w:r>
        <w:rPr>
          <w:rFonts w:hint="eastAsia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积极参加市政府组织的各项培训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活动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严格执行信息公开发布制度，信息发布、公开依照预定的程序进行，严格落实责任，明确责任追究，所有上网信息，都严格由领导审批，同意后方可发布，切实保障我</w:t>
      </w:r>
      <w:r>
        <w:rPr>
          <w:rFonts w:hint="eastAsia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中心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政府信息公开工作安全、有序进行。</w:t>
      </w:r>
    </w:p>
    <w:p>
      <w:pPr>
        <w:spacing w:line="590" w:lineRule="exact"/>
        <w:ind w:right="-100" w:rightChars="-50" w:firstLine="642" w:firstLineChars="200"/>
        <w:rPr>
          <w:rFonts w:hint="default" w:ascii="Times New Roman" w:hAnsi="Times New Roman" w:eastAsia="方正黑体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黑体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二、主动公开政府信息情况</w:t>
      </w:r>
    </w:p>
    <w:tbl>
      <w:tblPr>
        <w:tblStyle w:val="3"/>
        <w:tblW w:w="87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 w:themeFill="background1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133"/>
        <w:gridCol w:w="2216"/>
        <w:gridCol w:w="19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黑体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4"/>
                <w:szCs w:val="24"/>
                <w:lang w:bidi="ar"/>
              </w:rPr>
              <w:t>第二十条第（一）项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信息内容</w:t>
            </w:r>
          </w:p>
        </w:tc>
        <w:tc>
          <w:tcPr>
            <w:tcW w:w="2133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本年制发件数</w:t>
            </w:r>
          </w:p>
        </w:tc>
        <w:tc>
          <w:tcPr>
            <w:tcW w:w="2216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本年废止件数</w:t>
            </w:r>
          </w:p>
        </w:tc>
        <w:tc>
          <w:tcPr>
            <w:tcW w:w="1989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现行有效件数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规章</w:t>
            </w:r>
          </w:p>
        </w:tc>
        <w:tc>
          <w:tcPr>
            <w:tcW w:w="2133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　　</w:t>
            </w: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2216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 　</w:t>
            </w: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989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行政规范性文件</w:t>
            </w:r>
          </w:p>
        </w:tc>
        <w:tc>
          <w:tcPr>
            <w:tcW w:w="2133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　　</w:t>
            </w: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2216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 　</w:t>
            </w: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989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4"/>
                <w:szCs w:val="24"/>
                <w:lang w:bidi="ar"/>
              </w:rPr>
              <w:t>第二十条第（五）项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信息内容</w:t>
            </w:r>
          </w:p>
        </w:tc>
        <w:tc>
          <w:tcPr>
            <w:tcW w:w="6338" w:type="dxa"/>
            <w:gridSpan w:val="3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本年处理决定数量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行政许可</w:t>
            </w:r>
          </w:p>
        </w:tc>
        <w:tc>
          <w:tcPr>
            <w:tcW w:w="6338" w:type="dxa"/>
            <w:gridSpan w:val="3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4"/>
                <w:szCs w:val="24"/>
                <w:lang w:bidi="ar"/>
              </w:rPr>
              <w:t>第二十条第（六）项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信息内容</w:t>
            </w:r>
          </w:p>
        </w:tc>
        <w:tc>
          <w:tcPr>
            <w:tcW w:w="6338" w:type="dxa"/>
            <w:gridSpan w:val="3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本年处理决定数量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行政处罚</w:t>
            </w:r>
          </w:p>
        </w:tc>
        <w:tc>
          <w:tcPr>
            <w:tcW w:w="6338" w:type="dxa"/>
            <w:gridSpan w:val="3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both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　</w:t>
            </w: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行政强制</w:t>
            </w:r>
          </w:p>
        </w:tc>
        <w:tc>
          <w:tcPr>
            <w:tcW w:w="6338" w:type="dxa"/>
            <w:gridSpan w:val="3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　</w:t>
            </w: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4"/>
                <w:szCs w:val="24"/>
                <w:lang w:bidi="ar"/>
              </w:rPr>
              <w:t>第二十条第（八）项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信息内容</w:t>
            </w:r>
          </w:p>
        </w:tc>
        <w:tc>
          <w:tcPr>
            <w:tcW w:w="6338" w:type="dxa"/>
            <w:gridSpan w:val="3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本年收费金额（单位：万元）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行政事业性收费</w:t>
            </w:r>
          </w:p>
        </w:tc>
        <w:tc>
          <w:tcPr>
            <w:tcW w:w="6338" w:type="dxa"/>
            <w:gridSpan w:val="3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spacing w:before="62" w:beforeLines="10" w:after="62" w:afterLines="10" w:line="600" w:lineRule="exact"/>
        <w:ind w:firstLine="642" w:firstLineChars="200"/>
        <w:rPr>
          <w:rFonts w:hint="default" w:ascii="Times New Roman" w:hAnsi="Times New Roman" w:eastAsia="方正黑体简体" w:cs="Times New Roman"/>
          <w:b/>
          <w:sz w:val="32"/>
          <w:szCs w:val="32"/>
        </w:rPr>
      </w:pPr>
      <w:r>
        <w:rPr>
          <w:rFonts w:hint="default" w:ascii="Times New Roman" w:hAnsi="Times New Roman" w:eastAsia="方正黑体简体" w:cs="Times New Roman"/>
          <w:b/>
          <w:sz w:val="32"/>
          <w:szCs w:val="32"/>
        </w:rPr>
        <w:t>三、收到和处理政府信息公开申请情况</w:t>
      </w:r>
    </w:p>
    <w:tbl>
      <w:tblPr>
        <w:tblStyle w:val="3"/>
        <w:tblW w:w="88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2"/>
        <w:gridCol w:w="2878"/>
        <w:gridCol w:w="791"/>
        <w:gridCol w:w="599"/>
        <w:gridCol w:w="590"/>
        <w:gridCol w:w="598"/>
        <w:gridCol w:w="571"/>
        <w:gridCol w:w="559"/>
        <w:gridCol w:w="5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vMerge w:val="restart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229" w:type="dxa"/>
            <w:gridSpan w:val="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申请人情况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</w:p>
        </w:tc>
        <w:tc>
          <w:tcPr>
            <w:tcW w:w="791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自然人</w:t>
            </w:r>
          </w:p>
        </w:tc>
        <w:tc>
          <w:tcPr>
            <w:tcW w:w="2917" w:type="dxa"/>
            <w:gridSpan w:val="5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法人或其他组织</w:t>
            </w:r>
          </w:p>
        </w:tc>
        <w:tc>
          <w:tcPr>
            <w:tcW w:w="521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791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商业</w:t>
            </w: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企业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科研</w:t>
            </w: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机构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社会公益组织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法律服务机构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其他</w:t>
            </w:r>
          </w:p>
        </w:tc>
        <w:tc>
          <w:tcPr>
            <w:tcW w:w="521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  <w:jc w:val="center"/>
        </w:trPr>
        <w:tc>
          <w:tcPr>
            <w:tcW w:w="4588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一、本年新收政府信息公开申请数量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  <w:jc w:val="center"/>
        </w:trPr>
        <w:tc>
          <w:tcPr>
            <w:tcW w:w="4588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二、上年结转政府信息公开申请数量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三、本年度办理结果</w:t>
            </w:r>
          </w:p>
        </w:tc>
        <w:tc>
          <w:tcPr>
            <w:tcW w:w="3820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（一）予以公开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3820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（二）部分公开（区分处理的，只计这一情形，不计其他情形）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（三）不予公开</w:t>
            </w: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1.属于国家秘密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2.其他法律行政法规禁止公开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3.危及“三安全一稳定”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4.保护第三方合法权益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5.属于三类内部事务信息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6.属于四类过程性信息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7.属于行政执法案卷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8.属于行政查询事项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（四）无法提供</w:t>
            </w: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1.本机关不掌握相关政府信息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2.没有现成信息需要另行制作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3.补正后申请内容仍不明确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（五）不予处理</w:t>
            </w: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1.信访举报投诉类申请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2.重复申请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3.要求提供公开出版物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4.无正当理由大量反复申请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5.要求行政机关确认或重新出具已获取信息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（六）其他处理</w:t>
            </w: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3.其他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3820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（七）总计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四、结转下年度继续办理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</w:tr>
    </w:tbl>
    <w:p>
      <w:pPr>
        <w:spacing w:line="590" w:lineRule="exact"/>
        <w:ind w:right="-100" w:rightChars="-50" w:firstLine="642" w:firstLineChars="200"/>
        <w:rPr>
          <w:rFonts w:hint="default" w:ascii="Times New Roman" w:hAnsi="Times New Roman" w:eastAsia="方正黑体简体" w:cs="Times New Roman"/>
          <w:b/>
          <w:sz w:val="32"/>
          <w:szCs w:val="32"/>
        </w:rPr>
      </w:pPr>
      <w:r>
        <w:rPr>
          <w:rFonts w:hint="default" w:ascii="Times New Roman" w:hAnsi="Times New Roman" w:eastAsia="方正黑体简体" w:cs="Times New Roman"/>
          <w:b/>
          <w:sz w:val="32"/>
          <w:szCs w:val="32"/>
        </w:rPr>
        <w:t>四、政府信息公开行政复议、行政诉讼情况</w:t>
      </w:r>
    </w:p>
    <w:tbl>
      <w:tblPr>
        <w:tblStyle w:val="3"/>
        <w:tblW w:w="8810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5"/>
        <w:gridCol w:w="621"/>
        <w:gridCol w:w="600"/>
        <w:gridCol w:w="591"/>
        <w:gridCol w:w="461"/>
        <w:gridCol w:w="649"/>
        <w:gridCol w:w="649"/>
        <w:gridCol w:w="650"/>
        <w:gridCol w:w="636"/>
        <w:gridCol w:w="426"/>
        <w:gridCol w:w="650"/>
        <w:gridCol w:w="650"/>
        <w:gridCol w:w="650"/>
        <w:gridCol w:w="555"/>
        <w:gridCol w:w="407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8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行政复议</w:t>
            </w:r>
          </w:p>
        </w:tc>
        <w:tc>
          <w:tcPr>
            <w:tcW w:w="5922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结果维持</w:t>
            </w:r>
          </w:p>
        </w:tc>
        <w:tc>
          <w:tcPr>
            <w:tcW w:w="62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结果</w:t>
            </w:r>
          </w:p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纠正</w:t>
            </w:r>
          </w:p>
        </w:tc>
        <w:tc>
          <w:tcPr>
            <w:tcW w:w="60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其他</w:t>
            </w: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结果</w:t>
            </w:r>
          </w:p>
        </w:tc>
        <w:tc>
          <w:tcPr>
            <w:tcW w:w="59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尚未</w:t>
            </w: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审结</w:t>
            </w:r>
          </w:p>
        </w:tc>
        <w:tc>
          <w:tcPr>
            <w:tcW w:w="46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总计</w:t>
            </w:r>
          </w:p>
        </w:tc>
        <w:tc>
          <w:tcPr>
            <w:tcW w:w="30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未经复议直接起诉</w:t>
            </w:r>
          </w:p>
        </w:tc>
        <w:tc>
          <w:tcPr>
            <w:tcW w:w="291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40" w:leftChars="-20" w:right="-40" w:rightChars="-20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</w:p>
        </w:tc>
        <w:tc>
          <w:tcPr>
            <w:tcW w:w="62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40" w:leftChars="-20" w:right="-40" w:rightChars="-20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</w:p>
        </w:tc>
        <w:tc>
          <w:tcPr>
            <w:tcW w:w="60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40" w:leftChars="-20" w:right="-40" w:rightChars="-20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</w:p>
        </w:tc>
        <w:tc>
          <w:tcPr>
            <w:tcW w:w="59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40" w:leftChars="-20" w:right="-40" w:rightChars="-20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</w:p>
        </w:tc>
        <w:tc>
          <w:tcPr>
            <w:tcW w:w="46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40" w:leftChars="-20" w:right="-40" w:rightChars="-20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结果</w:t>
            </w: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结果</w:t>
            </w: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其他</w:t>
            </w: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结果</w:t>
            </w:r>
          </w:p>
        </w:tc>
        <w:tc>
          <w:tcPr>
            <w:tcW w:w="6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尚未</w:t>
            </w: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审结</w:t>
            </w:r>
          </w:p>
        </w:tc>
        <w:tc>
          <w:tcPr>
            <w:tcW w:w="4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总计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结果</w:t>
            </w: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维持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结果</w:t>
            </w: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其他</w:t>
            </w: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结果</w:t>
            </w:r>
          </w:p>
        </w:tc>
        <w:tc>
          <w:tcPr>
            <w:tcW w:w="5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尚未</w:t>
            </w: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审结</w:t>
            </w:r>
          </w:p>
        </w:tc>
        <w:tc>
          <w:tcPr>
            <w:tcW w:w="4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6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6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4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40" w:leftChars="-20" w:right="-40" w:rightChars="-20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</w:tr>
    </w:tbl>
    <w:p>
      <w:pPr>
        <w:spacing w:line="590" w:lineRule="exact"/>
        <w:ind w:right="-100" w:rightChars="-50" w:firstLine="642" w:firstLineChars="200"/>
        <w:rPr>
          <w:rFonts w:hint="default" w:ascii="Times New Roman" w:hAnsi="Times New Roman" w:eastAsia="方正黑体简体" w:cs="Times New Roman"/>
          <w:b/>
          <w:sz w:val="32"/>
          <w:szCs w:val="32"/>
        </w:rPr>
      </w:pPr>
      <w:r>
        <w:rPr>
          <w:rFonts w:hint="default" w:ascii="Times New Roman" w:hAnsi="Times New Roman" w:eastAsia="方正黑体简体" w:cs="Times New Roman"/>
          <w:b/>
          <w:sz w:val="32"/>
          <w:szCs w:val="32"/>
        </w:rPr>
        <w:t>五、存在的主要问题及改进情况</w:t>
      </w:r>
    </w:p>
    <w:p>
      <w:pPr>
        <w:spacing w:line="590" w:lineRule="exact"/>
        <w:ind w:right="-100" w:rightChars="-50" w:firstLine="642" w:firstLineChars="200"/>
        <w:rPr>
          <w:rFonts w:hint="default" w:ascii="Times New Roman" w:hAnsi="Times New Roman" w:eastAsia="方正仿宋简体" w:cs="Times New Roman"/>
          <w:b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sz w:val="32"/>
          <w:szCs w:val="32"/>
        </w:rPr>
        <w:t>202</w:t>
      </w:r>
      <w:r>
        <w:rPr>
          <w:rFonts w:hint="eastAsia" w:eastAsia="方正仿宋简体" w:cs="Times New Roman"/>
          <w:b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简体" w:cs="Times New Roman"/>
          <w:b/>
          <w:sz w:val="32"/>
          <w:szCs w:val="32"/>
        </w:rPr>
        <w:t>年，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济宁市地震监测中心</w:t>
      </w:r>
      <w:r>
        <w:rPr>
          <w:rFonts w:hint="default" w:ascii="Times New Roman" w:hAnsi="Times New Roman" w:eastAsia="方正仿宋简体" w:cs="Times New Roman"/>
          <w:b/>
          <w:sz w:val="32"/>
          <w:szCs w:val="32"/>
        </w:rPr>
        <w:t>政府信息公开工作</w:t>
      </w:r>
      <w:r>
        <w:rPr>
          <w:rFonts w:hint="default" w:ascii="Times New Roman" w:hAnsi="Times New Roman" w:eastAsia="方正仿宋简体" w:cs="Times New Roman"/>
          <w:b/>
          <w:sz w:val="32"/>
          <w:szCs w:val="32"/>
          <w:lang w:val="en-US" w:eastAsia="zh-CN"/>
        </w:rPr>
        <w:t>不足之处</w:t>
      </w:r>
      <w:r>
        <w:rPr>
          <w:rFonts w:hint="default" w:ascii="Times New Roman" w:hAnsi="Times New Roman" w:eastAsia="方正仿宋简体" w:cs="Times New Roman"/>
          <w:b/>
          <w:sz w:val="32"/>
          <w:szCs w:val="32"/>
        </w:rPr>
        <w:t>：一是</w:t>
      </w:r>
      <w:r>
        <w:rPr>
          <w:rFonts w:hint="default" w:ascii="Times New Roman" w:hAnsi="Times New Roman" w:eastAsia="方正仿宋简体" w:cs="Times New Roman"/>
          <w:b/>
          <w:sz w:val="32"/>
          <w:szCs w:val="32"/>
          <w:lang w:val="en-US" w:eastAsia="zh-CN"/>
        </w:rPr>
        <w:t>政府信息公开的时效性、针对性还不强</w:t>
      </w:r>
      <w:r>
        <w:rPr>
          <w:rFonts w:hint="eastAsia" w:eastAsia="方正仿宋简体" w:cs="Times New Roman"/>
          <w:b/>
          <w:sz w:val="32"/>
          <w:szCs w:val="32"/>
          <w:lang w:val="en-US" w:eastAsia="zh-CN"/>
        </w:rPr>
        <w:t>，工作亮点提取不够；</w:t>
      </w:r>
      <w:r>
        <w:rPr>
          <w:rFonts w:hint="default" w:ascii="Times New Roman" w:hAnsi="Times New Roman" w:eastAsia="方正仿宋简体" w:cs="Times New Roman"/>
          <w:b/>
          <w:sz w:val="32"/>
          <w:szCs w:val="32"/>
        </w:rPr>
        <w:t>二</w:t>
      </w:r>
      <w:r>
        <w:rPr>
          <w:rFonts w:hint="default" w:ascii="Times New Roman" w:hAnsi="Times New Roman" w:eastAsia="方正仿宋简体" w:cs="Times New Roman"/>
          <w:b/>
          <w:sz w:val="32"/>
          <w:szCs w:val="32"/>
          <w:lang w:val="en-US" w:eastAsia="zh-CN"/>
        </w:rPr>
        <w:t>是解读工作专业化、多元化程度有待加强，专家类、媒体类解读不够丰富。</w:t>
      </w:r>
      <w:bookmarkStart w:id="0" w:name="_GoBack"/>
      <w:bookmarkEnd w:id="0"/>
    </w:p>
    <w:p>
      <w:pPr>
        <w:spacing w:line="590" w:lineRule="exact"/>
        <w:ind w:right="-100" w:rightChars="-50" w:firstLine="642" w:firstLineChars="200"/>
        <w:rPr>
          <w:rFonts w:hint="default" w:ascii="Times New Roman" w:hAnsi="Times New Roman" w:eastAsia="方正仿宋简体" w:cs="Times New Roman"/>
          <w:b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sz w:val="32"/>
          <w:szCs w:val="32"/>
          <w:lang w:val="en-US" w:eastAsia="zh-CN"/>
        </w:rPr>
        <w:t>下一步，</w:t>
      </w:r>
      <w:r>
        <w:rPr>
          <w:rFonts w:hint="default" w:ascii="Times New Roman" w:hAnsi="Times New Roman" w:eastAsia="方正仿宋简体" w:cs="Times New Roman"/>
          <w:b/>
          <w:sz w:val="32"/>
          <w:szCs w:val="32"/>
        </w:rPr>
        <w:t>市地震监测中心将</w:t>
      </w:r>
      <w:r>
        <w:rPr>
          <w:rFonts w:hint="default" w:ascii="Times New Roman" w:hAnsi="Times New Roman" w:eastAsia="方正仿宋简体" w:cs="Times New Roman"/>
          <w:b/>
          <w:sz w:val="32"/>
          <w:szCs w:val="32"/>
          <w:lang w:val="en-US" w:eastAsia="zh-CN"/>
        </w:rPr>
        <w:t>严格按照《中华人民共和国政府信息公开条例》做好有关内容的公开工作，做到及时、主动公开，应公开事项全部公开</w:t>
      </w:r>
      <w:r>
        <w:rPr>
          <w:rFonts w:hint="eastAsia" w:eastAsia="方正仿宋简体" w:cs="Times New Roman"/>
          <w:b/>
          <w:sz w:val="32"/>
          <w:szCs w:val="32"/>
          <w:lang w:val="en-US" w:eastAsia="zh-CN"/>
        </w:rPr>
        <w:t>；</w:t>
      </w:r>
      <w:r>
        <w:rPr>
          <w:rFonts w:hint="default" w:ascii="Times New Roman" w:hAnsi="Times New Roman" w:eastAsia="方正仿宋简体" w:cs="Times New Roman"/>
          <w:b/>
          <w:sz w:val="32"/>
          <w:szCs w:val="32"/>
          <w:lang w:val="en-US" w:eastAsia="zh-CN"/>
        </w:rPr>
        <w:t>进一步</w:t>
      </w:r>
      <w:r>
        <w:rPr>
          <w:rFonts w:hint="eastAsia" w:eastAsia="方正仿宋简体" w:cs="Times New Roman"/>
          <w:b/>
          <w:sz w:val="32"/>
          <w:szCs w:val="32"/>
          <w:lang w:val="en-US" w:eastAsia="zh-CN"/>
        </w:rPr>
        <w:t>提升</w:t>
      </w:r>
      <w:r>
        <w:rPr>
          <w:rFonts w:hint="default" w:ascii="Times New Roman" w:hAnsi="Times New Roman" w:eastAsia="方正仿宋简体" w:cs="Times New Roman"/>
          <w:b/>
          <w:sz w:val="32"/>
          <w:szCs w:val="32"/>
          <w:lang w:val="en-US" w:eastAsia="zh-CN"/>
        </w:rPr>
        <w:t>政府信息公开人员</w:t>
      </w:r>
      <w:r>
        <w:rPr>
          <w:rFonts w:hint="eastAsia" w:eastAsia="方正仿宋简体" w:cs="Times New Roman"/>
          <w:b/>
          <w:sz w:val="32"/>
          <w:szCs w:val="32"/>
          <w:lang w:val="en-US" w:eastAsia="zh-CN"/>
        </w:rPr>
        <w:t>力量</w:t>
      </w:r>
      <w:r>
        <w:rPr>
          <w:rFonts w:hint="default" w:ascii="Times New Roman" w:hAnsi="Times New Roman" w:eastAsia="方正仿宋简体" w:cs="Times New Roman"/>
          <w:b/>
          <w:sz w:val="32"/>
          <w:szCs w:val="32"/>
          <w:lang w:val="en-US" w:eastAsia="zh-CN"/>
        </w:rPr>
        <w:t>，加大培训学习力度，提升政府信息公开人员业务素养；同时加强创新突破</w:t>
      </w:r>
      <w:r>
        <w:rPr>
          <w:rFonts w:hint="eastAsia" w:eastAsia="方正仿宋简体" w:cs="Times New Roman"/>
          <w:b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方正仿宋简体" w:cs="Times New Roman"/>
          <w:b/>
          <w:sz w:val="32"/>
          <w:szCs w:val="32"/>
          <w:lang w:val="en-US" w:eastAsia="zh-CN"/>
        </w:rPr>
        <w:t>围绕防震减灾主责主业，加大信息公开和科普宣传力度，优化公开形式，提升公开内容质效，不断提升全市防震避震意识和自救互救能力。</w:t>
      </w:r>
    </w:p>
    <w:p>
      <w:pPr>
        <w:spacing w:line="590" w:lineRule="exact"/>
        <w:ind w:right="-100" w:rightChars="-50" w:firstLine="642" w:firstLineChars="200"/>
        <w:rPr>
          <w:rFonts w:hint="default" w:ascii="Times New Roman" w:hAnsi="Times New Roman" w:eastAsia="方正黑体简体" w:cs="Times New Roman"/>
          <w:b/>
          <w:sz w:val="32"/>
          <w:szCs w:val="32"/>
          <w:lang w:eastAsia="zh-CN"/>
        </w:rPr>
      </w:pPr>
      <w:r>
        <w:rPr>
          <w:rFonts w:hint="default" w:ascii="Times New Roman" w:hAnsi="Times New Roman" w:eastAsia="方正黑体简体" w:cs="Times New Roman"/>
          <w:b/>
          <w:sz w:val="32"/>
          <w:szCs w:val="32"/>
        </w:rPr>
        <w:t>六、其他需要报告的事项</w:t>
      </w:r>
    </w:p>
    <w:p>
      <w:pPr>
        <w:spacing w:line="590" w:lineRule="exact"/>
        <w:ind w:right="-100" w:rightChars="-50" w:firstLine="642" w:firstLineChars="200"/>
        <w:rPr>
          <w:rFonts w:hint="eastAsia" w:ascii="方正仿宋简体" w:eastAsia="方正仿宋简体"/>
          <w:b/>
          <w:sz w:val="32"/>
          <w:szCs w:val="32"/>
        </w:rPr>
      </w:pPr>
      <w:r>
        <w:rPr>
          <w:rFonts w:hint="eastAsia" w:ascii="方正仿宋简体" w:eastAsia="方正仿宋简体"/>
          <w:b/>
          <w:sz w:val="32"/>
          <w:szCs w:val="32"/>
        </w:rPr>
        <w:t>（一）</w:t>
      </w:r>
      <w:r>
        <w:rPr>
          <w:rFonts w:hint="eastAsia" w:ascii="方正仿宋简体" w:eastAsia="方正仿宋简体"/>
          <w:b/>
          <w:sz w:val="32"/>
          <w:szCs w:val="32"/>
          <w:lang w:val="en-US" w:eastAsia="zh-CN"/>
        </w:rPr>
        <w:t>本中心2022年度无收取政府信息公开信息处理费的情况。</w:t>
      </w:r>
    </w:p>
    <w:p>
      <w:pPr>
        <w:spacing w:line="590" w:lineRule="exact"/>
        <w:ind w:right="-100" w:rightChars="-50" w:firstLine="642" w:firstLineChars="200"/>
        <w:rPr>
          <w:rFonts w:hint="eastAsia" w:ascii="方正仿宋简体" w:eastAsia="方正仿宋简体"/>
          <w:b/>
          <w:sz w:val="32"/>
          <w:szCs w:val="32"/>
          <w:lang w:eastAsia="zh-CN"/>
        </w:rPr>
      </w:pPr>
      <w:r>
        <w:rPr>
          <w:rFonts w:hint="eastAsia" w:ascii="方正仿宋简体" w:eastAsia="方正仿宋简体"/>
          <w:b/>
          <w:sz w:val="32"/>
          <w:szCs w:val="32"/>
        </w:rPr>
        <w:t>（</w:t>
      </w:r>
      <w:r>
        <w:rPr>
          <w:rFonts w:hint="eastAsia" w:ascii="方正仿宋简体" w:eastAsia="方正仿宋简体"/>
          <w:b/>
          <w:sz w:val="32"/>
          <w:szCs w:val="32"/>
          <w:lang w:val="en-US" w:eastAsia="zh-CN"/>
        </w:rPr>
        <w:t>二</w:t>
      </w:r>
      <w:r>
        <w:rPr>
          <w:rFonts w:hint="eastAsia" w:ascii="方正仿宋简体" w:eastAsia="方正仿宋简体"/>
          <w:b/>
          <w:sz w:val="32"/>
          <w:szCs w:val="32"/>
        </w:rPr>
        <w:t>）本</w:t>
      </w:r>
      <w:r>
        <w:rPr>
          <w:rFonts w:hint="eastAsia" w:ascii="方正仿宋简体" w:eastAsia="方正仿宋简体"/>
          <w:b/>
          <w:sz w:val="32"/>
          <w:szCs w:val="32"/>
          <w:lang w:val="en-US" w:eastAsia="zh-CN"/>
        </w:rPr>
        <w:t>中心全部</w:t>
      </w:r>
      <w:r>
        <w:rPr>
          <w:rFonts w:hint="eastAsia" w:ascii="方正仿宋简体" w:eastAsia="方正仿宋简体"/>
          <w:b/>
          <w:sz w:val="32"/>
          <w:szCs w:val="32"/>
        </w:rPr>
        <w:t>落实上级年度政务公开工作要点</w:t>
      </w:r>
      <w:r>
        <w:rPr>
          <w:rFonts w:hint="eastAsia" w:ascii="方正仿宋简体" w:eastAsia="方正仿宋简体"/>
          <w:b/>
          <w:sz w:val="32"/>
          <w:szCs w:val="32"/>
          <w:lang w:val="en-US" w:eastAsia="zh-CN"/>
        </w:rPr>
        <w:t>事项</w:t>
      </w:r>
      <w:r>
        <w:rPr>
          <w:rFonts w:hint="eastAsia" w:ascii="方正仿宋简体" w:eastAsia="方正仿宋简体"/>
          <w:b/>
          <w:sz w:val="32"/>
          <w:szCs w:val="32"/>
          <w:lang w:eastAsia="zh-CN"/>
        </w:rPr>
        <w:t>。</w:t>
      </w:r>
    </w:p>
    <w:p>
      <w:pPr>
        <w:spacing w:line="590" w:lineRule="exact"/>
        <w:ind w:right="-100" w:rightChars="-50" w:firstLine="642" w:firstLineChars="200"/>
        <w:rPr>
          <w:rFonts w:hint="eastAsia" w:ascii="方正仿宋简体" w:eastAsia="方正仿宋简体"/>
          <w:b/>
          <w:sz w:val="32"/>
          <w:szCs w:val="32"/>
          <w:lang w:eastAsia="zh-CN"/>
        </w:rPr>
      </w:pPr>
      <w:r>
        <w:rPr>
          <w:rFonts w:hint="eastAsia" w:ascii="方正仿宋简体" w:eastAsia="方正仿宋简体"/>
          <w:b/>
          <w:sz w:val="32"/>
          <w:szCs w:val="32"/>
          <w:lang w:eastAsia="zh-CN"/>
        </w:rPr>
        <w:t>根据《2022年济宁市政务公开工作任务分解表》制定部门政务公开工作实施方案及年度政务公开重点工作台账，严格责任分工，细化工作任务，明确措施要求，确保各项工作落实落细，目前，2022年重点工作已全部按要求完成。</w:t>
      </w:r>
    </w:p>
    <w:p>
      <w:pPr>
        <w:spacing w:line="590" w:lineRule="exact"/>
        <w:ind w:right="-100" w:rightChars="-50" w:firstLine="642" w:firstLineChars="200"/>
        <w:rPr>
          <w:rFonts w:hint="default" w:ascii="方正仿宋简体" w:eastAsia="方正仿宋简体"/>
          <w:b/>
          <w:sz w:val="32"/>
          <w:szCs w:val="32"/>
          <w:lang w:val="en-US" w:eastAsia="zh-CN"/>
        </w:rPr>
      </w:pPr>
      <w:r>
        <w:rPr>
          <w:rFonts w:hint="eastAsia" w:ascii="方正仿宋简体" w:eastAsia="方正仿宋简体"/>
          <w:b/>
          <w:sz w:val="32"/>
          <w:szCs w:val="32"/>
          <w:lang w:val="en-US" w:eastAsia="zh-CN"/>
        </w:rPr>
        <w:t>（三）政务公开创新情况。 一是加强政务公开与业务工作联系紧密度，高标准搭建政策宣传解读平台，引入网格员等社会力量参与，开展政策解读进社区等系列活动，增加群众政策知晓度；二是加大现有平台公开力度，通过政府网站、微信公众号等形式及时公开部门会议、专题会议等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地震领域重点</w:t>
      </w:r>
      <w:r>
        <w:rPr>
          <w:rFonts w:hint="eastAsia" w:ascii="方正仿宋简体" w:eastAsia="方正仿宋简体"/>
          <w:b/>
          <w:sz w:val="32"/>
          <w:szCs w:val="32"/>
          <w:lang w:val="en-US" w:eastAsia="zh-CN"/>
        </w:rPr>
        <w:t>信息。</w:t>
      </w:r>
    </w:p>
    <w:p>
      <w:pPr>
        <w:spacing w:line="590" w:lineRule="exact"/>
        <w:ind w:right="-100" w:rightChars="-50" w:firstLine="642" w:firstLineChars="200"/>
        <w:rPr>
          <w:rFonts w:hint="eastAsia" w:ascii="方正仿宋简体" w:eastAsia="方正仿宋简体"/>
          <w:b/>
          <w:sz w:val="32"/>
          <w:szCs w:val="32"/>
          <w:lang w:eastAsia="zh-CN"/>
        </w:rPr>
      </w:pPr>
      <w:r>
        <w:rPr>
          <w:rFonts w:hint="eastAsia" w:ascii="方正仿宋简体" w:eastAsia="方正仿宋简体"/>
          <w:b/>
          <w:sz w:val="32"/>
          <w:szCs w:val="32"/>
          <w:lang w:eastAsia="zh-CN"/>
        </w:rPr>
        <w:t>（四）</w:t>
      </w:r>
      <w:r>
        <w:rPr>
          <w:rFonts w:hint="eastAsia" w:ascii="方正仿宋简体" w:eastAsia="方正仿宋简体"/>
          <w:b/>
          <w:sz w:val="32"/>
          <w:szCs w:val="32"/>
        </w:rPr>
        <w:t>本</w:t>
      </w:r>
      <w:r>
        <w:rPr>
          <w:rFonts w:hint="eastAsia" w:ascii="方正仿宋简体" w:eastAsia="方正仿宋简体"/>
          <w:b/>
          <w:sz w:val="32"/>
          <w:szCs w:val="32"/>
          <w:lang w:val="en-US" w:eastAsia="zh-CN"/>
        </w:rPr>
        <w:t>中心2022年度未受理</w:t>
      </w:r>
      <w:r>
        <w:rPr>
          <w:rFonts w:hint="eastAsia" w:ascii="方正仿宋简体" w:eastAsia="方正仿宋简体"/>
          <w:b/>
          <w:sz w:val="32"/>
          <w:szCs w:val="32"/>
        </w:rPr>
        <w:t>人大代表建议和政协提案</w:t>
      </w:r>
      <w:r>
        <w:rPr>
          <w:rFonts w:hint="eastAsia" w:ascii="方正仿宋简体" w:eastAsia="方正仿宋简体"/>
          <w:b/>
          <w:sz w:val="32"/>
          <w:szCs w:val="32"/>
          <w:lang w:eastAsia="zh-CN"/>
        </w:rPr>
        <w:t>。</w:t>
      </w:r>
    </w:p>
    <w:p>
      <w:pPr>
        <w:spacing w:line="590" w:lineRule="exact"/>
        <w:ind w:right="-100" w:rightChars="-50" w:firstLine="642" w:firstLineChars="200"/>
        <w:rPr>
          <w:rFonts w:hint="eastAsia" w:ascii="方正仿宋简体" w:eastAsia="方正仿宋简体"/>
          <w:b/>
          <w:sz w:val="32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altName w:val="方正仿宋_GBK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方正小标宋简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楷体简体">
    <w:altName w:val="方正楷体_GBK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altName w:val="方正黑体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5130DB"/>
    <w:rsid w:val="0270686F"/>
    <w:rsid w:val="03353615"/>
    <w:rsid w:val="0341645D"/>
    <w:rsid w:val="06140C54"/>
    <w:rsid w:val="077C7A64"/>
    <w:rsid w:val="07F10452"/>
    <w:rsid w:val="08931509"/>
    <w:rsid w:val="08C94F2B"/>
    <w:rsid w:val="0A8C6210"/>
    <w:rsid w:val="0C2C3F43"/>
    <w:rsid w:val="0C394176"/>
    <w:rsid w:val="0DB22432"/>
    <w:rsid w:val="1272218F"/>
    <w:rsid w:val="12B72298"/>
    <w:rsid w:val="13961EAE"/>
    <w:rsid w:val="139E579D"/>
    <w:rsid w:val="13EE3A98"/>
    <w:rsid w:val="14DA3930"/>
    <w:rsid w:val="150D619F"/>
    <w:rsid w:val="17B172B6"/>
    <w:rsid w:val="18AB01A9"/>
    <w:rsid w:val="19702439"/>
    <w:rsid w:val="1A7D4463"/>
    <w:rsid w:val="1B122762"/>
    <w:rsid w:val="1C4C57FF"/>
    <w:rsid w:val="1D9565D3"/>
    <w:rsid w:val="1D9C27B6"/>
    <w:rsid w:val="1E8F5E77"/>
    <w:rsid w:val="211A411E"/>
    <w:rsid w:val="21A659B2"/>
    <w:rsid w:val="240370EB"/>
    <w:rsid w:val="267E5B7D"/>
    <w:rsid w:val="27427F2B"/>
    <w:rsid w:val="27D52B4D"/>
    <w:rsid w:val="28B57959"/>
    <w:rsid w:val="2C136339"/>
    <w:rsid w:val="2C776297"/>
    <w:rsid w:val="2D8A262B"/>
    <w:rsid w:val="2FA71273"/>
    <w:rsid w:val="30F5600E"/>
    <w:rsid w:val="3126266B"/>
    <w:rsid w:val="321B733C"/>
    <w:rsid w:val="33DE722D"/>
    <w:rsid w:val="35633E8E"/>
    <w:rsid w:val="36627EBA"/>
    <w:rsid w:val="36A64CF3"/>
    <w:rsid w:val="39B747A8"/>
    <w:rsid w:val="3C6D26CD"/>
    <w:rsid w:val="3D7D7146"/>
    <w:rsid w:val="3EB5FE6F"/>
    <w:rsid w:val="3EFB5137"/>
    <w:rsid w:val="3F2D2E17"/>
    <w:rsid w:val="3FEFE43F"/>
    <w:rsid w:val="41AD3B01"/>
    <w:rsid w:val="44676DCB"/>
    <w:rsid w:val="458C4D3B"/>
    <w:rsid w:val="46DA7D28"/>
    <w:rsid w:val="46E97F6B"/>
    <w:rsid w:val="4A842484"/>
    <w:rsid w:val="4B6D116B"/>
    <w:rsid w:val="4D5A74CD"/>
    <w:rsid w:val="50C779B3"/>
    <w:rsid w:val="52CA6EA2"/>
    <w:rsid w:val="53794425"/>
    <w:rsid w:val="55913F00"/>
    <w:rsid w:val="576C0528"/>
    <w:rsid w:val="583B7EFB"/>
    <w:rsid w:val="5AB53F94"/>
    <w:rsid w:val="5B130E01"/>
    <w:rsid w:val="5B174C4F"/>
    <w:rsid w:val="5D5C9C5E"/>
    <w:rsid w:val="5E190CDE"/>
    <w:rsid w:val="5F7148C6"/>
    <w:rsid w:val="62593D9F"/>
    <w:rsid w:val="62EE2739"/>
    <w:rsid w:val="639E1F8A"/>
    <w:rsid w:val="65A13A93"/>
    <w:rsid w:val="65DC0F6F"/>
    <w:rsid w:val="6C124653"/>
    <w:rsid w:val="6FF15617"/>
    <w:rsid w:val="70D64830"/>
    <w:rsid w:val="71922E29"/>
    <w:rsid w:val="728E35F1"/>
    <w:rsid w:val="729D3834"/>
    <w:rsid w:val="741E6BF6"/>
    <w:rsid w:val="754206C3"/>
    <w:rsid w:val="75A31161"/>
    <w:rsid w:val="763B2DDD"/>
    <w:rsid w:val="78801C2E"/>
    <w:rsid w:val="7A213719"/>
    <w:rsid w:val="7BF7C50A"/>
    <w:rsid w:val="7CE303AB"/>
    <w:rsid w:val="7DDE0D10"/>
    <w:rsid w:val="7EFCDCAE"/>
    <w:rsid w:val="B7FFC5D4"/>
    <w:rsid w:val="B93B7F7D"/>
    <w:rsid w:val="BFD629E5"/>
    <w:rsid w:val="DECB5D2C"/>
    <w:rsid w:val="DFFE0467"/>
    <w:rsid w:val="E8BF0BFA"/>
    <w:rsid w:val="EDEBF077"/>
    <w:rsid w:val="FBFF5BCF"/>
    <w:rsid w:val="FDFB130B"/>
    <w:rsid w:val="FEDFD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chart" Target="charts/chart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3" Type="http://schemas.microsoft.com/office/2011/relationships/chartColorStyle" Target="colors1.xml"/><Relationship Id="rId2" Type="http://schemas.microsoft.com/office/2011/relationships/chartStyle" Target="style1.xml"/><Relationship Id="rId1" Type="http://schemas.openxmlformats.org/officeDocument/2006/relationships/oleObject" Target="/home/thtf/Desktop/2022&#24180;&#24230;&#20449;&#24687;&#20844;&#24320;&#21344;&#27604;.et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false"/>
  <c:lang val="zh-CN"/>
  <c:roundedCorners val="false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true"/>
          <a:lstStyle/>
          <a:p>
            <a:pPr defTabSz="914400"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sz="1800" b="1"/>
              <a:t>2022年度政府信息公开发布情况占比</a:t>
            </a:r>
            <a:endParaRPr sz="1800" b="1"/>
          </a:p>
        </c:rich>
      </c:tx>
      <c:layout/>
      <c:overlay val="false"/>
      <c:spPr>
        <a:noFill/>
        <a:ln>
          <a:noFill/>
        </a:ln>
        <a:effectLst/>
      </c:spPr>
    </c:title>
    <c:autoTitleDeleted val="false"/>
    <c:plotArea>
      <c:layout>
        <c:manualLayout>
          <c:layoutTarget val="inner"/>
          <c:xMode val="edge"/>
          <c:yMode val="edge"/>
          <c:x val="0.181833086824322"/>
          <c:y val="0.124248937355498"/>
          <c:w val="0.615384615384615"/>
          <c:h val="0.808641152153621"/>
        </c:manualLayout>
      </c:layout>
      <c:pieChart>
        <c:varyColors val="true"/>
        <c:ser>
          <c:idx val="0"/>
          <c:order val="0"/>
          <c:tx>
            <c:strRef>
              <c:f>[2022年度信息公开占比.et]Sheet1!$A$2</c:f>
              <c:strCache>
                <c:ptCount val="1"/>
                <c:pt idx="0">
                  <c:v>2022年度政府信息公开发布情况占比</c:v>
                </c:pt>
              </c:strCache>
            </c:strRef>
          </c:tx>
          <c:spPr/>
          <c:explosion val="0"/>
          <c:dPt>
            <c:idx val="0"/>
            <c:bubble3D val="false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false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false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false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4"/>
            <c:bubble3D val="false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5"/>
            <c:bubble3D val="false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6"/>
            <c:bubble3D val="false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-0.0625941167267646"/>
                  <c:y val="0.144831117462234"/>
                </c:manualLayout>
              </c:layout>
              <c:tx>
                <c:rich>
                  <a:bodyPr rot="0" spcFirstLastPara="0" vertOverflow="ellipsis" vert="horz" wrap="square" lIns="38100" tIns="19050" rIns="38100" bIns="19050" anchor="ctr" anchorCtr="true"/>
                  <a:lstStyle/>
                  <a:p>
                    <a:pPr defTabSz="914400">
                      <a:defRPr lang="zh-CN" sz="9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t>法规文件</a:t>
                    </a:r>
                    <a:r>
                      <a:rPr lang="en-US" altLang="zh-CN"/>
                      <a:t>   </a:t>
                    </a:r>
                    <a:r>
                      <a:t>12.73%</a:t>
                    </a:r>
                  </a:p>
                </c:rich>
              </c:tx>
              <c:dLblPos val="bestFit"/>
              <c:showLegendKey val="false"/>
              <c:showVal val="false"/>
              <c:showCatName val="false"/>
              <c:showSerName val="false"/>
              <c:showPercent val="true"/>
              <c:showBubbleSize val="false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0.230447792785844"/>
                  <c:y val="0.068470610327417"/>
                </c:manualLayout>
              </c:layout>
              <c:tx>
                <c:rich>
                  <a:bodyPr rot="0" spcFirstLastPara="0" vertOverflow="ellipsis" vert="horz" wrap="square" lIns="38100" tIns="19050" rIns="38100" bIns="19050" anchor="ctr" anchorCtr="true"/>
                  <a:lstStyle/>
                  <a:p>
                    <a:pPr defTabSz="914400">
                      <a:defRPr lang="zh-CN" sz="9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t>部门会议</a:t>
                    </a:r>
                    <a:r>
                      <a:rPr altLang="en-US"/>
                      <a:t>，</a:t>
                    </a:r>
                    <a:r>
                      <a:t>14.55%</a:t>
                    </a:r>
                  </a:p>
                </c:rich>
              </c:tx>
              <c:dLblPos val="bestFit"/>
              <c:showLegendKey val="false"/>
              <c:showVal val="false"/>
              <c:showCatName val="false"/>
              <c:showSerName val="false"/>
              <c:showPercent val="true"/>
              <c:showBubbleSize val="false"/>
              <c:extLst>
                <c:ext xmlns:c15="http://schemas.microsoft.com/office/drawing/2012/chart" uri="{CE6537A1-D6FC-4f65-9D91-7224C49458BB}">
                  <c15:layout>
                    <c:manualLayout>
                      <c:w val="0.217760015596062"/>
                      <c:h val="0.0311541184800566"/>
                    </c:manualLayout>
                  </c15:layout>
                </c:ext>
              </c:extLst>
            </c:dLbl>
            <c:dLbl>
              <c:idx val="2"/>
              <c:layout>
                <c:manualLayout>
                  <c:x val="-0.184208443783582"/>
                  <c:y val="-0.100260979643845"/>
                </c:manualLayout>
              </c:layout>
              <c:tx>
                <c:rich>
                  <a:bodyPr rot="0" spcFirstLastPara="0" vertOverflow="ellipsis" vert="horz" wrap="square" lIns="38100" tIns="19050" rIns="38100" bIns="19050" anchor="ctr" anchorCtr="true"/>
                  <a:lstStyle/>
                  <a:p>
                    <a:pPr defTabSz="914400">
                      <a:defRPr lang="zh-CN" sz="9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t>财政预决算10.91%</a:t>
                    </a:r>
                  </a:p>
                </c:rich>
              </c:tx>
              <c:dLblPos val="bestFit"/>
              <c:showLegendKey val="false"/>
              <c:showVal val="false"/>
              <c:showCatName val="false"/>
              <c:showSerName val="false"/>
              <c:showPercent val="true"/>
              <c:showBubbleSize val="false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0.00297054557842848"/>
                  <c:y val="-0.00400716264242157"/>
                </c:manualLayout>
              </c:layout>
              <c:tx>
                <c:rich>
                  <a:bodyPr rot="0" spcFirstLastPara="0" vertOverflow="ellipsis" vert="horz" wrap="square" lIns="38100" tIns="19050" rIns="38100" bIns="19050" anchor="ctr" anchorCtr="true"/>
                  <a:lstStyle/>
                  <a:p>
                    <a:pPr defTabSz="914400">
                      <a:defRPr lang="zh-CN" sz="9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t>人事信息，1.82%</a:t>
                    </a:r>
                  </a:p>
                </c:rich>
              </c:tx>
              <c:dLblPos val="bestFit"/>
              <c:showLegendKey val="false"/>
              <c:showVal val="false"/>
              <c:showCatName val="false"/>
              <c:showSerName val="false"/>
              <c:showPercent val="true"/>
              <c:showBubbleSize val="false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0.240457628052573"/>
                  <c:y val="-0.0915211263162034"/>
                </c:manualLayout>
              </c:layout>
              <c:tx>
                <c:rich>
                  <a:bodyPr rot="0" spcFirstLastPara="0" vertOverflow="ellipsis" vert="horz" wrap="square" lIns="38100" tIns="19050" rIns="38100" bIns="19050" anchor="ctr" anchorCtr="true"/>
                  <a:lstStyle/>
                  <a:p>
                    <a:pPr defTabSz="914400">
                      <a:defRPr lang="zh-CN" sz="9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t>公共服务</a:t>
                    </a:r>
                    <a:r>
                      <a:rPr altLang="en-US"/>
                      <a:t>，</a:t>
                    </a:r>
                    <a:r>
                      <a:t>56.36%</a:t>
                    </a:r>
                  </a:p>
                </c:rich>
              </c:tx>
              <c:dLblPos val="bestFit"/>
              <c:showLegendKey val="false"/>
              <c:showVal val="false"/>
              <c:showCatName val="false"/>
              <c:showSerName val="false"/>
              <c:showPercent val="true"/>
              <c:showBubbleSize val="false"/>
              <c:extLst>
                <c:ext xmlns:c15="http://schemas.microsoft.com/office/drawing/2012/chart" uri="{CE6537A1-D6FC-4f65-9D91-7224C49458BB}">
                  <c15:layout>
                    <c:manualLayout>
                      <c:w val="0.218832244858173"/>
                      <c:h val="0.0308000944064196"/>
                    </c:manualLayout>
                  </c15:layout>
                </c:ext>
              </c:extLst>
            </c:dLbl>
            <c:dLbl>
              <c:idx val="5"/>
              <c:layout>
                <c:manualLayout>
                  <c:x val="-0.0565764149452927"/>
                  <c:y val="0.0110595875706293"/>
                </c:manualLayout>
              </c:layout>
              <c:tx>
                <c:rich>
                  <a:bodyPr rot="0" spcFirstLastPara="0" vertOverflow="ellipsis" vert="horz" wrap="square" lIns="38100" tIns="19050" rIns="38100" bIns="19050" anchor="ctr" anchorCtr="true"/>
                  <a:lstStyle/>
                  <a:p>
                    <a:pPr defTabSz="914400">
                      <a:defRPr lang="zh-CN" sz="9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t>建议提案，1.82%</a:t>
                    </a:r>
                  </a:p>
                </c:rich>
              </c:tx>
              <c:dLblPos val="bestFit"/>
              <c:showLegendKey val="false"/>
              <c:showVal val="false"/>
              <c:showCatName val="false"/>
              <c:showSerName val="false"/>
              <c:showPercent val="true"/>
              <c:showBubbleSize val="false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0.104958966863216"/>
                  <c:y val="0.0172408415383071"/>
                </c:manualLayout>
              </c:layout>
              <c:tx>
                <c:rich>
                  <a:bodyPr rot="0" spcFirstLastPara="0" vertOverflow="ellipsis" vert="horz" wrap="square" lIns="38100" tIns="19050" rIns="38100" bIns="19050" anchor="ctr" anchorCtr="true"/>
                  <a:lstStyle/>
                  <a:p>
                    <a:pPr defTabSz="914400">
                      <a:defRPr lang="zh-CN" sz="9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t>其他法定信息，1.82%</a:t>
                    </a:r>
                  </a:p>
                </c:rich>
              </c:tx>
              <c:dLblPos val="bestFit"/>
              <c:showLegendKey val="false"/>
              <c:showVal val="false"/>
              <c:showCatName val="false"/>
              <c:showSerName val="false"/>
              <c:showPercent val="true"/>
              <c:showBubbleSize val="false"/>
              <c:extLst>
                <c:ext xmlns:c15="http://schemas.microsoft.com/office/drawing/2012/chart" uri="{CE6537A1-D6FC-4f65-9D91-7224C49458BB}">
                  <c15:layout>
                    <c:manualLayout>
                      <c:w val="0.247782434935179"/>
                      <c:h val="0.0403587443946188"/>
                    </c:manualLayout>
                  </c15:layout>
                </c:ext>
              </c:extLst>
            </c:dLbl>
            <c:numFmt formatCode="0.00%" sourceLinked="false"/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true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inEnd"/>
            <c:showLegendKey val="false"/>
            <c:showVal val="false"/>
            <c:showCatName val="false"/>
            <c:showSerName val="false"/>
            <c:showPercent val="true"/>
            <c:showBubbleSize val="false"/>
            <c:showLeaderLines val="false"/>
            <c:extLst>
              <c:ext xmlns:c15="http://schemas.microsoft.com/office/drawing/2012/chart" uri="{CE6537A1-D6FC-4f65-9D91-7224C49458BB}">
                <c15:layout/>
                <c15:showLeaderLines val="false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[2022年度信息公开占比.et]Sheet1!$B$1:$H$1</c:f>
              <c:strCache>
                <c:ptCount val="7"/>
                <c:pt idx="0">
                  <c:v>法规文件</c:v>
                </c:pt>
                <c:pt idx="1">
                  <c:v>部门会议</c:v>
                </c:pt>
                <c:pt idx="2">
                  <c:v>财政预决算</c:v>
                </c:pt>
                <c:pt idx="3">
                  <c:v>人事信息</c:v>
                </c:pt>
                <c:pt idx="4">
                  <c:v>公共服务</c:v>
                </c:pt>
                <c:pt idx="5">
                  <c:v>建议提案</c:v>
                </c:pt>
                <c:pt idx="6">
                  <c:v>其他法定信息</c:v>
                </c:pt>
              </c:strCache>
            </c:strRef>
          </c:cat>
          <c:val>
            <c:numRef>
              <c:f>[2022年度信息公开占比.et]Sheet1!$B$2:$H$2</c:f>
              <c:numCache>
                <c:formatCode>General</c:formatCode>
                <c:ptCount val="7"/>
                <c:pt idx="0">
                  <c:v>7</c:v>
                </c:pt>
                <c:pt idx="1">
                  <c:v>8</c:v>
                </c:pt>
                <c:pt idx="2">
                  <c:v>6</c:v>
                </c:pt>
                <c:pt idx="3">
                  <c:v>1</c:v>
                </c:pt>
                <c:pt idx="4">
                  <c:v>31</c:v>
                </c:pt>
                <c:pt idx="5">
                  <c:v>1</c:v>
                </c:pt>
                <c:pt idx="6">
                  <c:v>1</c:v>
                </c:pt>
              </c:numCache>
            </c:numRef>
          </c:val>
        </c:ser>
        <c:dLbls>
          <c:showLegendKey val="false"/>
          <c:showVal val="false"/>
          <c:showCatName val="false"/>
          <c:showSerName val="false"/>
          <c:showPercent val="true"/>
          <c:showBubbleSize val="false"/>
          <c:showLeaderLines val="true"/>
        </c:dLbls>
        <c:firstSliceAng val="0"/>
      </c:pieChart>
      <c:spPr>
        <a:noFill/>
        <a:ln>
          <a:noFill/>
        </a:ln>
        <a:effectLst/>
      </c:spPr>
    </c:plotArea>
    <c:legend>
      <c:legendPos val="t"/>
      <c:layout>
        <c:manualLayout>
          <c:xMode val="edge"/>
          <c:yMode val="edge"/>
          <c:x val="0.0876940448560427"/>
          <c:y val="0.926729862372952"/>
        </c:manualLayout>
      </c:layout>
      <c:overlay val="false"/>
      <c:spPr>
        <a:noFill/>
        <a:ln>
          <a:noFill/>
        </a:ln>
        <a:effectLst/>
      </c:spPr>
      <c:txPr>
        <a:bodyPr rot="0" spcFirstLastPara="0" vertOverflow="ellipsis" vert="horz" wrap="square" anchor="ctr" anchorCtr="true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true"/>
    <c:dispBlanksAs val="gap"/>
    <c:showDLblsOverMax val="false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false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true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29</TotalTime>
  <ScaleCrop>false</ScaleCrop>
  <LinksUpToDate>false</LinksUpToDate>
  <CharactersWithSpaces>0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2022-01-02T05:55:00Z</dcterms:created>
  <dc:creator>admin</dc:creator>
  <cp:lastModifiedBy>thtf</cp:lastModifiedBy>
  <dcterms:modified xsi:type="dcterms:W3CDTF">2023-02-06T14:14:49Z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953913C113EB4D3C8179821ADD99E3B2</vt:lpwstr>
  </property>
</Properties>
</file>