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C30D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660" w:lineRule="exact"/>
        <w:ind w:left="0" w:right="0" w:firstLine="0" w:firstLineChars="0"/>
        <w:jc w:val="center"/>
        <w:rPr>
          <w:rStyle w:val="7"/>
          <w:rFonts w:hint="eastAsia" w:ascii="Times New Roman" w:hAnsi="Times New Roman" w:eastAsia="方正小标宋简体" w:cs="方正小标宋简体"/>
          <w:b/>
          <w:bCs/>
          <w:i w:val="0"/>
          <w:iCs w:val="0"/>
          <w:caps w:val="0"/>
          <w:color w:val="auto"/>
          <w:spacing w:val="0"/>
          <w:sz w:val="44"/>
          <w:szCs w:val="44"/>
        </w:rPr>
      </w:pPr>
      <w:r>
        <w:rPr>
          <w:rStyle w:val="7"/>
          <w:rFonts w:hint="eastAsia" w:ascii="Times New Roman" w:hAnsi="Times New Roman" w:eastAsia="方正小标宋简体" w:cs="方正小标宋简体"/>
          <w:b/>
          <w:bCs/>
          <w:i w:val="0"/>
          <w:iCs w:val="0"/>
          <w:caps w:val="0"/>
          <w:color w:val="auto"/>
          <w:spacing w:val="0"/>
          <w:sz w:val="44"/>
          <w:szCs w:val="44"/>
        </w:rPr>
        <w:t>济宁市文化和旅游局</w:t>
      </w:r>
    </w:p>
    <w:p w14:paraId="26BD918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660" w:lineRule="exact"/>
        <w:ind w:left="0" w:right="0" w:firstLine="0" w:firstLineChars="0"/>
        <w:jc w:val="center"/>
        <w:rPr>
          <w:rStyle w:val="7"/>
          <w:rFonts w:hint="eastAsia" w:ascii="Times New Roman" w:hAnsi="Times New Roman" w:eastAsia="方正小标宋简体" w:cs="方正小标宋简体"/>
          <w:b/>
          <w:bCs/>
          <w:i w:val="0"/>
          <w:iCs w:val="0"/>
          <w:caps w:val="0"/>
          <w:color w:val="auto"/>
          <w:spacing w:val="0"/>
          <w:sz w:val="44"/>
          <w:szCs w:val="44"/>
        </w:rPr>
      </w:pPr>
      <w:r>
        <w:rPr>
          <w:rStyle w:val="7"/>
          <w:rFonts w:hint="eastAsia" w:ascii="Times New Roman" w:hAnsi="Times New Roman" w:eastAsia="方正小标宋简体" w:cs="方正小标宋简体"/>
          <w:b/>
          <w:bCs/>
          <w:i w:val="0"/>
          <w:iCs w:val="0"/>
          <w:caps w:val="0"/>
          <w:color w:val="auto"/>
          <w:spacing w:val="0"/>
          <w:sz w:val="44"/>
          <w:szCs w:val="44"/>
        </w:rPr>
        <w:t>202</w:t>
      </w:r>
      <w:r>
        <w:rPr>
          <w:rStyle w:val="7"/>
          <w:rFonts w:hint="eastAsia" w:ascii="Times New Roman" w:hAnsi="Times New Roman" w:eastAsia="方正小标宋简体" w:cs="方正小标宋简体"/>
          <w:b/>
          <w:bCs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  <w:t>5</w:t>
      </w:r>
      <w:r>
        <w:rPr>
          <w:rStyle w:val="7"/>
          <w:rFonts w:hint="eastAsia" w:ascii="Times New Roman" w:hAnsi="Times New Roman" w:eastAsia="方正小标宋简体" w:cs="方正小标宋简体"/>
          <w:b/>
          <w:bCs/>
          <w:i w:val="0"/>
          <w:iCs w:val="0"/>
          <w:caps w:val="0"/>
          <w:color w:val="auto"/>
          <w:spacing w:val="0"/>
          <w:sz w:val="44"/>
          <w:szCs w:val="44"/>
        </w:rPr>
        <w:t>年政府信息公开工作年度报告</w:t>
      </w:r>
    </w:p>
    <w:p w14:paraId="04A9F87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30"/>
        <w:jc w:val="both"/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</w:pPr>
    </w:p>
    <w:p w14:paraId="456C5E9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29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  <w:t>根据《中华人民共和国政府信息公开条例》《山东省政府信息公开办法》《关于做好2025年政府信息公开工作年度报告编制和发布工作的通知》要求，结合我局工作实际，编制并向社会公布本报告。报告包括总体情况、主动公开政府信息情况、收到和处理政府信息公开申请情况、政府信息公开行政复议和行政诉讼情况、存在的主要问题及改进情况、其他需要报告的事项等六个部分，所列数据统计期限自2025年1月1日起至2025年12月31日止。如对本报告有疑问，请与济宁市文化和旅游局联系（地址：济宁市太白湖新区省运指挥中心</w:t>
      </w:r>
      <w:r>
        <w:rPr>
          <w:rStyle w:val="7"/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1"/>
          <w:szCs w:val="31"/>
        </w:rPr>
        <w:t>A0633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  <w:t>，联系电话：</w:t>
      </w:r>
      <w:r>
        <w:rPr>
          <w:rStyle w:val="7"/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1"/>
          <w:szCs w:val="31"/>
        </w:rPr>
        <w:t>0537-2312260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  <w:t>）。</w:t>
      </w:r>
    </w:p>
    <w:p w14:paraId="630C753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29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default" w:ascii="Times New Roman" w:hAnsi="Times New Roman" w:eastAsia="方正黑体简体" w:cs="Times New Roman"/>
          <w:i w:val="0"/>
          <w:iCs w:val="0"/>
          <w:caps w:val="0"/>
          <w:color w:val="auto"/>
          <w:spacing w:val="0"/>
          <w:sz w:val="31"/>
          <w:szCs w:val="31"/>
        </w:rPr>
        <w:t>一、总体情况</w:t>
      </w:r>
    </w:p>
    <w:p w14:paraId="1088FB9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29"/>
        <w:jc w:val="both"/>
        <w:textAlignment w:val="auto"/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</w:pP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  <w:t>2025年，市文化和旅游局锚定“</w:t>
      </w:r>
      <w:r>
        <w:rPr>
          <w:rStyle w:val="7"/>
          <w:rFonts w:hint="eastAsia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lang w:val="en-US" w:eastAsia="zh-CN"/>
        </w:rPr>
        <w:t>建设世界文化旅游名城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  <w:t>”核心目标，深入贯彻《2025年山东省政务公开工作要点》部署，以“标准化数字化提升+文旅场景深度融合”为双引擎，推动政务公开从“被动回应”向“主动服务”、从“信息发布”向“价值赋能”转型。全年聚焦文旅深度融合、文旅消费提振、文化遗产传承等重点工作，构建“政策公开精准化、服务公开场景化、互动公开常态化”工作体系，让政务阳光贯穿文旅发展全链条，为</w:t>
      </w:r>
      <w:r>
        <w:rPr>
          <w:rStyle w:val="7"/>
          <w:rFonts w:hint="eastAsia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lang w:val="en-US" w:eastAsia="zh-CN"/>
        </w:rPr>
        <w:t>政府政务公开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  <w:t>建设注入文旅公开新动能。</w:t>
      </w:r>
    </w:p>
    <w:p w14:paraId="48C51D6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29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default" w:ascii="Times New Roman" w:hAnsi="Times New Roman" w:eastAsia="楷体" w:cs="Times New Roman"/>
          <w:i w:val="0"/>
          <w:iCs w:val="0"/>
          <w:caps w:val="0"/>
          <w:color w:val="auto"/>
          <w:spacing w:val="0"/>
          <w:sz w:val="31"/>
          <w:szCs w:val="31"/>
        </w:rPr>
        <w:t>（一）主动公开政府信息情况</w:t>
      </w:r>
    </w:p>
    <w:p w14:paraId="007790B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29"/>
        <w:jc w:val="both"/>
        <w:textAlignment w:val="auto"/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</w:pP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  <w:t>202</w:t>
      </w:r>
      <w:r>
        <w:rPr>
          <w:rStyle w:val="7"/>
          <w:rFonts w:hint="eastAsia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lang w:val="en-US" w:eastAsia="zh-CN"/>
        </w:rPr>
        <w:t>5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  <w:t>年度，济宁市文化和旅游局聚焦社会公众关切与核心职能，精准划定主动公开范围，系统细化公开事项清单，明确公开内容、时限与责任主体。2025年主动公开各类政府信息</w:t>
      </w:r>
      <w:r>
        <w:rPr>
          <w:rStyle w:val="7"/>
          <w:rFonts w:hint="eastAsia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lang w:val="en-US" w:eastAsia="zh-CN"/>
        </w:rPr>
        <w:t>75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  <w:t>条，公开内容全面涵盖政策文件、执法监管、财政预决算、人事任免等关键领域。依托政府门户网站、政务新媒体等载体，精准推送信息，同时拓宽线下公开渠道，确保信息全方位、精准化触达。通</w:t>
      </w:r>
      <w:r>
        <w:rPr>
          <w:rStyle w:val="7"/>
          <w:rFonts w:hint="eastAsia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lang w:eastAsia="zh-CN"/>
        </w:rPr>
        <w:t>过一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  <w:t>系列举措，切实以公开促规范、以公开促服务、以公开提升治理效能，实现政务信息发布量质双提升。</w:t>
      </w:r>
    </w:p>
    <w:p w14:paraId="65E7402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29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default" w:ascii="Times New Roman" w:hAnsi="Times New Roman" w:eastAsia="楷体" w:cs="Times New Roman"/>
          <w:i w:val="0"/>
          <w:iCs w:val="0"/>
          <w:caps w:val="0"/>
          <w:color w:val="auto"/>
          <w:spacing w:val="0"/>
          <w:sz w:val="31"/>
          <w:szCs w:val="31"/>
        </w:rPr>
        <w:t>（二）依申请公开政府信息情况</w:t>
      </w:r>
    </w:p>
    <w:p w14:paraId="7E48C78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29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1"/>
          <w:szCs w:val="31"/>
        </w:rPr>
        <w:t>202</w:t>
      </w:r>
      <w:r>
        <w:rPr>
          <w:rStyle w:val="7"/>
          <w:rFonts w:hint="eastAsia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lang w:val="en-US" w:eastAsia="zh-CN"/>
        </w:rPr>
        <w:t>5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  <w:t>年度，济宁市文化和旅游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</w:rPr>
        <w:t>局在</w:t>
      </w:r>
      <w:r>
        <w:rPr>
          <w:rStyle w:val="7"/>
          <w:rFonts w:hint="eastAsia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lang w:eastAsia="zh-CN"/>
        </w:rPr>
        <w:t>全市依申请公开平台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</w:rPr>
        <w:t>共收到</w:t>
      </w:r>
      <w:r>
        <w:rPr>
          <w:rStyle w:val="7"/>
          <w:rFonts w:hint="eastAsia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lang w:val="en-US" w:eastAsia="zh-CN"/>
        </w:rPr>
        <w:t>3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</w:rPr>
        <w:t>条政府信息公开申请，均在法定期限内进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  <w:t>行了答复。202</w:t>
      </w:r>
      <w:r>
        <w:rPr>
          <w:rStyle w:val="7"/>
          <w:rFonts w:hint="eastAsia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lang w:val="en-US" w:eastAsia="zh-CN"/>
        </w:rPr>
        <w:t>5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  <w:t>年度，市文化和旅游局未发生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</w:rPr>
        <w:t>因</w:t>
      </w:r>
      <w:r>
        <w:rPr>
          <w:rStyle w:val="7"/>
          <w:rFonts w:hint="eastAsia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lang w:val="en-US" w:eastAsia="zh-CN"/>
        </w:rPr>
        <w:t>政府信息公开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</w:rPr>
        <w:t>引起的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  <w:t>行政诉讼和行政复议。</w:t>
      </w:r>
    </w:p>
    <w:p w14:paraId="6C8D600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29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default" w:ascii="Times New Roman" w:hAnsi="Times New Roman" w:eastAsia="楷体" w:cs="Times New Roman"/>
          <w:i w:val="0"/>
          <w:iCs w:val="0"/>
          <w:caps w:val="0"/>
          <w:color w:val="auto"/>
          <w:spacing w:val="0"/>
          <w:sz w:val="31"/>
          <w:szCs w:val="31"/>
        </w:rPr>
        <w:t>（三）政府信息管理情况</w:t>
      </w:r>
    </w:p>
    <w:p w14:paraId="276CDE0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29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1"/>
          <w:szCs w:val="31"/>
        </w:rPr>
        <w:t>202</w:t>
      </w:r>
      <w:r>
        <w:rPr>
          <w:rStyle w:val="7"/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31"/>
          <w:szCs w:val="31"/>
          <w:lang w:val="en-US" w:eastAsia="zh-CN"/>
        </w:rPr>
        <w:t>5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  <w:t>年，市文化和旅游局健全“源头认定+分级审查+动态更新”管理机制，实现“文件生成即明确公开属性”。严格落实保密审查制度，对公开信息实行“三审三校”，全年无涉密信息泄露情况。</w:t>
      </w:r>
    </w:p>
    <w:p w14:paraId="0CB4B62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29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default" w:ascii="Times New Roman" w:hAnsi="Times New Roman" w:eastAsia="楷体" w:cs="Times New Roman"/>
          <w:i w:val="0"/>
          <w:iCs w:val="0"/>
          <w:caps w:val="0"/>
          <w:color w:val="auto"/>
          <w:spacing w:val="0"/>
          <w:sz w:val="31"/>
          <w:szCs w:val="31"/>
        </w:rPr>
        <w:t>（四）平台建设</w:t>
      </w:r>
    </w:p>
    <w:p w14:paraId="744A265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29"/>
        <w:jc w:val="both"/>
        <w:textAlignment w:val="auto"/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</w:pP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  <w:t>2025年，济宁市文化和旅游局持续强化文旅宣传推广与信息发布工作，线上多平台协同发力</w:t>
      </w:r>
      <w:r>
        <w:rPr>
          <w:rStyle w:val="7"/>
          <w:rFonts w:hint="eastAsia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lang w:eastAsia="zh-CN"/>
        </w:rPr>
        <w:t>。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  <w:t>政务微信“济宁文旅”推送文旅资讯1940条，阅读量达200余万人次，局网站发布信息814条，政务微博发布文旅活动及提示信息2140条、阅读量超1000万，局门户网站更新行业动态及服务信息736条，头条号推送文旅宣传内容1980条，各平台形成宣传合力，有效扩大了济宁文旅的传播覆盖面；线下以新闻发布会为重要载体做好信息解读与主题推介，全年共召开新闻发布会12次，涵盖“十四五”时期济宁市文化和旅游高质量发展、“绿色低碳高质量发展看济宁”文旅专场、“促消费 惠民生”文旅专场、2025年济宁市美食联赛、济宁市聚力打造中华研学旅游示范高地等多个主题，全方位、多角度展示了济宁文旅发展成果与特色亮点。</w:t>
      </w:r>
    </w:p>
    <w:p w14:paraId="6015737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29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default" w:ascii="Times New Roman" w:hAnsi="Times New Roman" w:eastAsia="楷体" w:cs="Times New Roman"/>
          <w:i w:val="0"/>
          <w:iCs w:val="0"/>
          <w:caps w:val="0"/>
          <w:color w:val="auto"/>
          <w:spacing w:val="0"/>
          <w:sz w:val="31"/>
          <w:szCs w:val="31"/>
        </w:rPr>
        <w:t>（五）监督保障</w:t>
      </w:r>
    </w:p>
    <w:p w14:paraId="21F658F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29"/>
        <w:jc w:val="both"/>
        <w:textAlignment w:val="auto"/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</w:rPr>
      </w:pP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</w:rPr>
        <w:t>健全常态化监督保障机制，压实工作责任，提升执行效能。一是强化组织领导，明确局办公室牵头，各业务科室分工协作的工作体系，将政务公开工作纳入年度重点工作部署，定期研究解决工作推进中的难点堵点问题。二是提升专业能力，组织政务公开专题培训，邀请专家围绕《</w:t>
      </w:r>
      <w:r>
        <w:rPr>
          <w:rStyle w:val="7"/>
          <w:rFonts w:hint="eastAsia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lang w:eastAsia="zh-CN"/>
        </w:rPr>
        <w:t>中华人民共和国政府信息公开条例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</w:rPr>
        <w:t>》解读、依申请公开办理规范、政策解读技巧等核心内容授课，全面提升工作人员业务水平。</w:t>
      </w:r>
    </w:p>
    <w:p w14:paraId="1B992C1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3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Fonts w:hint="default" w:ascii="Times New Roman" w:hAnsi="Times New Roman" w:eastAsia="方正黑体简体" w:cs="Times New Roman"/>
          <w:b/>
          <w:bCs/>
          <w:i w:val="0"/>
          <w:iCs w:val="0"/>
          <w:caps w:val="0"/>
          <w:color w:val="auto"/>
          <w:spacing w:val="0"/>
          <w:sz w:val="31"/>
          <w:szCs w:val="31"/>
        </w:rPr>
        <w:t>二、</w:t>
      </w:r>
      <w:r>
        <w:rPr>
          <w:rStyle w:val="7"/>
          <w:rFonts w:hint="default" w:ascii="Times New Roman" w:hAnsi="Times New Roman" w:eastAsia="方正黑体简体" w:cs="Times New Roman"/>
          <w:i w:val="0"/>
          <w:iCs w:val="0"/>
          <w:caps w:val="0"/>
          <w:color w:val="auto"/>
          <w:spacing w:val="0"/>
          <w:sz w:val="31"/>
          <w:szCs w:val="31"/>
        </w:rPr>
        <w:t>主动公开政府信息情况</w:t>
      </w:r>
    </w:p>
    <w:tbl>
      <w:tblPr>
        <w:tblStyle w:val="5"/>
        <w:tblW w:w="115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96"/>
        <w:gridCol w:w="2696"/>
        <w:gridCol w:w="2696"/>
        <w:gridCol w:w="3432"/>
      </w:tblGrid>
      <w:tr w14:paraId="47F3A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12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9AABF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第二十条第（一）项</w:t>
            </w:r>
          </w:p>
        </w:tc>
      </w:tr>
      <w:tr w14:paraId="46005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26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EC013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C3A24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本年制发件数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C2082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本年废止件数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D79FF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现行有效件数</w:t>
            </w:r>
          </w:p>
        </w:tc>
      </w:tr>
      <w:tr w14:paraId="7E436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26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20468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规章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88D3F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　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0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5F239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　0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8E904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0</w:t>
            </w:r>
          </w:p>
        </w:tc>
      </w:tr>
      <w:tr w14:paraId="7C003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26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BB0C5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行政规范性文件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E76A3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　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0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519C3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　0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0B9E9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0</w:t>
            </w:r>
          </w:p>
        </w:tc>
      </w:tr>
      <w:tr w14:paraId="549B9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128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C807F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第二十条第（五）项</w:t>
            </w:r>
          </w:p>
        </w:tc>
      </w:tr>
      <w:tr w14:paraId="5CB91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26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5B1E8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840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FDC87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本年处理决定数量</w:t>
            </w:r>
          </w:p>
        </w:tc>
      </w:tr>
      <w:tr w14:paraId="55D76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  <w:jc w:val="center"/>
        </w:trPr>
        <w:tc>
          <w:tcPr>
            <w:tcW w:w="26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2342B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行政许可</w:t>
            </w:r>
          </w:p>
        </w:tc>
        <w:tc>
          <w:tcPr>
            <w:tcW w:w="8400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0A31D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1962</w:t>
            </w:r>
          </w:p>
        </w:tc>
      </w:tr>
      <w:tr w14:paraId="0968C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128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9D632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第二十条第（六）项</w:t>
            </w:r>
          </w:p>
        </w:tc>
      </w:tr>
      <w:tr w14:paraId="2FEB4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26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BFA26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840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A902B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本年处理决定数量</w:t>
            </w:r>
          </w:p>
        </w:tc>
      </w:tr>
      <w:tr w14:paraId="48D0D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26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7B9B6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行政处罚</w:t>
            </w:r>
          </w:p>
        </w:tc>
        <w:tc>
          <w:tcPr>
            <w:tcW w:w="8400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3F608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12</w:t>
            </w:r>
          </w:p>
        </w:tc>
      </w:tr>
      <w:tr w14:paraId="5AEE7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26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75BD2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行政强制</w:t>
            </w:r>
          </w:p>
        </w:tc>
        <w:tc>
          <w:tcPr>
            <w:tcW w:w="8400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3898B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033E0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128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14292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第二十条第（八）项</w:t>
            </w:r>
          </w:p>
        </w:tc>
      </w:tr>
      <w:tr w14:paraId="2D7B2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26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B8878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840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C122E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本年收费金额（单位：万元）</w:t>
            </w:r>
          </w:p>
        </w:tc>
      </w:tr>
      <w:tr w14:paraId="3E871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26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290C7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行政事业性收费</w:t>
            </w:r>
          </w:p>
        </w:tc>
        <w:tc>
          <w:tcPr>
            <w:tcW w:w="8400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0B255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5BB388B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600" w:lineRule="exact"/>
        <w:ind w:left="0" w:right="0" w:firstLine="63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Fonts w:hint="default" w:ascii="Times New Roman" w:hAnsi="Times New Roman" w:eastAsia="方正黑体简体" w:cs="Times New Roman"/>
          <w:b/>
          <w:bCs/>
          <w:i w:val="0"/>
          <w:iCs w:val="0"/>
          <w:caps w:val="0"/>
          <w:color w:val="auto"/>
          <w:spacing w:val="0"/>
          <w:sz w:val="31"/>
          <w:szCs w:val="31"/>
        </w:rPr>
        <w:t>三、</w:t>
      </w:r>
      <w:r>
        <w:rPr>
          <w:rStyle w:val="7"/>
          <w:rFonts w:hint="default" w:ascii="Times New Roman" w:hAnsi="Times New Roman" w:eastAsia="方正黑体简体" w:cs="Times New Roman"/>
          <w:i w:val="0"/>
          <w:iCs w:val="0"/>
          <w:caps w:val="0"/>
          <w:color w:val="auto"/>
          <w:spacing w:val="0"/>
          <w:sz w:val="31"/>
          <w:szCs w:val="31"/>
        </w:rPr>
        <w:t>收到和处理政府信息公开申请情况</w:t>
      </w:r>
    </w:p>
    <w:tbl>
      <w:tblPr>
        <w:tblStyle w:val="5"/>
        <w:tblW w:w="991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0"/>
        <w:gridCol w:w="1657"/>
        <w:gridCol w:w="2969"/>
        <w:gridCol w:w="719"/>
        <w:gridCol w:w="563"/>
        <w:gridCol w:w="563"/>
        <w:gridCol w:w="721"/>
        <w:gridCol w:w="692"/>
        <w:gridCol w:w="564"/>
        <w:gridCol w:w="837"/>
      </w:tblGrid>
      <w:tr w14:paraId="32E2364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5256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D6D31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1"/>
                <w:szCs w:val="21"/>
              </w:rPr>
              <w:t>（本列数据的勾稽关系为：第一项加第二项之和，</w:t>
            </w:r>
          </w:p>
          <w:p w14:paraId="7AC3083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1"/>
                <w:szCs w:val="21"/>
              </w:rPr>
              <w:t>等于第三项加第四项之和）</w:t>
            </w:r>
          </w:p>
        </w:tc>
        <w:tc>
          <w:tcPr>
            <w:tcW w:w="465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E687E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申请人情况</w:t>
            </w:r>
          </w:p>
        </w:tc>
      </w:tr>
      <w:tr w14:paraId="5EA7C8E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5256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9C93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71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CBC48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自然人</w:t>
            </w:r>
          </w:p>
        </w:tc>
        <w:tc>
          <w:tcPr>
            <w:tcW w:w="310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1077B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法人或其他组织</w:t>
            </w:r>
          </w:p>
        </w:tc>
        <w:tc>
          <w:tcPr>
            <w:tcW w:w="8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6DB8E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总计</w:t>
            </w:r>
          </w:p>
        </w:tc>
      </w:tr>
      <w:tr w14:paraId="3B1EC0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  <w:jc w:val="center"/>
        </w:trPr>
        <w:tc>
          <w:tcPr>
            <w:tcW w:w="5256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81FE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D8DA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56F56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商业企业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969F7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科研机构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53D54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社会公益组织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60484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法律服务机构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2060A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其他</w:t>
            </w:r>
          </w:p>
        </w:tc>
        <w:tc>
          <w:tcPr>
            <w:tcW w:w="8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0C95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14:paraId="3C2DBD8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  <w:jc w:val="center"/>
        </w:trPr>
        <w:tc>
          <w:tcPr>
            <w:tcW w:w="52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0D9BA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BCA4A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139FC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254A6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89B18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ED69C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08E7D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A7A5F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</w:tr>
      <w:tr w14:paraId="67955FF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  <w:jc w:val="center"/>
        </w:trPr>
        <w:tc>
          <w:tcPr>
            <w:tcW w:w="52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AD86F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53E43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E1B05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FB2D0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3466F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70D80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C9EDB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8ADAB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4B98347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BDACE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三、本年度办理结果</w:t>
            </w:r>
          </w:p>
        </w:tc>
        <w:tc>
          <w:tcPr>
            <w:tcW w:w="46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405B9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（一）予以公开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6E525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2A2E1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E1300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C1FD1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F2F34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334BF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EBA3A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</w:t>
            </w:r>
            <w:bookmarkStart w:id="0" w:name="_GoBack"/>
            <w:bookmarkEnd w:id="0"/>
          </w:p>
        </w:tc>
      </w:tr>
      <w:tr w14:paraId="0323C2F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873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46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55020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D426C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52D10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B0271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67D6E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46AA8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10CB2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C820D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</w:tr>
      <w:tr w14:paraId="45B748C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519D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65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75BD5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（三）不予公开</w:t>
            </w:r>
          </w:p>
        </w:tc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316C8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1.属于国家秘密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EE9E6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18ACC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9794C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8AEFA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79C7D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6CE9D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1FAC4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</w:tr>
      <w:tr w14:paraId="21A3586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A409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6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421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5E123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2.其他法律行政法规禁止公开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12FB7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168C4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EC8E1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94A92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45AA6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5C8DA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66D0C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</w:tr>
      <w:tr w14:paraId="0E62543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4266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6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DDC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F4DEA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3.危及“三安全一稳定”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96190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BB92D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2657C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966A1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A34FB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6CE3A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C9E03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</w:tr>
      <w:tr w14:paraId="2A7F9CB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9C5D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6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EC3D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BE329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4.保护第三方合法权益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340C8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90B22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1F8F3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68BC3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CCB40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8C12D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2B89C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</w:tr>
      <w:tr w14:paraId="443D116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D0A5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6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69E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BE4DD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5.属于三类内部事务信息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A5C81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3F542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0B97F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1C9CB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71A3F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113AF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27A8C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</w:tr>
      <w:tr w14:paraId="02402F6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D6D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6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1132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36BE0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6.属于四类过程性信息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3539D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DCE88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C9B18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99E33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F5D8A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3B12A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14816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</w:tr>
      <w:tr w14:paraId="388518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1ABB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6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A2C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E9E8D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7.属于行政执法案卷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CACA5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E3C48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98833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D2B92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A1BF9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6DAFB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F6E10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</w:tr>
      <w:tr w14:paraId="7410860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7E09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6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5F91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06CD8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8.属于行政查询事项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88BE0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C9DF1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B538C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43BF2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D82A5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BD2AD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455E3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</w:tr>
      <w:tr w14:paraId="28B11A1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98E6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65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91D13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（四）无法提供</w:t>
            </w:r>
          </w:p>
        </w:tc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3B24E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1.本机关不掌握相关政府信息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43700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5D3B1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80CE7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CE433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F3FCB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54D86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88DE5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</w:tr>
      <w:tr w14:paraId="2F24C8D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C7B6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6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C860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3C979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2.没有现成信息需要另行制作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1D90E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0E528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07AAD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A8612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683D7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CE3A4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D3494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</w:tr>
      <w:tr w14:paraId="5962661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3C1E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6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091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98BE3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3.补正后申请内容仍不明确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0B3B3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23759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3E0CE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41511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2FD60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5246E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C98BF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</w:tr>
      <w:tr w14:paraId="55AF727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5539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65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927DC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（五）不予处理</w:t>
            </w:r>
          </w:p>
        </w:tc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CF52E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1.信访举报投诉类申请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2E5FC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4C05A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2F6A0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F39BB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292AF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813F5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F616D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</w:tr>
      <w:tr w14:paraId="55950CC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13AF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6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9436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3D032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2.重复申请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9E66C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0F986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F1C16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1D801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4BCAD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920D2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E658E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</w:tr>
      <w:tr w14:paraId="7725638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2863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6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AC3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482C5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3.要求提供公开出版物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69AAC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16B1C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C98E8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FEDAB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C6D8D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0C0F8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D1B50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</w:tr>
      <w:tr w14:paraId="665F17C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3081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6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4DE0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7B1CE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4.无正当理由大量反复申请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9F642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D5A55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8DFD4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DA9D0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C586C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624DB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4556B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</w:tr>
      <w:tr w14:paraId="12F7873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030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6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FA03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AFE63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5.要求行政机关确认或重新</w:t>
            </w:r>
          </w:p>
          <w:p w14:paraId="7BB47B4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19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出具已获取信息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936C0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D328A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C4A99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56565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1662A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531E2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F08ED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</w:tr>
      <w:tr w14:paraId="028A6D4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AF7E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65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DBCF9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（六）其他处理</w:t>
            </w:r>
          </w:p>
        </w:tc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346E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1.申请人无正当理由逾期不补正、行政机关不再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受理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其政府信息公开申请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FB724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538FF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9030E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83418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2CC7C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46B27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995DF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</w:tr>
      <w:tr w14:paraId="0FEF8A1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39F6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6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9218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ADC4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2.申请人逾期未按收费通知要求缴纳费用、行政机关不再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受理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其政府信息公开申请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C8557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A870F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FBD48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0A160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E5FF3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A3E8F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9EAE0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</w:tr>
      <w:tr w14:paraId="3CBAFE9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74F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6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E87B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76BB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3.其他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2561E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F5859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E2F54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ABC18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43E3C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8B04A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2D53B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</w:tr>
      <w:tr w14:paraId="200FCBB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A67C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46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54B83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（七）总计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BEBFA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592F3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8C141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55505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3E14F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EEFE9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B72EE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</w:tr>
      <w:tr w14:paraId="7B0E0FD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2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2342A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四、结转下年度继续办理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513B8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6E0E4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948A2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83D4C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2C323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57C08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61480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</w:t>
            </w:r>
          </w:p>
        </w:tc>
      </w:tr>
    </w:tbl>
    <w:p w14:paraId="094F5C0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3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default" w:ascii="Times New Roman" w:hAnsi="Times New Roman" w:eastAsia="方正黑体简体" w:cs="Times New Roman"/>
          <w:i w:val="0"/>
          <w:iCs w:val="0"/>
          <w:caps w:val="0"/>
          <w:color w:val="auto"/>
          <w:spacing w:val="0"/>
          <w:sz w:val="31"/>
          <w:szCs w:val="31"/>
        </w:rPr>
        <w:t>四、政府信息公开行政复议、行政诉讼情况</w:t>
      </w:r>
    </w:p>
    <w:tbl>
      <w:tblPr>
        <w:tblStyle w:val="5"/>
        <w:tblW w:w="880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3"/>
        <w:gridCol w:w="613"/>
        <w:gridCol w:w="598"/>
        <w:gridCol w:w="583"/>
        <w:gridCol w:w="480"/>
        <w:gridCol w:w="644"/>
        <w:gridCol w:w="644"/>
        <w:gridCol w:w="644"/>
        <w:gridCol w:w="629"/>
        <w:gridCol w:w="450"/>
        <w:gridCol w:w="644"/>
        <w:gridCol w:w="644"/>
        <w:gridCol w:w="644"/>
        <w:gridCol w:w="554"/>
        <w:gridCol w:w="421"/>
      </w:tblGrid>
      <w:tr w14:paraId="734404B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8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0F5BC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行政复议</w:t>
            </w:r>
          </w:p>
        </w:tc>
        <w:tc>
          <w:tcPr>
            <w:tcW w:w="5925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0A0EF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行政诉讼</w:t>
            </w:r>
          </w:p>
        </w:tc>
      </w:tr>
      <w:tr w14:paraId="04D3947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49EA8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结果维持</w:t>
            </w:r>
          </w:p>
        </w:tc>
        <w:tc>
          <w:tcPr>
            <w:tcW w:w="61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91CBC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结果</w:t>
            </w:r>
          </w:p>
          <w:p w14:paraId="17A68FB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D233D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其他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结果</w:t>
            </w:r>
          </w:p>
        </w:tc>
        <w:tc>
          <w:tcPr>
            <w:tcW w:w="58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DD510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尚未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审结</w:t>
            </w:r>
          </w:p>
        </w:tc>
        <w:tc>
          <w:tcPr>
            <w:tcW w:w="46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33C63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总计</w:t>
            </w:r>
          </w:p>
        </w:tc>
        <w:tc>
          <w:tcPr>
            <w:tcW w:w="301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E188F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未经复议直接起诉</w:t>
            </w:r>
          </w:p>
        </w:tc>
        <w:tc>
          <w:tcPr>
            <w:tcW w:w="291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101DF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复议后起诉</w:t>
            </w:r>
          </w:p>
        </w:tc>
      </w:tr>
      <w:tr w14:paraId="7AFCE63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BDA4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61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D502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BF3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58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56D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46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AD62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5C933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结果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维持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F345C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结果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纠正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F2096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其他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结果</w:t>
            </w:r>
          </w:p>
        </w:tc>
        <w:tc>
          <w:tcPr>
            <w:tcW w:w="6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BBA0D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尚未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审结</w:t>
            </w:r>
          </w:p>
        </w:tc>
        <w:tc>
          <w:tcPr>
            <w:tcW w:w="4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DD7FC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总计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98898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结果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维持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E0405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结果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纠正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A5A30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其他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结果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B4E2F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尚未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审结</w:t>
            </w:r>
          </w:p>
        </w:tc>
        <w:tc>
          <w:tcPr>
            <w:tcW w:w="4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E4D65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  <w:t>总计</w:t>
            </w:r>
          </w:p>
        </w:tc>
      </w:tr>
      <w:tr w14:paraId="45EC544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2A5A3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F6F9F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0C931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C9A6F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E9FF0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1EFFF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9B091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73E92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AD9F0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6A9BB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B3151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3B687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636E6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79FA7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C2BE5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</w:rPr>
              <w:t>0</w:t>
            </w:r>
          </w:p>
        </w:tc>
      </w:tr>
    </w:tbl>
    <w:p w14:paraId="3AD26B1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3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default" w:ascii="Times New Roman" w:hAnsi="Times New Roman" w:eastAsia="方正黑体简体" w:cs="Times New Roman"/>
          <w:i w:val="0"/>
          <w:iCs w:val="0"/>
          <w:caps w:val="0"/>
          <w:color w:val="auto"/>
          <w:spacing w:val="0"/>
          <w:sz w:val="31"/>
          <w:szCs w:val="31"/>
        </w:rPr>
        <w:t>五、存在的主要问题及改进情况</w:t>
      </w:r>
    </w:p>
    <w:p w14:paraId="6887C1F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Style w:val="7"/>
          <w:rFonts w:hint="eastAsia" w:ascii="Times New Roman" w:hAnsi="Times New Roman" w:eastAsia="方正楷体_GBK" w:cs="方正楷体_GBK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7"/>
          <w:rFonts w:hint="eastAsia" w:ascii="Times New Roman" w:hAnsi="Times New Roman" w:eastAsia="方正楷体_GBK" w:cs="方正楷体_GBK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（一）存在的主要问题</w:t>
      </w:r>
    </w:p>
    <w:p w14:paraId="115C8D7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30"/>
        <w:jc w:val="both"/>
        <w:textAlignment w:val="auto"/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</w:pP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  <w:t>一是依申请公开办理精细化程度有待加强，对复杂疑难申请的研判能力、沟通技巧不足</w:t>
      </w:r>
      <w:r>
        <w:rPr>
          <w:rStyle w:val="7"/>
          <w:rFonts w:hint="eastAsia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lang w:eastAsia="zh-CN"/>
        </w:rPr>
        <w:t>；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  <w:t>二是公开平台运维管理存在短板，政务新媒体原创内容精品化程度不高。</w:t>
      </w:r>
    </w:p>
    <w:p w14:paraId="4531706E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Style w:val="7"/>
          <w:rFonts w:hint="default" w:ascii="Times New Roman" w:hAnsi="Times New Roman" w:eastAsia="方正楷体_GBK" w:cs="方正楷体_GBK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7"/>
          <w:rFonts w:hint="default" w:ascii="Times New Roman" w:hAnsi="Times New Roman" w:eastAsia="方正楷体_GBK" w:cs="方正楷体_GBK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改进情况</w:t>
      </w:r>
    </w:p>
    <w:p w14:paraId="2E1E91B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22" w:firstLineChars="200"/>
        <w:jc w:val="both"/>
        <w:textAlignment w:val="auto"/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</w:pP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  <w:t>针对上述问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</w:rPr>
        <w:t>题，市</w:t>
      </w:r>
      <w:r>
        <w:rPr>
          <w:rStyle w:val="7"/>
          <w:rFonts w:hint="eastAsia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lang w:val="en-US" w:eastAsia="zh-CN"/>
        </w:rPr>
        <w:t>文旅局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</w:rPr>
        <w:t>将从以下方面推进整改提升：一是提升依申请办理质效，开展复杂申请会商研判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  <w:t>，强化答复文书说理，加强与申请人的沟通协商，推动从“依法答复”向“实质化解”转变</w:t>
      </w:r>
      <w:r>
        <w:rPr>
          <w:rStyle w:val="7"/>
          <w:rFonts w:hint="eastAsia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lang w:eastAsia="zh-CN"/>
        </w:rPr>
        <w:t>；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  <w:t>二是强化平台建设管理，加强政务新媒体内容策划，打造精品科普和政策宣传栏目。</w:t>
      </w:r>
    </w:p>
    <w:p w14:paraId="0695C6D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3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default" w:ascii="Times New Roman" w:hAnsi="Times New Roman" w:eastAsia="方正黑体简体" w:cs="Times New Roman"/>
          <w:i w:val="0"/>
          <w:iCs w:val="0"/>
          <w:caps w:val="0"/>
          <w:color w:val="auto"/>
          <w:spacing w:val="0"/>
          <w:sz w:val="31"/>
          <w:szCs w:val="31"/>
        </w:rPr>
        <w:t>六、其他需要报告的事项</w:t>
      </w:r>
    </w:p>
    <w:p w14:paraId="0886715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30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Style w:val="7"/>
          <w:rFonts w:hint="default" w:ascii="Times New Roman" w:hAnsi="Times New Roman" w:eastAsia="楷体" w:cs="Times New Roman"/>
          <w:i w:val="0"/>
          <w:iCs w:val="0"/>
          <w:caps w:val="0"/>
          <w:color w:val="auto"/>
          <w:spacing w:val="0"/>
          <w:sz w:val="31"/>
          <w:szCs w:val="31"/>
        </w:rPr>
        <w:t>（一）信息费收取情况</w:t>
      </w:r>
    </w:p>
    <w:p w14:paraId="7FD1F49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3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  <w:t>本年本机关未收取信息处理费。</w:t>
      </w:r>
    </w:p>
    <w:p w14:paraId="61AB486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3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default" w:ascii="Times New Roman" w:hAnsi="Times New Roman" w:eastAsia="楷体" w:cs="Times New Roman"/>
          <w:i w:val="0"/>
          <w:iCs w:val="0"/>
          <w:caps w:val="0"/>
          <w:color w:val="auto"/>
          <w:spacing w:val="0"/>
          <w:sz w:val="31"/>
          <w:szCs w:val="31"/>
        </w:rPr>
        <w:t>（二）市文化和旅游局落实上级年度政务公开工作要点情况</w:t>
      </w:r>
    </w:p>
    <w:p w14:paraId="7C180B8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00"/>
        <w:jc w:val="both"/>
        <w:textAlignment w:val="auto"/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</w:rPr>
      </w:pP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</w:rPr>
        <w:t>围绕新时代政务公开工作的部署要求，</w:t>
      </w:r>
      <w:r>
        <w:rPr>
          <w:rStyle w:val="7"/>
          <w:rFonts w:hint="eastAsia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lang w:val="en-US" w:eastAsia="zh-CN"/>
        </w:rPr>
        <w:t>按照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</w:rPr>
        <w:t>《关于印发济宁市贯彻落实202</w:t>
      </w:r>
      <w:r>
        <w:rPr>
          <w:rStyle w:val="7"/>
          <w:rFonts w:hint="eastAsia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lang w:val="en-US" w:eastAsia="zh-CN"/>
        </w:rPr>
        <w:t>5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</w:rPr>
        <w:t>年山东省政务公开工作要点任务分解表的通知》</w:t>
      </w:r>
      <w:r>
        <w:rPr>
          <w:rStyle w:val="7"/>
          <w:rFonts w:hint="eastAsia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lang w:val="en-US" w:eastAsia="zh-CN"/>
        </w:rPr>
        <w:t>责任分工，</w:t>
      </w: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</w:rPr>
        <w:t>结合自身职能和业务实际，扎实推进政府公开标准化建设，优化主动公开机制，坚持常态化公开，及时公开政府信息。</w:t>
      </w:r>
    </w:p>
    <w:p w14:paraId="3707412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0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default" w:ascii="Times New Roman" w:hAnsi="Times New Roman" w:eastAsia="楷体" w:cs="Times New Roman"/>
          <w:i w:val="0"/>
          <w:iCs w:val="0"/>
          <w:caps w:val="0"/>
          <w:color w:val="auto"/>
          <w:spacing w:val="0"/>
          <w:sz w:val="31"/>
          <w:szCs w:val="31"/>
        </w:rPr>
        <w:t>（三）人大代表建议和政协委员提案办理结果公开情况</w:t>
      </w:r>
    </w:p>
    <w:p w14:paraId="239B179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30"/>
        <w:jc w:val="both"/>
        <w:textAlignment w:val="auto"/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  <w:lang w:eastAsia="zh-CN"/>
        </w:rPr>
      </w:pPr>
      <w:r>
        <w:rPr>
          <w:rStyle w:val="7"/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1"/>
          <w:szCs w:val="31"/>
        </w:rPr>
        <w:t>2025年市文化和旅游局共牵头办理人大建议、政协提案92件，其中人大建议26件、政协提案66件。切实保障市委领导领办工作有序推进，承办的第1440219号提案《关于串联大运河沿线景点 打造精品运河旅游线路的建议》办理方案获市委主要领导圈阅批示，采纳委员建议开通任城郭庄港至南阳古镇航线，推动三孔、微山湖两大5A景区签订联动优惠协议，形成良好的社会效应和品牌效应。所有建议提案均已办理完毕，办复率、满意率达到100%。</w:t>
      </w:r>
    </w:p>
    <w:sectPr>
      <w:footerReference r:id="rId4" w:type="first"/>
      <w:footerReference r:id="rId3" w:type="default"/>
      <w:pgSz w:w="11906" w:h="16838"/>
      <w:pgMar w:top="2041" w:right="1587" w:bottom="1587" w:left="1587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6643B7">
    <w:pPr>
      <w:pStyle w:val="2"/>
      <w:jc w:val="center"/>
      <w:rPr>
        <w:rFonts w:hint="eastAsia" w:ascii="Times New Roman" w:hAnsi="Times New Roman" w:eastAsia="宋体" w:cs="宋体"/>
        <w:sz w:val="28"/>
        <w:szCs w:val="28"/>
        <w:lang w:eastAsia="zh-CN"/>
      </w:rPr>
    </w:pPr>
    <w:r>
      <w:rPr>
        <w:rFonts w:hint="eastAsia" w:ascii="Times New Roman" w:hAnsi="Times New Roman" w:eastAsia="宋体" w:cs="宋体"/>
        <w:sz w:val="28"/>
        <w:szCs w:val="28"/>
        <w:lang w:eastAsia="zh-CN"/>
      </w:rPr>
      <w:t xml:space="preserve">— </w:t>
    </w:r>
    <w:r>
      <w:rPr>
        <w:rFonts w:hint="eastAsia" w:ascii="Times New Roman" w:hAnsi="Times New Roman" w:eastAsia="宋体" w:cs="宋体"/>
        <w:sz w:val="28"/>
        <w:szCs w:val="28"/>
      </w:rPr>
      <w:fldChar w:fldCharType="begin"/>
    </w:r>
    <w:r>
      <w:rPr>
        <w:rFonts w:hint="eastAsia" w:ascii="Times New Roman" w:hAnsi="Times New Roman" w:eastAsia="宋体" w:cs="宋体"/>
        <w:sz w:val="28"/>
        <w:szCs w:val="28"/>
      </w:rPr>
      <w:instrText xml:space="preserve"> PAGE Page \* MERGEFORMAT </w:instrText>
    </w:r>
    <w:r>
      <w:rPr>
        <w:rFonts w:hint="eastAsia" w:ascii="Times New Roman" w:hAnsi="Times New Roman" w:eastAsia="宋体" w:cs="宋体"/>
        <w:sz w:val="28"/>
        <w:szCs w:val="28"/>
      </w:rPr>
      <w:fldChar w:fldCharType="separate"/>
    </w:r>
    <w:r>
      <w:rPr>
        <w:rFonts w:hint="eastAsia" w:ascii="Times New Roman" w:hAnsi="Times New Roman" w:eastAsia="宋体" w:cs="宋体"/>
        <w:sz w:val="28"/>
        <w:szCs w:val="28"/>
      </w:rPr>
      <w:t>2</w:t>
    </w:r>
    <w:r>
      <w:rPr>
        <w:rFonts w:hint="eastAsia" w:ascii="Times New Roman" w:hAnsi="Times New Roman" w:eastAsia="宋体" w:cs="宋体"/>
        <w:sz w:val="28"/>
        <w:szCs w:val="28"/>
      </w:rPr>
      <w:fldChar w:fldCharType="end"/>
    </w:r>
    <w:r>
      <w:rPr>
        <w:rFonts w:hint="eastAsia" w:ascii="Times New Roman" w:hAnsi="Times New Roman" w:eastAsia="宋体" w:cs="宋体"/>
        <w:sz w:val="28"/>
        <w:szCs w:val="28"/>
        <w:lang w:eastAsia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411369">
    <w:pPr>
      <w:pStyle w:val="2"/>
      <w:jc w:val="center"/>
      <w:rPr>
        <w:rFonts w:hint="eastAsia" w:ascii="Times New Roman" w:hAnsi="Times New Roman" w:eastAsia="宋体" w:cs="宋体"/>
        <w:sz w:val="28"/>
        <w:szCs w:val="28"/>
        <w:lang w:eastAsia="zh-CN"/>
      </w:rPr>
    </w:pPr>
    <w:r>
      <w:rPr>
        <w:rFonts w:hint="eastAsia" w:ascii="Times New Roman" w:hAnsi="Times New Roman" w:eastAsia="宋体" w:cs="宋体"/>
        <w:sz w:val="28"/>
        <w:szCs w:val="28"/>
        <w:lang w:eastAsia="zh-CN"/>
      </w:rPr>
      <w:t xml:space="preserve">— </w:t>
    </w:r>
    <w:r>
      <w:rPr>
        <w:rFonts w:hint="eastAsia" w:ascii="Times New Roman" w:hAnsi="Times New Roman" w:eastAsia="宋体" w:cs="宋体"/>
        <w:sz w:val="28"/>
        <w:szCs w:val="28"/>
      </w:rPr>
      <w:fldChar w:fldCharType="begin"/>
    </w:r>
    <w:r>
      <w:rPr>
        <w:rFonts w:hint="eastAsia" w:ascii="Times New Roman" w:hAnsi="Times New Roman" w:eastAsia="宋体" w:cs="宋体"/>
        <w:sz w:val="28"/>
        <w:szCs w:val="28"/>
      </w:rPr>
      <w:instrText xml:space="preserve"> PAGE Page \* MERGEFORMAT </w:instrText>
    </w:r>
    <w:r>
      <w:rPr>
        <w:rFonts w:hint="eastAsia" w:ascii="Times New Roman" w:hAnsi="Times New Roman" w:eastAsia="宋体" w:cs="宋体"/>
        <w:sz w:val="28"/>
        <w:szCs w:val="28"/>
      </w:rPr>
      <w:fldChar w:fldCharType="separate"/>
    </w:r>
    <w:r>
      <w:rPr>
        <w:rFonts w:hint="eastAsia" w:ascii="Times New Roman" w:hAnsi="Times New Roman" w:eastAsia="宋体" w:cs="宋体"/>
        <w:sz w:val="28"/>
        <w:szCs w:val="28"/>
      </w:rPr>
      <w:t>1</w:t>
    </w:r>
    <w:r>
      <w:rPr>
        <w:rFonts w:hint="eastAsia" w:ascii="Times New Roman" w:hAnsi="Times New Roman" w:eastAsia="宋体" w:cs="宋体"/>
        <w:sz w:val="28"/>
        <w:szCs w:val="28"/>
      </w:rPr>
      <w:fldChar w:fldCharType="end"/>
    </w:r>
    <w:r>
      <w:rPr>
        <w:rFonts w:hint="eastAsia" w:ascii="Times New Roman" w:hAnsi="Times New Roman" w:eastAsia="宋体" w:cs="宋体"/>
        <w:sz w:val="28"/>
        <w:szCs w:val="28"/>
        <w:lang w:eastAsia="zh-CN"/>
      </w:rPr>
      <w:t xml:space="preserve"> 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789848"/>
    <w:multiLevelType w:val="singleLevel"/>
    <w:tmpl w:val="2378984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5E78C5"/>
    <w:rsid w:val="01206ABE"/>
    <w:rsid w:val="01971BF2"/>
    <w:rsid w:val="05123BB5"/>
    <w:rsid w:val="0D0A7E42"/>
    <w:rsid w:val="1A401FFC"/>
    <w:rsid w:val="1C5C3FA5"/>
    <w:rsid w:val="2A710695"/>
    <w:rsid w:val="2BB40BF3"/>
    <w:rsid w:val="30E54BF3"/>
    <w:rsid w:val="39604557"/>
    <w:rsid w:val="3BF20894"/>
    <w:rsid w:val="54BC0D24"/>
    <w:rsid w:val="57C652B6"/>
    <w:rsid w:val="60274669"/>
    <w:rsid w:val="6AB901C5"/>
    <w:rsid w:val="6CFD2BDD"/>
    <w:rsid w:val="755E26B2"/>
    <w:rsid w:val="78D3772C"/>
    <w:rsid w:val="7A341116"/>
    <w:rsid w:val="7E5E78C5"/>
    <w:rsid w:val="7F753E0F"/>
    <w:rsid w:val="7FB7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06613a87-e0e7-42be-adde-8c5fc1f1c210</errorID>
      <errorWord>精准化</errorWord>
      <group>L1_Word</group>
      <groupName>字词问题</groupName>
      <ability>L2_Typo</ability>
      <abilityName>字词错误</abilityName>
      <candidateList>
        <item>精准</item>
      </candidateList>
      <explain/>
      <paraID>  7790B8</paraID>
      <start>164</start>
      <end>167</end>
      <status>unmodified</status>
      <modifiedWord/>
      <trackRevisions>false</trackRevisions>
    </reviewItem>
    <reviewItem>
      <errorID>8865d1ef-325b-412a-99d7-04e36200d73c</errorID>
      <errorWord>过</errorWord>
      <group>L1_Word</group>
      <groupName>字词问题</groupName>
      <ability>L2_Typo</ability>
      <abilityName>字词错误</abilityName>
      <candidateList>
        <item>过一</item>
      </candidateList>
      <explain/>
      <paraID>  7790B8</paraID>
      <start>171</start>
      <end>173</end>
      <status>modified</status>
      <modifiedWord>过一</modifiedWord>
      <trackRevisions>false</trackRevisions>
    </reviewItem>
    <reviewItem>
      <errorID>b1cea9ed-86af-4149-b035-6ac84bfa7830</errorID>
      <errorWord>政府信息公开条例</errorWord>
      <group>L1_Knowledge</group>
      <groupName>知识性问题</groupName>
      <ability>L2_Knowledge</ability>
      <abilityName>其他知识</abilityName>
      <candidateList>
        <item>中华人民共和国政府信息公开条例</item>
      </candidateList>
      <explain>当前法律法规名称使用简称，请注意是否应当使用全称。</explain>
      <paraID>21F658FB</paraID>
      <start>123</start>
      <end>138</end>
      <status>modified</status>
      <modifiedWord>中华人民共和国政府信息公开条例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2be241b-5f04-4ca0-b80c-df62186ea0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2186</Words>
  <Characters>2285</Characters>
  <Lines>0</Lines>
  <Paragraphs>0</Paragraphs>
  <TotalTime>22</TotalTime>
  <ScaleCrop>false</ScaleCrop>
  <LinksUpToDate>false</LinksUpToDate>
  <CharactersWithSpaces>2298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2025-02-12T15:56:00Z</dcterms:created>
  <dc:creator>马沐鸣</dc:creator>
  <cp:lastModifiedBy>DD</cp:lastModifiedBy>
  <cp:lastPrinted>2025-02-14T11:30:00Z</cp:lastPrinted>
  <dcterms:modified xsi:type="dcterms:W3CDTF">2026-01-31T02:08:14Z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C0517F2159EE4D59809355D4BA5779E6_13</vt:lpwstr>
  </property>
  <property fmtid="{D5CDD505-2E9C-101B-9397-08002B2CF9AE}" pid="4" name="KSOTemplateDocerSaveRecord">
    <vt:lpwstr>eyJoZGlkIjoiODViY2JkMjU3NGYzZTEwMzZmMGFkZWViYmNkYWU3NDIiLCJ1c2VySWQiOiIyNzM3MTA5MjQifQ==</vt:lpwstr>
  </property>
</Properties>
</file>