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30D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 w:firstLine="0" w:firstLineChars="0"/>
        <w:jc w:val="center"/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济宁市文化和旅游局</w:t>
      </w:r>
    </w:p>
    <w:p w14:paraId="26BD918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 w:firstLine="0" w:firstLineChars="0"/>
        <w:jc w:val="center"/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Style w:val="7"/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年政府信息公开工作年度报告</w:t>
      </w:r>
    </w:p>
    <w:p w14:paraId="04A9F87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30"/>
        <w:jc w:val="both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</w:p>
    <w:p w14:paraId="456C5E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根据《中华人民共和国政府信息公开条例》《山东省政府信息公开办法》《关于做好2025年政府信息公开工作年度报告编制和发布工作的通知》要求，结合我局工作实际，编制并向社会公布本报告。报告包括总体情况、主动公开政府信息情况、收到和处理政府信息公开申请情况、政府信息公开行政复议和行政诉讼情况、存在的主要问题及改进情况、其他需要报告的事项等六个部分，所列数据统计期限自2025年1月1日起至2025年12月31日止。如对本报告有疑问，请与济宁市文化和旅游局联系（地址：济宁市太白湖新区省运指挥中心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</w:rPr>
        <w:t>A0633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，联系电话：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</w:rPr>
        <w:t>0537-2312260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）。</w:t>
      </w:r>
    </w:p>
    <w:p w14:paraId="630C75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一、总体情况</w:t>
      </w:r>
    </w:p>
    <w:p w14:paraId="1088FB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2025年，市文化和旅游局锚定“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建设世界文化旅游名城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”核心目标，深入贯彻《2025年山东省政务公开工作要点》部署，以“标准化数字化提升+文旅场景深度融合”为双引擎，推动政务公开从“被动回应”向“主动服务”、从“信息发布”向“价值赋能”转型。全年聚焦文旅深度融合、文旅消费提振、文化遗产传承等重点工作，构建“政策公开精准化、服务公开场景化、互动公开常态化”工作体系，让政务阳光贯穿文旅发展全链条，为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政府政务公开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建设注入文旅公开新动能。</w:t>
      </w:r>
    </w:p>
    <w:p w14:paraId="48C51D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（一）主动公开政府信息情况</w:t>
      </w:r>
    </w:p>
    <w:p w14:paraId="007790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202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年度，济宁市文化和旅游局聚焦社会公众关切与核心职能，精准划定主动公开范围，系统细化公开事项清单，明确公开内容、时限与责任主体。2025年主动公开各类政府信息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75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条，公开内容全面涵盖政策文件、执法监管、财政预决算、人事任免等关键领域。依托政府门户网站、政务新媒体等载体，精准推送信息，同时拓宽线下公开渠道，确保信息全方位、精准化触达。通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过一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系列举措，切实以公开促规范、以公开促服务、以公开提升治理效能，实现政务信息发布量质双提升。</w:t>
      </w:r>
    </w:p>
    <w:p w14:paraId="65E740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（二）依申请公开政府信息情况</w:t>
      </w:r>
    </w:p>
    <w:p w14:paraId="7E48C7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</w:rPr>
        <w:t>202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年度，济宁市文化和旅游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局在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eastAsia="zh-CN"/>
        </w:rPr>
        <w:t>全市依申请公开平台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共收到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3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条政府信息公开申请，均在法定期限内进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行了答复。202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年度，市文化和旅游局未发生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因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政府信息公开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引起的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行政诉讼和行政复议。</w:t>
      </w:r>
    </w:p>
    <w:p w14:paraId="6C8D60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（三）政府信息管理情况</w:t>
      </w:r>
    </w:p>
    <w:p w14:paraId="276CDE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</w:rPr>
        <w:t>202</w:t>
      </w:r>
      <w:r>
        <w:rPr>
          <w:rStyle w:val="7"/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年，市文化和旅游局健全“源头认定+分级审查+动态更新”管理机制，实现“文件生成即明确公开属性”。严格落实保密审查制度，对公开信息实行“三审三校”，全年无涉密信息泄露情况。</w:t>
      </w:r>
    </w:p>
    <w:p w14:paraId="0CB4B6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（四）平台建设</w:t>
      </w:r>
    </w:p>
    <w:p w14:paraId="744A26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2025年，济宁市文化和旅游局持续强化文旅宣传推广与信息发布工作，线上多平台协同发力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。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政务微信“济宁文旅”推送文旅资讯1940条，阅读量达200余万人次，局网站发布信息814条，政务微博发布文旅活动及提示信息2140条、阅读量超1000万，局门户网站更新行业动态及服务信息736条，头条号推送文旅宣传内容1980条，各平台形成宣传合力，有效扩大了济宁文旅的传播覆盖面；线下以新闻发布会为重要载体做好信息解读与主题推介，全年共召开新闻发布会12次，涵盖“十四五”时期济宁市文化和旅游高质量发展、“绿色低碳高质量发展看济宁”文旅专场、“促消费 惠民生”文旅专场、2025年济宁市美食联赛、济宁市聚力打造中华研学旅游示范高地等多个主题，全方位、多角度展示了济宁文旅发展成果与特色亮点。</w:t>
      </w:r>
    </w:p>
    <w:p w14:paraId="601573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（五）监督保障</w:t>
      </w:r>
    </w:p>
    <w:p w14:paraId="21F658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9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健全常态化监督保障机制，压实工作责任，提升执行效能。一是强化组织领导，明确局办公室牵头，各业务科室分工协作的工作体系，将政务公开工作纳入年度重点工作部署，定期研究解决工作推进中的难点堵点问题。二是提升专业能力，组织政务公开专题培训，邀请专家围绕《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eastAsia="zh-CN"/>
        </w:rPr>
        <w:t>中华人民共和国政府信息公开条例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》解读、依申请公开办理规范、政策解读技巧等核心内容授课，全面提升工作人员业务水平。</w:t>
      </w:r>
    </w:p>
    <w:p w14:paraId="1B992C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aps w:val="0"/>
          <w:color w:val="auto"/>
          <w:spacing w:val="0"/>
          <w:sz w:val="31"/>
          <w:szCs w:val="31"/>
        </w:rPr>
        <w:t>二、</w:t>
      </w: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主动公开政府信息情况</w:t>
      </w:r>
    </w:p>
    <w:tbl>
      <w:tblPr>
        <w:tblStyle w:val="5"/>
        <w:tblW w:w="11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6"/>
        <w:gridCol w:w="2696"/>
        <w:gridCol w:w="2696"/>
        <w:gridCol w:w="3432"/>
      </w:tblGrid>
      <w:tr w14:paraId="47F3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AAB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第二十条第（一）项</w:t>
            </w:r>
          </w:p>
        </w:tc>
      </w:tr>
      <w:tr w14:paraId="460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C01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3A2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208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79F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现行有效件数</w:t>
            </w:r>
          </w:p>
        </w:tc>
      </w:tr>
      <w:tr w14:paraId="7E4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46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8D3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F23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E90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7C00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B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76A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19C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B9E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0</w:t>
            </w:r>
          </w:p>
        </w:tc>
      </w:tr>
      <w:tr w14:paraId="549B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807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5CB9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B1E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DC8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 w14:paraId="55D7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342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A31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1962</w:t>
            </w:r>
          </w:p>
        </w:tc>
      </w:tr>
      <w:tr w14:paraId="0968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D63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2FEB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FA2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02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 w14:paraId="48D0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B9B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F60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5AEE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5BD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898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3E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8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429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2D7B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887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122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 w14:paraId="3E87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90C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B25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BB388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aps w:val="0"/>
          <w:color w:val="auto"/>
          <w:spacing w:val="0"/>
          <w:sz w:val="31"/>
          <w:szCs w:val="31"/>
        </w:rPr>
        <w:t>三、</w:t>
      </w: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收到和处理政府信息公开申请情况</w:t>
      </w:r>
    </w:p>
    <w:tbl>
      <w:tblPr>
        <w:tblStyle w:val="5"/>
        <w:tblW w:w="99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657"/>
        <w:gridCol w:w="2969"/>
        <w:gridCol w:w="719"/>
        <w:gridCol w:w="563"/>
        <w:gridCol w:w="563"/>
        <w:gridCol w:w="721"/>
        <w:gridCol w:w="692"/>
        <w:gridCol w:w="564"/>
        <w:gridCol w:w="837"/>
      </w:tblGrid>
      <w:tr w14:paraId="32E23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2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6D3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（本列数据的勾稽关系为：第一项加第二项之和，</w:t>
            </w:r>
          </w:p>
          <w:p w14:paraId="7AC30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等于第三项加第四项之和）</w:t>
            </w:r>
          </w:p>
        </w:tc>
        <w:tc>
          <w:tcPr>
            <w:tcW w:w="46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87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申请人情况</w:t>
            </w:r>
          </w:p>
        </w:tc>
      </w:tr>
      <w:tr w14:paraId="5EA7C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C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BC4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自然人</w:t>
            </w:r>
          </w:p>
        </w:tc>
        <w:tc>
          <w:tcPr>
            <w:tcW w:w="3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077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法人或其他组织</w:t>
            </w:r>
          </w:p>
        </w:tc>
        <w:tc>
          <w:tcPr>
            <w:tcW w:w="8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DB8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总计</w:t>
            </w:r>
          </w:p>
        </w:tc>
      </w:tr>
      <w:tr w14:paraId="3B1EC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52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1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8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6F5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商业企业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69F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科研机构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3D5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048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法律服务机构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060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8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C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14:paraId="3C2DBD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5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D9B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CA4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39F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54A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9B1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D69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8E7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7A5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67955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5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D86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3E4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1B0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B2D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466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0D8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9ED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ADA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B983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DAC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三、本年度办理结果</w:t>
            </w:r>
          </w:p>
        </w:tc>
        <w:tc>
          <w:tcPr>
            <w:tcW w:w="4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05B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（一）予以公开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E52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A2E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130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FD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2F3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34B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BA3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0323C2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7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4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502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426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2D1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027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7D6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6AA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0CB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820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45B74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1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5BD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（三）不予公开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16C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1.属于国家秘密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E9E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8AC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794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AEF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9C7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CE9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FAC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21A358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4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E12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2.其他法律行政法规禁止公开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2FB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68C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C8E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4A9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5AA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C8D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6D0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0E625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26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DC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4DE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3.危及“三安全一稳定”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619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B92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657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66A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34F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CE3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9E0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2A7F9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C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C3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E32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4.保护第三方合法权益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40C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0B2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F8F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8BC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CB4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C12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B89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443D1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0A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9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E4D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5.属于三类内部事务信息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5C8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F54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B97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C9C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1A3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13A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7A8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02402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6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1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6BE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6.属于四类过程性信息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539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CE8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9B1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9E3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5D8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B12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481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38851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A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2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9E8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7.属于行政执法案卷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CA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3C4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8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2B9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1BF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DAF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6E1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74108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E0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6CD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8.属于行政查询事项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8BE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9DF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538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3BF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82A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D2A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55E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28B11A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8E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1D1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（四）无法提供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B24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1.本机关不掌握相关政府信息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370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D3B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0CE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E4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3FC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4D8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8DE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2F24C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8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C97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2.没有现成信息需要另行制作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D90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E52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7AA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861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83D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E3A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49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596266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C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9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8BE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3.补正后申请内容仍不明确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B3B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375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E0C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151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FD6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246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98B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55AF7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5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27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（五）不予处理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F52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1.信访举报投诉类申请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E5F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C05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F6A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39B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92A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13F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616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55950C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3A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4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D03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E66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F98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1C1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D80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BCA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0D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58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77256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86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C3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82C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3.要求提供公开出版物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9AA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6B1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98E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EDA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6D8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C0F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1B5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665F17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0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DE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B1C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4.无正当理由大量反复申请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F64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5A5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DFD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A9D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586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24D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56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12F787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30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A0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FE6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5.要求行政机关确认或重新</w:t>
            </w:r>
          </w:p>
          <w:p w14:paraId="7BB47B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195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出具已获取信息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36C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328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4A9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656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662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31E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08E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028A6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F7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BCF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（六）其他处理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46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1.申请人无正当理由逾期不补正、行政机关不再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其政府信息公开申请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B72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38F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030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341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CC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6B2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95D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0FEF8A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9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DC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2.申请人逾期未按收费通知要求缴纳费用、行政机关不再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其政府信息公开申请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55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870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BD4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A16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5FF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3E8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EAE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3CBAF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4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8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2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6B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3.其他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561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585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2F5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BC1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3E3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B04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53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  <w:tr w14:paraId="200FCB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6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4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4B8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（七）总计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EBF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92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C14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550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E14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EFE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72E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7B0E0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342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四、结转下年度继续办理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13B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E0E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48A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3D4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C32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7C0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48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</w:t>
            </w:r>
          </w:p>
        </w:tc>
      </w:tr>
    </w:tbl>
    <w:p w14:paraId="094F5C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四、政府信息公开行政复议、行政诉讼情况</w:t>
      </w:r>
    </w:p>
    <w:tbl>
      <w:tblPr>
        <w:tblStyle w:val="5"/>
        <w:tblW w:w="88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613"/>
        <w:gridCol w:w="598"/>
        <w:gridCol w:w="583"/>
        <w:gridCol w:w="480"/>
        <w:gridCol w:w="644"/>
        <w:gridCol w:w="644"/>
        <w:gridCol w:w="644"/>
        <w:gridCol w:w="629"/>
        <w:gridCol w:w="450"/>
        <w:gridCol w:w="644"/>
        <w:gridCol w:w="644"/>
        <w:gridCol w:w="644"/>
        <w:gridCol w:w="554"/>
        <w:gridCol w:w="421"/>
      </w:tblGrid>
      <w:tr w14:paraId="73440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F5B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A0E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行政诉讼</w:t>
            </w:r>
          </w:p>
        </w:tc>
      </w:tr>
      <w:tr w14:paraId="04D39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EA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1CB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</w:p>
          <w:p w14:paraId="17A68F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233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其他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D51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尚未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3C6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188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01D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复议后起诉</w:t>
            </w:r>
          </w:p>
        </w:tc>
      </w:tr>
      <w:tr w14:paraId="7AFCE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D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5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F3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6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D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C93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345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209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其他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BA0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尚未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D7F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889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040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5A3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其他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4E2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尚未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4D6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总计</w:t>
            </w:r>
          </w:p>
        </w:tc>
      </w:tr>
      <w:tr w14:paraId="45EC54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A5A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6F9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C93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9A6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9FF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EFF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B09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3E9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D9F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A9B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315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B68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36E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9FA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2BE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</w:tr>
    </w:tbl>
    <w:p w14:paraId="3AD26B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五、存在的主要问题及改进情况</w:t>
      </w:r>
    </w:p>
    <w:p w14:paraId="6887C1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Style w:val="7"/>
          <w:rFonts w:hint="eastAsia" w:ascii="Times New Roman" w:hAnsi="Times New Roman" w:eastAsia="方正楷体_GBK" w:cs="方正楷体_GBK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Times New Roman" w:hAnsi="Times New Roman" w:eastAsia="方正楷体_GBK" w:cs="方正楷体_GBK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（一）存在的主要问题</w:t>
      </w:r>
    </w:p>
    <w:p w14:paraId="115C8D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一是依申请公开办理精细化程度有待加强，对复杂疑难申请的研判能力、沟通技巧不足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；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二是公开平台运维管理存在短板，政务新媒体原创内容精品化程度不高。</w:t>
      </w:r>
    </w:p>
    <w:p w14:paraId="4531706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Style w:val="7"/>
          <w:rFonts w:hint="default" w:ascii="Times New Roman" w:hAnsi="Times New Roman" w:eastAsia="方正楷体_GBK" w:cs="方正楷体_GBK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方正楷体_GBK" w:cs="方正楷体_GBK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改进情况</w:t>
      </w:r>
    </w:p>
    <w:p w14:paraId="2E1E91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22" w:firstLineChars="20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针对上述问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题，市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文旅局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将从以下方面推进整改提升：一是提升依申请办理质效，开展复杂申请会商研判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，强化答复文书说理，加强与申请人的沟通协商，推动从“依法答复”向“实质化解”转变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；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二是强化平台建设管理，加强政务新媒体内容策划，打造精品科普和政策宣传栏目。</w:t>
      </w:r>
    </w:p>
    <w:p w14:paraId="0695C6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黑体简体" w:cs="Times New Roman"/>
          <w:i w:val="0"/>
          <w:iCs w:val="0"/>
          <w:caps w:val="0"/>
          <w:color w:val="auto"/>
          <w:spacing w:val="0"/>
          <w:sz w:val="31"/>
          <w:szCs w:val="31"/>
        </w:rPr>
        <w:t>六、其他需要报告的事项</w:t>
      </w:r>
    </w:p>
    <w:p w14:paraId="088671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（一）信息费收取情况</w:t>
      </w:r>
    </w:p>
    <w:p w14:paraId="7FD1F4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本年本机关未收取信息处理费。</w:t>
      </w:r>
    </w:p>
    <w:p w14:paraId="61AB48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（二）市文化和旅游局落实上级年度政务公开工作要点情况</w:t>
      </w:r>
    </w:p>
    <w:p w14:paraId="7C180B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围绕新时代政务公开工作的部署要求，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按照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《关于印发济宁市贯彻落实202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5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年山东省政务公开工作要点任务分解表的通知》</w:t>
      </w:r>
      <w:r>
        <w:rPr>
          <w:rStyle w:val="7"/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责任分工，</w:t>
      </w: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结合自身职能和业务实际，扎实推进政府公开标准化建设，优化主动公开机制，坚持常态化公开，及时公开政府信息。</w:t>
      </w:r>
    </w:p>
    <w:p w14:paraId="370741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1"/>
          <w:szCs w:val="31"/>
        </w:rPr>
        <w:t>（三）人大代表建议和政协委员提案办理结果公开情况</w:t>
      </w:r>
    </w:p>
    <w:p w14:paraId="239B17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lang w:eastAsia="zh-CN"/>
        </w:rPr>
      </w:pPr>
      <w:r>
        <w:rPr>
          <w:rStyle w:val="7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</w:rPr>
        <w:t>2025年市文化和旅游局共牵头办理人大建议、政协提案92件，其中人大建议26件、政协提案66件。切实保障市委领导领办工作有序推进，承办的第1440219号提案《关于串联大运河沿线景点 打造精品运河旅游线路的建议》办理方案获市委主要领导圈阅批示，采纳委员建议开通任城郭庄港至南阳古镇航线，推动三孔、微山湖两大5A景区签订联动优惠协议，形成良好的社会效应和品牌效应。所有建议提案均已办理完毕，办复率、满意率达到100%。</w:t>
      </w:r>
    </w:p>
    <w:sectPr>
      <w:footerReference r:id="rId4" w:type="first"/>
      <w:footerReference r:id="rId3" w:type="default"/>
      <w:pgSz w:w="11906" w:h="16838"/>
      <w:pgMar w:top="2041" w:right="1587" w:bottom="1587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643B7">
    <w:pPr>
      <w:pStyle w:val="2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 xml:space="preserve">— 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2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11369">
    <w:pPr>
      <w:pStyle w:val="2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 xml:space="preserve">— 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1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89848"/>
    <w:multiLevelType w:val="singleLevel"/>
    <w:tmpl w:val="237898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78C5"/>
    <w:rsid w:val="01206ABE"/>
    <w:rsid w:val="01971BF2"/>
    <w:rsid w:val="05123BB5"/>
    <w:rsid w:val="0D0A7E42"/>
    <w:rsid w:val="1A401FFC"/>
    <w:rsid w:val="1C5C3FA5"/>
    <w:rsid w:val="2A710695"/>
    <w:rsid w:val="2BB40BF3"/>
    <w:rsid w:val="30E54BF3"/>
    <w:rsid w:val="39604557"/>
    <w:rsid w:val="3BF20894"/>
    <w:rsid w:val="54BC0D24"/>
    <w:rsid w:val="57C652B6"/>
    <w:rsid w:val="60274669"/>
    <w:rsid w:val="6AB901C5"/>
    <w:rsid w:val="6CFD2BDD"/>
    <w:rsid w:val="755E26B2"/>
    <w:rsid w:val="78D3772C"/>
    <w:rsid w:val="7A341116"/>
    <w:rsid w:val="7E5E78C5"/>
    <w:rsid w:val="7F753E0F"/>
    <w:rsid w:val="7FB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06613a87-e0e7-42be-adde-8c5fc1f1c210</errorID>
      <errorWord>精准化</errorWord>
      <group>L1_Word</group>
      <groupName>字词问题</groupName>
      <ability>L2_Typo</ability>
      <abilityName>字词错误</abilityName>
      <candidateList>
        <item>精准</item>
      </candidateList>
      <explain/>
      <paraID>  7790B8</paraID>
      <start>164</start>
      <end>167</end>
      <status>unmodified</status>
      <modifiedWord/>
      <trackRevisions>false</trackRevisions>
    </reviewItem>
    <reviewItem>
      <errorID>8865d1ef-325b-412a-99d7-04e36200d73c</errorID>
      <errorWord>过</errorWord>
      <group>L1_Word</group>
      <groupName>字词问题</groupName>
      <ability>L2_Typo</ability>
      <abilityName>字词错误</abilityName>
      <candidateList>
        <item>过一</item>
      </candidateList>
      <explain/>
      <paraID>  7790B8</paraID>
      <start>171</start>
      <end>173</end>
      <status>modified</status>
      <modifiedWord>过一</modifiedWord>
      <trackRevisions>false</trackRevisions>
    </reviewItem>
    <reviewItem>
      <errorID>b1cea9ed-86af-4149-b035-6ac84bfa7830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21F658FB</paraID>
      <start>123</start>
      <end>138</end>
      <status>modified</status>
      <modifiedWord>中华人民共和国政府信息公开条例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be241b-5f04-4ca0-b80c-df62186ea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2186</Words>
  <Characters>2285</Characters>
  <Lines>0</Lines>
  <Paragraphs>0</Paragraphs>
  <TotalTime>22</TotalTime>
  <ScaleCrop>false</ScaleCrop>
  <LinksUpToDate>false</LinksUpToDate>
  <CharactersWithSpaces>2298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2025-02-12T15:56:00Z</dcterms:created>
  <dc:creator>马沐鸣</dc:creator>
  <cp:lastModifiedBy>DD</cp:lastModifiedBy>
  <cp:lastPrinted>2025-02-14T11:30:00Z</cp:lastPrinted>
  <dcterms:modified xsi:type="dcterms:W3CDTF">2026-01-31T02:08:14Z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C0517F2159EE4D59809355D4BA5779E6_13</vt:lpwstr>
  </property>
  <property fmtid="{D5CDD505-2E9C-101B-9397-08002B2CF9AE}" pid="4" name="KSOTemplateDocerSaveRecord">
    <vt:lpwstr>eyJoZGlkIjoiODViY2JkMjU3NGYzZTEwMzZmMGFkZWViYmNkYWU3NDIiLCJ1c2VySWQiOiIyNzM3MTA5MjQifQ==</vt:lpwstr>
  </property>
</Properties>
</file>