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</w:pP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济宁市统计局202</w:t>
      </w:r>
      <w:r>
        <w:rPr>
          <w:rFonts w:hint="eastAsia" w:eastAsia="方正小标宋简体" w:cs="Times New Roman"/>
          <w:b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政府信息公开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-96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sz w:val="4"/>
          <w:szCs w:val="4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本报告由济宁市统计局按照《中华人民共和国政府信息公开条例》（以下简称《条例》）和《中华人民共和国政府信息公开工作年度报告格式》（国办公开办函〔2021〕30号）要求编制。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年12月31日止。本报告电子版可在“中国·济宁”政府门户网站（www.jining.gov.cn）查阅或下载。如对本报告有疑问，请与济宁市统计局联系（地址：济宁市北湖省级旅游度假区圣贤路7号第23届省运会指挥中心A-0437 联系电话：0537-2967222）。</w:t>
      </w:r>
    </w:p>
    <w:p>
      <w:pPr>
        <w:numPr>
          <w:ilvl w:val="0"/>
          <w:numId w:val="1"/>
        </w:numPr>
        <w:spacing w:line="590" w:lineRule="exact"/>
        <w:ind w:right="-96" w:rightChars="-50" w:firstLine="624" w:firstLineChars="200"/>
        <w:outlineLvl w:val="1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24" w:firstLineChars="200"/>
        <w:jc w:val="both"/>
        <w:textAlignment w:val="auto"/>
        <w:outlineLvl w:val="1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主动公开情况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济宁市统计局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以“济宁市统计局”网站、“数据济宁”微信公众号以及“济宁市人民政府”网站“政务公开”专栏为主动公开的主要渠道。2023年，济宁市统计局共公开政务信息809条，其中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政务公开专栏主动公开政府信息1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条，门户网站发布信息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233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条，微信公众号发布转载各类信息44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条；印发政策性文件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件，公开并解读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件，公开和解读率100%；举办“政府开放日”活动2次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，媒体恳谈会1次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871220</wp:posOffset>
            </wp:positionH>
            <wp:positionV relativeFrom="page">
              <wp:posOffset>746760</wp:posOffset>
            </wp:positionV>
            <wp:extent cx="3675380" cy="2826385"/>
            <wp:effectExtent l="0" t="0" r="1270" b="1206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济宁市统计局严格落实政府信息依申请公开工作制度，切实提高政务公开依申请公开答复质效，认真做好沟通反馈，切实提高统计服务水平。2023年，济宁市统计局共收到和处理政府信息公开申请13件，均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在法定期限内予以答复，未引发</w:t>
      </w:r>
      <w:r>
        <w:rPr>
          <w:rFonts w:hint="eastAsia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行政复议和行政诉讼。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2"/>
        <w:rPr>
          <w:rFonts w:hint="default" w:ascii="Times New Roman" w:hAnsi="Times New Roman" w:eastAsia="方正仿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842645</wp:posOffset>
            </wp:positionH>
            <wp:positionV relativeFrom="page">
              <wp:posOffset>5970270</wp:posOffset>
            </wp:positionV>
            <wp:extent cx="3893820" cy="2470150"/>
            <wp:effectExtent l="0" t="0" r="11430" b="635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（三）政府信息管理情况</w:t>
      </w:r>
    </w:p>
    <w:p>
      <w:pPr>
        <w:spacing w:line="590" w:lineRule="exact"/>
        <w:ind w:right="-96" w:rightChars="-50" w:firstLine="624" w:firstLineChars="200"/>
        <w:outlineLvl w:val="2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济宁市统计局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以提升政府信息公开质量与效率为核心目标，严格落实内容发布审核等工作程序，明确“先审查、后发布”工作原则，确保涉密信息不上网。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积极推进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跨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信息资源整合，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确保全局各类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政策法规、规划计划、财政预算决算等重要信息及时主动公开。规范网站管理</w:t>
      </w:r>
      <w:r>
        <w:rPr>
          <w:rFonts w:hint="eastAsia" w:eastAsia="方正仿宋简体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做好局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门户网站、政务公开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等信息平台安全管理工作，定期更新网站后台密码，节假日期间随时关注网站、微信，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发现问题及时处置。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2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2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一是对门户网站进行全面改造升级。对网站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Hans"/>
        </w:rPr>
        <w:t>底层架构进行彻底重建，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提高门户网站运行的安全性和稳定性，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Hans"/>
        </w:rPr>
        <w:t>对整体设计风格和栏目内容进行优化升级，信息获取更加快捷高效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。二是优化新媒体布局。结合全市重点工作，设置“五经普”专栏，加强第五次全国经济普查宣传的同时，为企业、基层普查人员高效精准开展五经普数据填报工作提供辅助；设置“微服务”专栏，为群众访问门户网站、快捷查询数据等提供便利；设置“济统课堂”专栏，为群众了解统计知识、统计政策提供“掌上”平台。三是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Hans"/>
        </w:rPr>
        <w:t>开展统计开放日活动。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</w:rPr>
        <w:t>通过展板宣传、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Hans"/>
        </w:rPr>
        <w:t>现场答疑等方式，进一步提升统计形象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kern w:val="0"/>
          <w:sz w:val="32"/>
          <w:szCs w:val="32"/>
          <w:lang w:val="en-US" w:eastAsia="zh-Hans"/>
        </w:rPr>
        <w:t>扩大统计影响力。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24" w:firstLineChars="200"/>
        <w:textAlignment w:val="auto"/>
        <w:outlineLvl w:val="2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Hans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Hans"/>
        </w:rPr>
        <w:t>五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eastAsia="zh-CN"/>
        </w:rPr>
        <w:t>监督保障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Hans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96" w:rightChars="-50" w:firstLine="624" w:firstLineChars="200"/>
        <w:textAlignment w:val="auto"/>
        <w:outlineLvl w:val="2"/>
        <w:rPr>
          <w:rFonts w:hint="default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济宁市统计局不断加强对政务公开工作的监督保障，2023年在原有政务公开制度体系的基础上，对体制机制进行再完善、再提升，先后出台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Hans"/>
        </w:rPr>
        <w:t>《统计新闻宣传工作制度》《统计新闻宣传联络员管理规范》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等制度，进一步规范政务信息公开工作，明确各方职责，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Hans"/>
        </w:rPr>
        <w:t>着力构建长效机制，力促</w:t>
      </w:r>
      <w:r>
        <w:rPr>
          <w:rFonts w:hint="eastAsia" w:eastAsia="方正仿宋简体" w:cs="Times New Roman"/>
          <w:b/>
          <w:color w:val="000000"/>
          <w:sz w:val="32"/>
          <w:szCs w:val="32"/>
          <w:lang w:val="en-US" w:eastAsia="zh-CN"/>
        </w:rPr>
        <w:t>全局政务公开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Hans"/>
        </w:rPr>
        <w:t>工作走规范化道路。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96" w:rightChars="-50" w:firstLine="624" w:firstLineChars="200"/>
        <w:textAlignment w:val="auto"/>
        <w:outlineLvl w:val="2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84" w:leftChars="200" w:right="-96" w:rightChars="-50" w:firstLine="0" w:firstLineChars="0"/>
        <w:textAlignment w:val="auto"/>
        <w:outlineLvl w:val="2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7"/>
        <w:gridCol w:w="2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62" w:beforeLines="10" w:after="62" w:afterLines="10" w:line="600" w:lineRule="exact"/>
        <w:ind w:left="0" w:leftChars="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收到和处理政府信息公开申请情况</w:t>
      </w:r>
    </w:p>
    <w:tbl>
      <w:tblPr>
        <w:tblStyle w:val="5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96" w:leftChars="-51" w:right="-9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97" w:leftChars="-51" w:right="-9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97" w:leftChars="-51" w:right="-9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96" w:leftChars="-51" w:right="-9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57" w:leftChars="-30" w:right="-122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9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9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9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9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9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192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ascii="仿宋_GB2312" w:hAnsi="Times New Roman" w:eastAsia="仿宋_GB2312" w:cs="Times New Roman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90" w:lineRule="exact"/>
        <w:ind w:left="0" w:leftChars="0"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政府信息公开行政复议、行政诉讼情况</w:t>
      </w:r>
    </w:p>
    <w:tbl>
      <w:tblPr>
        <w:tblStyle w:val="5"/>
        <w:tblW w:w="89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646"/>
        <w:gridCol w:w="612"/>
        <w:gridCol w:w="612"/>
        <w:gridCol w:w="624"/>
        <w:gridCol w:w="476"/>
        <w:gridCol w:w="605"/>
        <w:gridCol w:w="605"/>
        <w:gridCol w:w="605"/>
        <w:gridCol w:w="606"/>
        <w:gridCol w:w="4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7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hanging="1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9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textAlignment w:val="auto"/>
              <w:rPr>
                <w:rFonts w:ascii="黑体" w:hAnsi="黑体" w:eastAsia="黑体"/>
                <w:kern w:val="2"/>
                <w:sz w:val="24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4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hanging="1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hanging="1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" w:leftChars="0" w:right="0" w:rightChars="0" w:hanging="2" w:hangingChars="1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center"/>
              <w:textAlignment w:val="auto"/>
              <w:rPr>
                <w:rFonts w:ascii="黑体" w:hAnsi="黑体" w:eastAsia="黑体"/>
                <w:kern w:val="2"/>
                <w:sz w:val="21"/>
                <w:szCs w:val="22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等线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eastAsia="等线"/>
                <w:kern w:val="2"/>
                <w:sz w:val="21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default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2023年，济宁市统计局政务公开工作取得了一些成果，但依然存在着统计业务和政务公开工作未能完全做到“两手抓，两手都要硬”，统计数据公开的时效性、解读的深度有待进一步提高的问题。下一步，济宁市统计局将严格按照《中华人民共和国政府信息公开条例》有关规定，梳理全局政府信息底数，明确公开事项，制定任务分解表，确保全局各科室（局、中心）明确信息公开职责。着力增强月度、季度、年度统计数据公开时效性，及时更新各类统计信息，便于社会各界及时获取最新统计数据及统计动态。加强数据解读力度，充分利用统计月报、手册、年鉴等统计资料，以及走访、调研等活动所获信息，开展数据分析解读并及时在门户网站、微信公众号、“政务公开”专栏等平台进行更新，确保统计数据价值实现最大化，更好的为党政领导、企业和社会公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（一）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济宁市统计局无依据《政府信息公开信息处理费管理办法》收取信息处理费的情况。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eastAsia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二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2023年，济宁市统计局根据《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济宁市人民政府办公室关于印发202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济宁市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政务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重点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工作任务分解表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的通知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（济政办字〔202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〕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1号）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，结合全市统计工作实际，制定了《济宁市统计局2023年政务公开工作任务分解表》，明确全局各科室（局、中心）政务公开工作职责，确保全年政务公开工作有序推进。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4" w:firstLineChars="200"/>
        <w:textAlignment w:val="auto"/>
        <w:rPr>
          <w:rFonts w:hint="default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（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三）2023年，济宁市统计局未接到人大代表建议和政协提案。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91" w:right="1588" w:bottom="1191" w:left="1588" w:header="851" w:footer="964" w:gutter="0"/>
      <w:pgNumType w:fmt="decimal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2510155</wp:posOffset>
              </wp:positionH>
              <wp:positionV relativeFrom="paragraph">
                <wp:posOffset>118110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65pt;margin-top:9.3pt;height:144pt;width:144pt;mso-position-horizontal-relative:margin;mso-wrap-style:none;z-index:251661312;mso-width-relative:page;mso-height-relative:page;" filled="f" stroked="f" coordsize="21600,21600" o:gfxdata="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EdEIS1gAAAAo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D1FD59"/>
    <w:multiLevelType w:val="singleLevel"/>
    <w:tmpl w:val="6DD1F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0030"/>
    <w:rsid w:val="00782FF5"/>
    <w:rsid w:val="02FA31EA"/>
    <w:rsid w:val="04A20030"/>
    <w:rsid w:val="05515CC6"/>
    <w:rsid w:val="057A490C"/>
    <w:rsid w:val="06C55DFE"/>
    <w:rsid w:val="07C4793A"/>
    <w:rsid w:val="084C407B"/>
    <w:rsid w:val="0888458F"/>
    <w:rsid w:val="0BDF7B09"/>
    <w:rsid w:val="0C883675"/>
    <w:rsid w:val="0DE446DC"/>
    <w:rsid w:val="0EC175E9"/>
    <w:rsid w:val="0F2C4CF2"/>
    <w:rsid w:val="0F844243"/>
    <w:rsid w:val="11EE4B68"/>
    <w:rsid w:val="12450788"/>
    <w:rsid w:val="13495D95"/>
    <w:rsid w:val="151B24AF"/>
    <w:rsid w:val="153B4F62"/>
    <w:rsid w:val="153F2633"/>
    <w:rsid w:val="161D0AC0"/>
    <w:rsid w:val="170E6162"/>
    <w:rsid w:val="17D84957"/>
    <w:rsid w:val="19E55CD1"/>
    <w:rsid w:val="1A33348C"/>
    <w:rsid w:val="1B3D393E"/>
    <w:rsid w:val="1B9C71DA"/>
    <w:rsid w:val="1BAE4EF6"/>
    <w:rsid w:val="1BD141B1"/>
    <w:rsid w:val="1C4B6079"/>
    <w:rsid w:val="1DD21EB2"/>
    <w:rsid w:val="1E907630"/>
    <w:rsid w:val="1F756278"/>
    <w:rsid w:val="20EA2C10"/>
    <w:rsid w:val="21E602EC"/>
    <w:rsid w:val="21F820C1"/>
    <w:rsid w:val="22F15352"/>
    <w:rsid w:val="22F81679"/>
    <w:rsid w:val="22FB14BA"/>
    <w:rsid w:val="240B0553"/>
    <w:rsid w:val="25CB5C91"/>
    <w:rsid w:val="26E4095C"/>
    <w:rsid w:val="27657FB0"/>
    <w:rsid w:val="2796077F"/>
    <w:rsid w:val="2946284B"/>
    <w:rsid w:val="29646BE1"/>
    <w:rsid w:val="29891E41"/>
    <w:rsid w:val="2B6F5066"/>
    <w:rsid w:val="2C734DFA"/>
    <w:rsid w:val="2D577A9F"/>
    <w:rsid w:val="2D5D1D78"/>
    <w:rsid w:val="2E3A0EE3"/>
    <w:rsid w:val="2EFF4BD3"/>
    <w:rsid w:val="30402FC3"/>
    <w:rsid w:val="30773D10"/>
    <w:rsid w:val="32732851"/>
    <w:rsid w:val="357B0060"/>
    <w:rsid w:val="35A86743"/>
    <w:rsid w:val="372A0312"/>
    <w:rsid w:val="38572001"/>
    <w:rsid w:val="3868591A"/>
    <w:rsid w:val="3BE270D8"/>
    <w:rsid w:val="40291362"/>
    <w:rsid w:val="40CD00DD"/>
    <w:rsid w:val="432A08FD"/>
    <w:rsid w:val="43AE02ED"/>
    <w:rsid w:val="43CE6D1E"/>
    <w:rsid w:val="44BC3610"/>
    <w:rsid w:val="451C3BF0"/>
    <w:rsid w:val="45E8203F"/>
    <w:rsid w:val="46410F44"/>
    <w:rsid w:val="479A226C"/>
    <w:rsid w:val="497C1BF8"/>
    <w:rsid w:val="4A190B1F"/>
    <w:rsid w:val="4A4F6B98"/>
    <w:rsid w:val="4AD93E52"/>
    <w:rsid w:val="4BA55D28"/>
    <w:rsid w:val="4BDE7972"/>
    <w:rsid w:val="4D4624FC"/>
    <w:rsid w:val="4DC27E84"/>
    <w:rsid w:val="4FDB6712"/>
    <w:rsid w:val="4FFC24CA"/>
    <w:rsid w:val="51C365B2"/>
    <w:rsid w:val="52CB3561"/>
    <w:rsid w:val="52EC7319"/>
    <w:rsid w:val="56FD5545"/>
    <w:rsid w:val="580524F4"/>
    <w:rsid w:val="58472064"/>
    <w:rsid w:val="58614E0C"/>
    <w:rsid w:val="5ADE1E7A"/>
    <w:rsid w:val="5C314DF7"/>
    <w:rsid w:val="5C80787C"/>
    <w:rsid w:val="5CA22237"/>
    <w:rsid w:val="5D2E1AAF"/>
    <w:rsid w:val="5D775E79"/>
    <w:rsid w:val="5E604DE2"/>
    <w:rsid w:val="5E77D7E2"/>
    <w:rsid w:val="5EC6388D"/>
    <w:rsid w:val="5EC96EFA"/>
    <w:rsid w:val="5F0458F0"/>
    <w:rsid w:val="5FBE5BF8"/>
    <w:rsid w:val="605A0B61"/>
    <w:rsid w:val="61950A8D"/>
    <w:rsid w:val="62702AB6"/>
    <w:rsid w:val="638805D7"/>
    <w:rsid w:val="648F5952"/>
    <w:rsid w:val="673741DA"/>
    <w:rsid w:val="67547394"/>
    <w:rsid w:val="68004A7F"/>
    <w:rsid w:val="68631768"/>
    <w:rsid w:val="697E68A8"/>
    <w:rsid w:val="69977655"/>
    <w:rsid w:val="6B3929BF"/>
    <w:rsid w:val="6C307222"/>
    <w:rsid w:val="6C526B57"/>
    <w:rsid w:val="6D6E7C26"/>
    <w:rsid w:val="71F716FC"/>
    <w:rsid w:val="73334380"/>
    <w:rsid w:val="75630023"/>
    <w:rsid w:val="7608293E"/>
    <w:rsid w:val="76853303"/>
    <w:rsid w:val="77042FD3"/>
    <w:rsid w:val="78A67911"/>
    <w:rsid w:val="7BB035FB"/>
    <w:rsid w:val="7C9106EB"/>
    <w:rsid w:val="7D7B6519"/>
    <w:rsid w:val="7EFE1AE9"/>
    <w:rsid w:val="7F1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2660</Words>
  <Characters>2768</Characters>
  <Lines>0</Lines>
  <Paragraphs>0</Paragraphs>
  <TotalTime>4</TotalTime>
  <ScaleCrop>false</ScaleCrop>
  <LinksUpToDate>false</LinksUpToDate>
  <CharactersWithSpaces>2769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2024-01-23T08:51:00Z</dcterms:created>
  <dc:creator>WPS_1520698171</dc:creator>
  <cp:lastModifiedBy>WPS_1520698171</cp:lastModifiedBy>
  <cp:lastPrinted>2024-01-24T15:50:00Z</cp:lastPrinted>
  <dcterms:modified xsi:type="dcterms:W3CDTF">2024-03-01T03:46:29Z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1635E97D3F5C4396B13B1F1800AD3C84</vt:lpwstr>
  </property>
</Properties>
</file>