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
<Relationships xmlns="http://schemas.openxmlformats.org/package/2006/relationships">
<Relationship Id="rId1" Target="docProps/app.xml" Type="http://schemas.openxmlformats.org/officeDocument/2006/relationships/extended-properties"/>
<Relationship Id="rId2" Target="docProps/core.xml" Type="http://schemas.openxmlformats.org/package/2006/relationships/metadata/core-properties"/>
<Relationship Id="rId3" Target="docProps/custom.xml" Type="http://schemas.openxmlformats.org/officeDocument/2006/relationships/custom-properties"/>
<Relationship Id="rId4" Target="word/document.xml" Type="http://schemas.openxmlformats.org/officeDocument/2006/relationships/officeDocument"/>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1100" w:lineRule="exact"/>
        <w:rPr>
          <w:rFonts w:ascii="文星标宋" w:hAnsi="文星标宋" w:eastAsia="文星标宋" w:cs="文星标宋"/>
          <w:color w:val="FF0000"/>
          <w:w w:val="48"/>
          <w:sz w:val="28"/>
          <w:szCs w:val="28"/>
        </w:rPr>
      </w:pPr>
    </w:p>
    <w:tbl>
      <w:tblPr>
        <w:tblStyle w:val="5"/>
        <w:tblW w:w="8527" w:type="dxa"/>
        <w:tblInd w:w="0" w:type="dxa"/>
        <w:tblLayout w:type="fixed"/>
        <w:tblCellMar>
          <w:top w:w="0" w:type="dxa"/>
          <w:left w:w="108" w:type="dxa"/>
          <w:bottom w:w="0" w:type="dxa"/>
          <w:right w:w="108" w:type="dxa"/>
        </w:tblCellMar>
      </w:tblPr>
      <w:tblGrid>
        <w:gridCol w:w="8527"/>
      </w:tblGrid>
      <w:tr>
        <w:tc>
          <w:tcPr>
            <w:tcW w:w="8527" w:type="dxa"/>
            <w:shd w:val="clear" w:color="auto" w:fill="auto"/>
          </w:tcPr>
          <w:p>
            <w:pPr>
              <w:spacing w:line="300" w:lineRule="auto"/>
              <w:jc w:val="center"/>
              <w:rPr>
                <w:rFonts w:ascii="方正小标宋简体" w:hAnsi="文星标宋" w:eastAsia="方正小标宋简体" w:cs="方正小标宋简体"/>
                <w:b/>
                <w:color w:val="FF0000"/>
                <w:w w:val="60"/>
                <w:sz w:val="120"/>
                <w:szCs w:val="120"/>
              </w:rPr>
            </w:pPr>
            <w:bookmarkStart w:id="0" w:name="print1"/>
            <w:r>
              <w:rPr>
                <w:rFonts w:hint="eastAsia" w:ascii="方正小标宋简体" w:hAnsi="文星标宋" w:eastAsia="方正小标宋简体" w:cs="方正小标宋简体"/>
                <w:b/>
                <w:color w:val="FF0000"/>
                <w:w w:val="60"/>
                <w:sz w:val="120"/>
                <w:szCs w:val="120"/>
                <w:lang w:bidi="ar"/>
              </w:rPr>
              <w:t>济 宁 市 人 民 政 府</w:t>
            </w:r>
            <w:bookmarkEnd w:id="0"/>
          </w:p>
        </w:tc>
      </w:tr>
    </w:tbl>
    <w:p>
      <w:pPr>
        <w:spacing w:line="300" w:lineRule="exact"/>
        <w:jc w:val="center"/>
      </w:pPr>
    </w:p>
    <w:p>
      <w:pPr>
        <w:spacing w:line="300" w:lineRule="exact"/>
        <w:jc w:val="center"/>
      </w:pPr>
    </w:p>
    <w:p>
      <w:pPr>
        <w:jc w:val="center"/>
        <w:rPr>
          <w:rFonts w:ascii="仿宋_GB2312" w:hAnsi="仿宋_GB2312" w:eastAsia="仿宋_GB2312" w:cs="仿宋_GB2312"/>
          <w:b/>
        </w:rPr>
      </w:pPr>
      <w:r>
        <w:rPr>
          <w:rFonts w:hint="eastAsia" w:ascii="方正仿宋简体" w:hAnsi="文星仿宋" w:eastAsia="方正仿宋简体" w:cs="方正仿宋简体"/>
          <w:b/>
          <w:sz w:val="32"/>
          <w:szCs w:val="32"/>
          <w:lang w:bidi="ar"/>
        </w:rPr>
        <w:t>济政字〔2022〕5号</w:t>
      </w:r>
    </w:p>
    <w:p>
      <w:pPr>
        <w:spacing w:line="620" w:lineRule="exact"/>
        <w:jc w:val="center"/>
        <w:rPr>
          <w:rFonts w:ascii="方正小标宋简体" w:hAnsi="文星仿宋" w:eastAsia="方正小标宋简体" w:cs="方正小标宋简体"/>
          <w:b/>
          <w:color w:val="FF0000"/>
          <w:sz w:val="44"/>
          <w:szCs w:val="44"/>
        </w:rPr>
      </w:pPr>
      <w:r>
        <w:rPr>
          <w:rFonts w:eastAsia="方正仿宋简体"/>
          <w:sz w:val="32"/>
          <w:szCs w:val="32"/>
        </w:rPr>
        <mc:AlternateContent>
          <mc:Choice Requires="wps">
            <w:drawing>
              <wp:anchor distT="0" distB="0" distL="114300" distR="114300" simplePos="0" relativeHeight="249561088" behindDoc="0" locked="0" layoutInCell="1" allowOverlap="1">
                <wp:simplePos x="0" y="0"/>
                <wp:positionH relativeFrom="column">
                  <wp:posOffset>0</wp:posOffset>
                </wp:positionH>
                <wp:positionV relativeFrom="paragraph">
                  <wp:posOffset>100965</wp:posOffset>
                </wp:positionV>
                <wp:extent cx="5471795" cy="0"/>
                <wp:effectExtent l="0" t="0" r="0" b="0"/>
                <wp:wrapNone/>
                <wp:docPr id="8" name="Line 10"/>
                <wp:cNvGraphicFramePr/>
                <a:graphic xmlns:a="http://schemas.openxmlformats.org/drawingml/2006/main">
                  <a:graphicData uri="http://schemas.microsoft.com/office/word/2010/wordprocessingShape">
                    <wps:wsp>
                      <wps:cNvCnPr/>
                      <wps:spPr>
                        <a:xfrm>
                          <a:off x="0" y="0"/>
                          <a:ext cx="5471795" cy="0"/>
                        </a:xfrm>
                        <a:prstGeom prst="line">
                          <a:avLst/>
                        </a:prstGeom>
                        <a:ln w="12700" cap="flat" cmpd="sng">
                          <a:solidFill>
                            <a:srgbClr val="FF0000"/>
                          </a:solidFill>
                          <a:prstDash val="solid"/>
                          <a:headEnd type="none" w="med" len="med"/>
                          <a:tailEnd type="none" w="med" len="med"/>
                        </a:ln>
                      </wps:spPr>
                      <wps:bodyPr/>
                    </wps:wsp>
                  </a:graphicData>
                </a:graphic>
              </wp:anchor>
            </w:drawing>
          </mc:Choice>
          <mc:Fallback>
            <w:pict>
              <v:line id="Line 10" o:spid="_x0000_s1026" o:spt="20" style="position:absolute;left:0pt;margin-left:0pt;margin-top:7.95pt;height:0pt;width:430.85pt;z-index:249561088;mso-width-relative:page;mso-height-relative:page;" filled="f" stroked="t" coordsize="21600,21600" o:gfxdata="UEsFBgAAAAAAAAAAAAAAAAAAAAAAAFBLAwQKAAAAAACHTuJAAAAAAAAAAAAAAAAABAAAAGRycy9Q SwMEFAAAAAgAh07iQONMvoDUAAAABgEAAA8AAABkcnMvZG93bnJldi54bWxNj71OxDAQhHsk3sFa JDrOCYL7CXFOCAkqKO44CjonXuJAvI5sXxLenkUURzkzq5lvy+3sejFiiJ0nBfkiA4HUeNNRq+Dw +ni1BhGTJqN7T6jgGyNsq/OzUhfGT7TDcZ9awSUUC63ApjQUUsbGotNx4Qckzj58cDqxDK00QU9c 7np5nWVL6XRHvGD1gA8Wm6/90Sm4eX6rhynY98PuaV5tcJ7Gl897pS4v8uwORMI5nY7hF5/RoWKm 2h/JRNEr4EcSu7cbEJyul/kKRP1nyKqU//GrH1BLAwQUAAAACACHTuJAuyOu8LsBAACBAwAADgAA AGRycy9lMm9Eb2MueG1srVPLbhsxDLwXyD8Iute7Npq6XXidQxz3ErQGmn4ArceuAL0gql7770vJ iZ20l6KoDzIlkkNyOLu6OzrLDiqhCb7n81nLmfIiSOOHnv942r7/xBlm8BJs8KrnJ4X8bn3zbjXF Ti3CGKxUiRGIx26KPR9zjl3ToBiVA5yFqDw5dUgOMl3T0MgEE6E72yza9mMzhSRjCkIh0uvm7OTr iq+1Evmb1qgysz2n3nI9Uz335WzWK+iGBHE04rkN+IcuHBhPRS9QG8jAfibzB5QzIgUMOs9EcE3Q 2ghVZ6Bp5u1v03wfIao6C5GD8UIT/j9Y8fWwS8zIntOiPDha0aPxis0rNVPEjiLu/S4RUeWGcZfK nEedXPmnCdix0nm60KmOmQl6vP2wnC8/33ImXnzNNTEmzF9UcKwYPbdUtBIIh0fMVIxCX0JKHevZ RPpaLFvaogBSiraQyXSRekc/1GQM1sitsbakYBr29zaxA9Dut9uWfmXdBPwmrFTZAI7nuOo6q2JU IB+8ZPkUiRVP8uWlB6ckZ1aR2otV9ZPB2L+JpNLWUwdXIou1D/JU+a3vtOfa47Mmi5Be32v29ctZ /wJQSwMECgAAAAAAh07iQAAAAAAAAAAAAAAAAAYAAABfcmVscy9QSwMEFAAAAAgAh07iQIoUZjzR AAAAlAEAAAsAAABfcmVscy8ucmVsc6WQwWrDMAyG74O9g9F9cZrDGKNOL6PQa+kewNiKYxpbRjLZ +vbzDoNl9LajfqHvE//+8JkWtSJLpGxg1/WgMDvyMQcD75fj0wsoqTZ7u1BGAzcUOIyPD/szLra2 I5ljEdUoWQzMtZZXrcXNmKx0VDC3zUScbG0jB12su9qAeuj7Z82/GTBumOrkDfDJD6Aut9LMf9gp OiahqXaOkqZpiu4eVQe2ZY7uyDbhG7lGsxywGvAsGgdqWdd+BH1fv/un3tNHPuO61X6HjOuPV2+6 HL8AUEsDBBQAAAAIAIdO4kB+5uUg9wAAAOEBAAATAAAAW0NvbnRlbnRfVHlwZXNdLnhtbJWRQU7D MBBF90jcwfIWJU67QAgl6YK0S0CoHGBkTxKLZGx5TGhvj5O2G0SRWNoz/78nu9wcxkFMGNg6quQq L6RA0s5Y6ir5vt9lD1JwBDIwOMJKHpHlpr69KfdHjyxSmriSfYz+USnWPY7AufNIadK6MEJMx9Ap D/oDOlTrorhX2lFEilmcO2RdNtjC5xDF9pCuTyYBB5bi6bQ4syoJ3g9WQ0ymaiLzg5KdCXlKLjvc W893SUOqXwnz5DrgnHtJTxOsQfEKIT7DmDSUCayM+6KAU/53yWw5cuba1mrMm8BNir3hdLG61o5r 1zj93/Ltkrp0q+WD6m9QSwECFAAUAAAACACHTuJAfublIPcAAADhAQAAEwAAAAAAAAABACAAAAA+ BAAAW0NvbnRlbnRfVHlwZXNdLnhtbFBLAQIUAAoAAAAAAIdO4kAAAAAAAAAAAAAAAAAGAAAAAAAA AAAAEAAAACADAABfcmVscy9QSwECFAAUAAAACACHTuJAihRmPNEAAACUAQAACwAAAAAAAAABACAA AABEAwAAX3JlbHMvLnJlbHNQSwECFAAKAAAAAACHTuJAAAAAAAAAAAAAAAAABAAAAAAAAAAAABAA AAAWAAAAZHJzL1BLAQIUABQAAAAIAIdO4kDjTL6A1AAAAAYBAAAPAAAAAAAAAAEAIAAAADgAAABk cnMvZG93bnJldi54bWxQSwECFAAUAAAACACHTuJAuyOu8LsBAACBAwAADgAAAAAAAAABACAAAAA5 AQAAZHJzL2Uyb0RvYy54bWxQSwUGAAAAAAYABgBZAQAAZgUAAAAA ">
                <v:fill on="f" focussize="0,0"/>
                <v:stroke weight="1pt" color="#FF0000" joinstyle="round"/>
                <v:imagedata o:title=""/>
                <o:lock v:ext="edit" aspectratio="f"/>
              </v:line>
            </w:pict>
          </mc:Fallback>
        </mc:AlternateContent>
      </w:r>
    </w:p>
    <w:p>
      <w:pPr>
        <w:spacing w:line="620" w:lineRule="exact"/>
        <w:jc w:val="center"/>
        <w:rPr>
          <w:rFonts w:ascii="方正小标宋简体" w:hAnsi="文星仿宋" w:eastAsia="方正小标宋简体" w:cs="方正小标宋简体"/>
          <w:b/>
          <w:color w:val="000000"/>
          <w:sz w:val="44"/>
          <w:szCs w:val="44"/>
        </w:rPr>
      </w:pPr>
    </w:p>
    <w:p>
      <w:pPr>
        <w:tabs>
          <w:tab w:val="left" w:pos="8730"/>
        </w:tabs>
        <w:spacing w:line="500" w:lineRule="exact"/>
        <w:ind w:right="-96" w:rightChars="-50"/>
        <w:jc w:val="center"/>
        <w:rPr>
          <w:rFonts w:ascii="方正小标宋简体" w:hAnsi="方正小标宋简体" w:eastAsia="方正小标宋简体" w:cs="方正小标宋简体"/>
          <w:b/>
          <w:color w:val="000000"/>
          <w:spacing w:val="40"/>
          <w:sz w:val="44"/>
          <w:szCs w:val="44"/>
        </w:rPr>
      </w:pPr>
      <w:bookmarkStart w:id="1" w:name="标题"/>
      <w:bookmarkEnd w:id="1"/>
      <w:r>
        <w:rPr>
          <w:rFonts w:hint="eastAsia" w:ascii="方正小标宋简体" w:hAnsi="方正小标宋简体" w:eastAsia="方正小标宋简体" w:cs="方正小标宋简体"/>
          <w:b/>
          <w:spacing w:val="40"/>
          <w:sz w:val="44"/>
          <w:szCs w:val="44"/>
          <w:lang w:bidi="ar"/>
        </w:rPr>
        <w:t>济宁市人民政</w:t>
      </w:r>
      <w:r>
        <w:rPr>
          <w:rFonts w:hint="eastAsia" w:ascii="方正小标宋简体" w:hAnsi="方正小标宋简体" w:eastAsia="方正小标宋简体" w:cs="方正小标宋简体"/>
          <w:b/>
          <w:sz w:val="44"/>
          <w:szCs w:val="44"/>
          <w:lang w:bidi="ar"/>
        </w:rPr>
        <w:t>府</w:t>
      </w:r>
    </w:p>
    <w:p>
      <w:pPr>
        <w:spacing w:line="500" w:lineRule="exact"/>
        <w:ind w:right="-96" w:rightChars="-50"/>
        <w:jc w:val="center"/>
        <w:rPr>
          <w:rFonts w:ascii="方正小标宋简体" w:hAnsi="文星仿宋" w:eastAsia="方正小标宋简体" w:cs="方正小标宋简体"/>
          <w:b/>
          <w:spacing w:val="-8"/>
          <w:sz w:val="44"/>
          <w:szCs w:val="44"/>
          <w:lang w:bidi="ar"/>
        </w:rPr>
      </w:pPr>
      <w:bookmarkStart w:id="2" w:name="BKsubject"/>
      <w:r>
        <w:rPr>
          <w:rFonts w:hint="eastAsia" w:ascii="方正小标宋简体" w:hAnsi="文星仿宋" w:eastAsia="方正小标宋简体" w:cs="方正小标宋简体"/>
          <w:b/>
          <w:spacing w:val="-8"/>
          <w:sz w:val="44"/>
          <w:szCs w:val="44"/>
          <w:lang w:bidi="ar"/>
        </w:rPr>
        <w:t>关于印发济宁市能源发展“十四五”规划的</w:t>
      </w:r>
    </w:p>
    <w:p>
      <w:pPr>
        <w:spacing w:line="500" w:lineRule="exact"/>
        <w:ind w:right="-96" w:rightChars="-50"/>
        <w:jc w:val="center"/>
        <w:rPr>
          <w:rFonts w:ascii="方正小标宋简体" w:hAnsi="文星仿宋" w:eastAsia="方正小标宋简体" w:cs="方正小标宋简体"/>
          <w:b/>
          <w:sz w:val="44"/>
          <w:szCs w:val="44"/>
        </w:rPr>
      </w:pPr>
      <w:r>
        <w:rPr>
          <w:rFonts w:hint="eastAsia" w:ascii="方正小标宋简体" w:hAnsi="文星仿宋" w:eastAsia="方正小标宋简体" w:cs="方正小标宋简体"/>
          <w:b/>
          <w:sz w:val="44"/>
          <w:szCs w:val="44"/>
          <w:lang w:bidi="ar"/>
        </w:rPr>
        <w:t>通    知</w:t>
      </w:r>
      <w:bookmarkEnd w:id="2"/>
    </w:p>
    <w:p>
      <w:pPr>
        <w:spacing w:line="500" w:lineRule="exact"/>
        <w:ind w:right="-96" w:rightChars="-50"/>
        <w:rPr>
          <w:rFonts w:ascii="方正仿宋简体" w:hAnsi="文星仿宋" w:eastAsia="方正仿宋简体" w:cs="方正仿宋简体"/>
          <w:b/>
          <w:color w:val="000000"/>
        </w:rPr>
      </w:pPr>
    </w:p>
    <w:p>
      <w:pPr>
        <w:pStyle w:val="4"/>
        <w:widowControl w:val="0"/>
        <w:spacing w:beforeAutospacing="0" w:afterAutospacing="0" w:line="500" w:lineRule="exact"/>
        <w:ind w:right="-96" w:rightChars="-50"/>
        <w:jc w:val="both"/>
        <w:rPr>
          <w:rFonts w:hint="default" w:ascii="方正仿宋简体" w:hAnsi="Tahoma" w:eastAsia="方正仿宋简体" w:cs="Tahoma"/>
          <w:b/>
          <w:color w:val="000000"/>
          <w:sz w:val="32"/>
          <w:szCs w:val="32"/>
        </w:rPr>
      </w:pPr>
      <w:r>
        <w:rPr>
          <w:rFonts w:ascii="方正仿宋简体" w:hAnsi="Tahoma" w:eastAsia="方正仿宋简体" w:cs="Tahoma"/>
          <w:b/>
          <w:color w:val="000000"/>
          <w:sz w:val="32"/>
          <w:szCs w:val="32"/>
        </w:rPr>
        <w:t>各县（市、区）人民政府，济宁高新区、太白湖新区、济宁经济技术开发区、曲阜文化建设示范区管委会（推进办公室），市政府各部门，各大企业，各高等院校：</w:t>
      </w:r>
    </w:p>
    <w:p>
      <w:pPr>
        <w:pStyle w:val="4"/>
        <w:widowControl w:val="0"/>
        <w:spacing w:beforeAutospacing="0" w:afterAutospacing="0" w:line="500" w:lineRule="exact"/>
        <w:ind w:right="-96" w:rightChars="-50"/>
        <w:jc w:val="both"/>
        <w:rPr>
          <w:rFonts w:hint="default" w:ascii="方正仿宋简体" w:hAnsi="Tahoma" w:eastAsia="方正仿宋简体" w:cs="Tahoma"/>
          <w:b/>
          <w:color w:val="000000"/>
          <w:sz w:val="32"/>
          <w:szCs w:val="32"/>
        </w:rPr>
      </w:pPr>
      <w:r>
        <w:rPr>
          <w:rFonts w:ascii="方正仿宋简体" w:hAnsi="Tahoma" w:eastAsia="方正仿宋简体" w:cs="Tahoma"/>
          <w:b/>
          <w:color w:val="000000"/>
          <w:sz w:val="32"/>
          <w:szCs w:val="32"/>
        </w:rPr>
        <w:t>　　现将《</w:t>
      </w:r>
      <w:r>
        <w:rPr>
          <w:rFonts w:ascii="方正仿宋简体" w:hAnsi="方正仿宋简体" w:eastAsia="方正仿宋简体" w:cs="方正仿宋简体"/>
          <w:b/>
          <w:color w:val="000000"/>
          <w:sz w:val="32"/>
        </w:rPr>
        <w:t>济宁市能源发展“十四五”规划》印发给你们，请认真贯彻实施。</w:t>
      </w:r>
    </w:p>
    <w:p>
      <w:pPr>
        <w:pStyle w:val="4"/>
        <w:widowControl w:val="0"/>
        <w:spacing w:beforeAutospacing="0" w:afterAutospacing="0" w:line="500" w:lineRule="exact"/>
        <w:ind w:firstLine="624" w:firstLineChars="200"/>
        <w:jc w:val="both"/>
        <w:rPr>
          <w:rFonts w:hint="default" w:ascii="方正仿宋简体" w:hAnsi="Tahoma" w:eastAsia="方正仿宋简体" w:cs="Tahoma"/>
          <w:b/>
          <w:color w:val="000000"/>
          <w:sz w:val="32"/>
          <w:szCs w:val="32"/>
        </w:rPr>
      </w:pPr>
    </w:p>
    <w:p>
      <w:pPr>
        <w:pStyle w:val="4"/>
        <w:widowControl w:val="0"/>
        <w:spacing w:beforeAutospacing="0" w:afterAutospacing="0" w:line="500" w:lineRule="exact"/>
        <w:ind w:firstLine="624" w:firstLineChars="200"/>
        <w:jc w:val="both"/>
        <w:rPr>
          <w:rFonts w:hint="default" w:ascii="方正仿宋简体" w:hAnsi="Tahoma" w:eastAsia="方正仿宋简体" w:cs="Tahoma"/>
          <w:b/>
          <w:color w:val="000000"/>
          <w:sz w:val="32"/>
          <w:szCs w:val="32"/>
        </w:rPr>
      </w:pPr>
    </w:p>
    <w:p>
      <w:pPr>
        <w:pStyle w:val="4"/>
        <w:widowControl w:val="0"/>
        <w:spacing w:beforeAutospacing="0" w:afterAutospacing="0" w:line="500" w:lineRule="exact"/>
        <w:ind w:firstLine="624" w:firstLineChars="200"/>
        <w:jc w:val="both"/>
        <w:rPr>
          <w:rFonts w:hint="default" w:ascii="方正仿宋简体" w:hAnsi="Tahoma" w:eastAsia="方正仿宋简体" w:cs="Tahoma"/>
          <w:b/>
          <w:color w:val="000000"/>
          <w:sz w:val="32"/>
          <w:szCs w:val="32"/>
        </w:rPr>
      </w:pPr>
    </w:p>
    <w:p>
      <w:pPr>
        <w:pStyle w:val="4"/>
        <w:widowControl w:val="0"/>
        <w:spacing w:beforeAutospacing="0" w:afterAutospacing="0" w:line="600" w:lineRule="exact"/>
        <w:jc w:val="both"/>
        <w:rPr>
          <w:rFonts w:hint="default" w:ascii="方正仿宋简体" w:hAnsi="Tahoma" w:eastAsia="方正仿宋简体" w:cs="Tahoma"/>
          <w:b/>
          <w:color w:val="000000"/>
          <w:sz w:val="32"/>
          <w:szCs w:val="32"/>
        </w:rPr>
      </w:pPr>
      <w:r>
        <w:rPr>
          <w:rFonts w:ascii="方正仿宋简体" w:hAnsi="Tahoma" w:eastAsia="方正仿宋简体" w:cs="Tahoma"/>
          <w:b/>
          <w:color w:val="000000"/>
          <w:sz w:val="32"/>
          <w:szCs w:val="32"/>
        </w:rPr>
        <w:t xml:space="preserve">                                 济宁市人民政府 </w:t>
      </w:r>
    </w:p>
    <w:p>
      <w:pPr>
        <w:pStyle w:val="4"/>
        <w:widowControl w:val="0"/>
        <w:spacing w:beforeAutospacing="0" w:afterAutospacing="0" w:line="600" w:lineRule="exact"/>
        <w:ind w:right="1092" w:firstLine="1248" w:firstLineChars="400"/>
        <w:jc w:val="right"/>
        <w:rPr>
          <w:rFonts w:hint="default" w:ascii="方正仿宋简体" w:hAnsi="Tahoma" w:eastAsia="方正仿宋简体" w:cs="Tahoma"/>
          <w:b/>
          <w:color w:val="000000"/>
          <w:sz w:val="32"/>
          <w:szCs w:val="32"/>
        </w:rPr>
      </w:pPr>
      <w:r>
        <w:rPr>
          <w:rFonts w:ascii="方正仿宋简体" w:hAnsi="Tahoma" w:eastAsia="方正仿宋简体" w:cs="Tahoma"/>
          <w:b/>
          <w:color w:val="000000"/>
          <w:sz w:val="32"/>
          <w:szCs w:val="32"/>
        </w:rPr>
        <w:t xml:space="preserve">2022年1月27日   </w:t>
      </w:r>
    </w:p>
    <w:p>
      <w:pPr>
        <w:pStyle w:val="4"/>
        <w:widowControl w:val="0"/>
        <w:spacing w:beforeAutospacing="0" w:afterAutospacing="0" w:line="500" w:lineRule="exact"/>
        <w:ind w:firstLine="624" w:firstLineChars="200"/>
        <w:jc w:val="both"/>
        <w:rPr>
          <w:rFonts w:hint="default" w:ascii="方正仿宋简体" w:hAnsi="Tahoma" w:eastAsia="方正仿宋简体" w:cs="Tahoma"/>
          <w:b/>
          <w:color w:val="000000"/>
          <w:sz w:val="32"/>
          <w:szCs w:val="32"/>
        </w:rPr>
      </w:pPr>
      <w:r>
        <w:rPr>
          <w:rFonts w:ascii="方正仿宋简体" w:hAnsi="Tahoma" w:eastAsia="方正仿宋简体" w:cs="Tahoma"/>
          <w:b/>
          <w:color w:val="000000"/>
          <w:sz w:val="32"/>
          <w:szCs w:val="32"/>
        </w:rPr>
        <w:t>（此件公开发布）</w:t>
      </w:r>
    </w:p>
    <w:p>
      <w:pPr>
        <w:spacing w:line="590" w:lineRule="exact"/>
        <w:ind w:right="-96" w:rightChars="-50"/>
      </w:pPr>
    </w:p>
    <w:p>
      <w:pPr>
        <w:spacing w:line="590" w:lineRule="exact"/>
        <w:ind w:right="-96" w:rightChars="-50" w:firstLine="624" w:firstLineChars="200"/>
        <w:rPr>
          <w:rFonts w:ascii="方正仿宋简体" w:hAnsi="文星仿宋" w:eastAsia="方正仿宋简体" w:cs="方正仿宋简体"/>
          <w:b/>
          <w:color w:val="000000"/>
          <w:sz w:val="32"/>
          <w:szCs w:val="32"/>
        </w:rPr>
      </w:pPr>
    </w:p>
    <w:p>
      <w:pPr>
        <w:spacing w:line="590" w:lineRule="exact"/>
        <w:ind w:right="-96" w:rightChars="-50"/>
        <w:jc w:val="center"/>
        <w:rPr>
          <w:rFonts w:ascii="方正小标宋简体" w:hAnsi="文星仿宋" w:eastAsia="方正小标宋简体" w:cs="方正仿宋简体"/>
          <w:b/>
          <w:color w:val="000000"/>
          <w:sz w:val="44"/>
          <w:szCs w:val="44"/>
        </w:rPr>
      </w:pPr>
      <w:r>
        <w:rPr>
          <w:rFonts w:hint="eastAsia" w:ascii="方正小标宋简体" w:hAnsi="文星仿宋" w:eastAsia="方正小标宋简体" w:cs="方正仿宋简体"/>
          <w:b/>
          <w:color w:val="000000"/>
          <w:sz w:val="44"/>
          <w:szCs w:val="44"/>
        </w:rPr>
        <w:t>济宁市能源发展“十四五”规划</w:t>
      </w:r>
    </w:p>
    <w:p>
      <w:pPr>
        <w:spacing w:line="590" w:lineRule="exact"/>
        <w:ind w:right="-96" w:rightChars="-50" w:firstLine="624" w:firstLineChars="200"/>
        <w:rPr>
          <w:rFonts w:ascii="方正仿宋简体" w:hAnsi="文星仿宋" w:eastAsia="方正仿宋简体" w:cs="方正仿宋简体"/>
          <w:b/>
          <w:color w:val="000000"/>
          <w:sz w:val="32"/>
          <w:szCs w:val="32"/>
        </w:rPr>
      </w:pPr>
    </w:p>
    <w:p>
      <w:pPr>
        <w:spacing w:line="590" w:lineRule="exact"/>
        <w:ind w:right="-96" w:rightChars="-50"/>
        <w:jc w:val="center"/>
        <w:rPr>
          <w:rFonts w:ascii="方正小标宋简体" w:hAnsi="文星仿宋" w:eastAsia="方正小标宋简体" w:cs="方正仿宋简体"/>
          <w:b/>
          <w:color w:val="000000"/>
          <w:sz w:val="32"/>
          <w:szCs w:val="32"/>
        </w:rPr>
      </w:pPr>
      <w:r>
        <w:rPr>
          <w:rFonts w:hint="eastAsia" w:ascii="方正小标宋简体" w:hAnsi="文星仿宋" w:eastAsia="方正小标宋简体" w:cs="方正仿宋简体"/>
          <w:b/>
          <w:color w:val="000000"/>
          <w:sz w:val="32"/>
          <w:szCs w:val="32"/>
        </w:rPr>
        <w:t>前    言</w:t>
      </w:r>
    </w:p>
    <w:p>
      <w:pPr>
        <w:spacing w:line="590" w:lineRule="exact"/>
        <w:ind w:right="-96" w:rightChars="-50"/>
        <w:jc w:val="center"/>
        <w:rPr>
          <w:rFonts w:ascii="方正小标宋简体" w:hAnsi="文星仿宋" w:eastAsia="方正小标宋简体" w:cs="方正仿宋简体"/>
          <w:b/>
          <w:color w:val="000000"/>
          <w:sz w:val="32"/>
          <w:szCs w:val="32"/>
        </w:rPr>
      </w:pPr>
    </w:p>
    <w:p>
      <w:pPr>
        <w:spacing w:line="590" w:lineRule="exact"/>
        <w:ind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能源是经济社会发展的基础和动力。“十四五”时期是我省“一群两心三圈”区域战略深入实施并助推新中心崛起的关键时期，也是我市推进能源绿色低碳发展、加快资源型城市转型、推动高质量发展的攻坚期，迈入基本实现社会主义现代化新征程的跨越期。</w:t>
      </w:r>
    </w:p>
    <w:p>
      <w:pPr>
        <w:spacing w:line="590" w:lineRule="exact"/>
        <w:ind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党的十九届五中全会明确提出推进能源革命，加快绿色低碳发展。站在新的历史起点上，必须准确把握新发展阶段，全面贯彻新发展理念，服务构建新发展格局，紧扣高质量发展主题，深化结构性改革，系统谋划我市未来五年能源发展，推动能源发展质量变革、效率变革、动力变革，加快构建清洁低碳、安全高效、智慧多元的现代能源体系，为我市跨入全省第一方阵、争当鲁南经济圈排头兵夯实基础。</w:t>
      </w:r>
    </w:p>
    <w:p>
      <w:pPr>
        <w:spacing w:line="590" w:lineRule="exact"/>
        <w:ind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本规划明确了指导思想、基本原则、发展目标和主要任务，是我市“十四五”时期能源发展的总体蓝图和行动纲领，是规划建设有关重大能源设施、制定能源领域相关专项规划和政策的基本依据。</w:t>
      </w:r>
    </w:p>
    <w:p>
      <w:pPr>
        <w:spacing w:line="560" w:lineRule="exact"/>
        <w:ind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规划的基准年为2020年，规划期限为2021—2025年，远景展望到2035年。根据经济社会发展变化，适时进行调整和修编。</w:t>
      </w:r>
    </w:p>
    <w:p>
      <w:pPr>
        <w:spacing w:line="570" w:lineRule="exact"/>
        <w:rPr>
          <w:rFonts w:ascii="方正仿宋简体" w:hAnsi="文星仿宋" w:eastAsia="方正仿宋简体" w:cs="方正仿宋简体"/>
          <w:b/>
          <w:color w:val="000000"/>
          <w:sz w:val="32"/>
          <w:szCs w:val="32"/>
        </w:rPr>
      </w:pPr>
    </w:p>
    <w:p>
      <w:pPr>
        <w:spacing w:line="570" w:lineRule="exact"/>
        <w:jc w:val="center"/>
        <w:rPr>
          <w:rFonts w:ascii="方正小标宋简体" w:hAnsi="文星仿宋" w:eastAsia="方正小标宋简体" w:cs="方正仿宋简体"/>
          <w:b/>
          <w:color w:val="000000"/>
          <w:sz w:val="32"/>
          <w:szCs w:val="32"/>
        </w:rPr>
      </w:pPr>
      <w:r>
        <w:rPr>
          <w:rFonts w:hint="eastAsia" w:ascii="方正小标宋简体" w:hAnsi="文星仿宋" w:eastAsia="方正小标宋简体" w:cs="方正仿宋简体"/>
          <w:b/>
          <w:color w:val="000000"/>
          <w:sz w:val="32"/>
          <w:szCs w:val="32"/>
        </w:rPr>
        <w:t>第一章  总体要求和目标</w:t>
      </w:r>
    </w:p>
    <w:p>
      <w:pPr>
        <w:spacing w:line="570" w:lineRule="exact"/>
        <w:ind w:firstLine="624" w:firstLineChars="200"/>
        <w:rPr>
          <w:rFonts w:ascii="方正仿宋简体" w:hAnsi="文星仿宋" w:eastAsia="方正仿宋简体" w:cs="方正仿宋简体"/>
          <w:b/>
          <w:color w:val="000000"/>
          <w:sz w:val="32"/>
          <w:szCs w:val="32"/>
        </w:rPr>
      </w:pPr>
    </w:p>
    <w:p>
      <w:pPr>
        <w:spacing w:line="570" w:lineRule="exact"/>
        <w:ind w:firstLine="624" w:firstLineChars="200"/>
        <w:rPr>
          <w:rFonts w:ascii="方正黑体简体" w:hAnsi="文星仿宋" w:eastAsia="方正黑体简体" w:cs="方正仿宋简体"/>
          <w:b/>
          <w:color w:val="000000"/>
          <w:sz w:val="32"/>
          <w:szCs w:val="32"/>
        </w:rPr>
      </w:pPr>
      <w:r>
        <w:rPr>
          <w:rFonts w:hint="eastAsia" w:ascii="方正黑体简体" w:hAnsi="文星仿宋" w:eastAsia="方正黑体简体" w:cs="方正仿宋简体"/>
          <w:b/>
          <w:color w:val="000000"/>
          <w:sz w:val="32"/>
          <w:szCs w:val="32"/>
        </w:rPr>
        <w:t>一、指导思想</w:t>
      </w:r>
    </w:p>
    <w:p>
      <w:pPr>
        <w:spacing w:line="570" w:lineRule="exact"/>
        <w:ind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坚持以习近平新时代中国特色社会主义思想为指导，全面贯彻党的十九大、十九届二中、三中、四中、五中、六中全会精神和习近平总书记视察山东、视察济宁重要讲话精神，全面落实“四个革命、一个合作”能源安全新战略，准确把握新发展阶段，深入贯彻新发展理念，服务构建新发展格局，以推动能源高质量发展为主题，以深化能源供给侧结构性改革为主线，大力实施“两优两增”工程，以创新为第一动力，加快转变能源生产消费模式，分类推动技术创新、产业创新、商业模式创新，推动能源消费升级，筑牢能源生产安全底线，提高能源服务水平，努力构建清洁低碳、安全高效、智慧多元的现代能源体系，为加速实现资源型城市转型，推动济宁高质量发展，跨入全省第一方阵、争当鲁南经济圈排头兵提供安全、稳定、清洁、经济的能源保障。</w:t>
      </w:r>
    </w:p>
    <w:p>
      <w:pPr>
        <w:spacing w:line="570" w:lineRule="exact"/>
        <w:ind w:firstLine="624" w:firstLineChars="200"/>
        <w:rPr>
          <w:rFonts w:ascii="方正黑体简体" w:hAnsi="文星仿宋" w:eastAsia="方正黑体简体" w:cs="方正仿宋简体"/>
          <w:b/>
          <w:color w:val="000000"/>
          <w:sz w:val="32"/>
          <w:szCs w:val="32"/>
        </w:rPr>
      </w:pPr>
      <w:r>
        <w:rPr>
          <w:rFonts w:hint="eastAsia" w:ascii="方正黑体简体" w:hAnsi="文星仿宋" w:eastAsia="方正黑体简体" w:cs="方正仿宋简体"/>
          <w:b/>
          <w:color w:val="000000"/>
          <w:sz w:val="32"/>
          <w:szCs w:val="32"/>
        </w:rPr>
        <w:t>二、基本原则</w:t>
      </w:r>
    </w:p>
    <w:p>
      <w:pPr>
        <w:spacing w:line="560" w:lineRule="exact"/>
        <w:ind w:firstLine="624"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坚持多元开放，安全发展。</w:t>
      </w:r>
      <w:r>
        <w:rPr>
          <w:rFonts w:hint="eastAsia" w:ascii="方正仿宋简体" w:hAnsi="文星仿宋" w:eastAsia="方正仿宋简体" w:cs="方正仿宋简体"/>
          <w:b/>
          <w:color w:val="000000"/>
          <w:sz w:val="32"/>
          <w:szCs w:val="32"/>
        </w:rPr>
        <w:t>把安全发展贯穿能源各领域和全过程，加快煤炭、电力两大主业优化升级，推动企业转型，提高可持续发展能力，构建内外并举、品种多样的生产供应体系，主体稳定、多层互补的应急储备体系，统一开放、竞争有序的能源市场体系，实现深度开放条件下的能源安全。</w:t>
      </w:r>
    </w:p>
    <w:p>
      <w:pPr>
        <w:spacing w:line="600" w:lineRule="exact"/>
        <w:ind w:firstLine="624"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坚持清洁低碳，绿色发展。</w:t>
      </w:r>
      <w:r>
        <w:rPr>
          <w:rFonts w:hint="eastAsia" w:ascii="方正仿宋简体" w:hAnsi="文星仿宋" w:eastAsia="方正仿宋简体" w:cs="方正仿宋简体"/>
          <w:b/>
          <w:color w:val="000000"/>
          <w:sz w:val="32"/>
          <w:szCs w:val="32"/>
        </w:rPr>
        <w:t>把发展清洁低碳能源作为调整能源结构的主攻方向，大力推进化石能源清洁高效利用与非化石能源快速增长，优化能源消费结构，压减煤炭消费总量，持续降低主要污染物排放总量和碳排放强度，促进生态文明建设，实现能源开发利用与生态环境保护和谐共生。</w:t>
      </w:r>
    </w:p>
    <w:p>
      <w:pPr>
        <w:spacing w:line="600" w:lineRule="exact"/>
        <w:ind w:firstLine="624"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坚持创新驱动，融合发展。</w:t>
      </w:r>
      <w:r>
        <w:rPr>
          <w:rFonts w:hint="eastAsia" w:ascii="方正仿宋简体" w:hAnsi="文星仿宋" w:eastAsia="方正仿宋简体" w:cs="方正仿宋简体"/>
          <w:b/>
          <w:color w:val="000000"/>
          <w:sz w:val="32"/>
          <w:szCs w:val="32"/>
        </w:rPr>
        <w:t>把创新作为推动能源高质量发展的第一动力，推动技术创新，推进能源与数字技术、信息技术深度融合，倡导科技兴安；推动产业创新，加强成果转化，加快产业化步伐；推动模式创新，重视人才培养，深化能源重点领域体制改革和机制创新，利用新模式培育我市产业升级的新增长极。</w:t>
      </w:r>
    </w:p>
    <w:p>
      <w:pPr>
        <w:spacing w:line="600" w:lineRule="exact"/>
        <w:ind w:firstLine="624"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坚持节约高效，协调发展。</w:t>
      </w:r>
      <w:r>
        <w:rPr>
          <w:rFonts w:hint="eastAsia" w:ascii="方正仿宋简体" w:hAnsi="文星仿宋" w:eastAsia="方正仿宋简体" w:cs="方正仿宋简体"/>
          <w:b/>
          <w:color w:val="000000"/>
          <w:sz w:val="32"/>
          <w:szCs w:val="32"/>
        </w:rPr>
        <w:t>把能源节约贯穿经济社会发展的各领域各环节，积极推行国际先进能效标准和节能制度，推动形成节能型生产方式和消费模式；加强能源系统统筹协调和集成优化，推动各类能源协同发展，实现集约高效开发、科学高效利用。</w:t>
      </w:r>
    </w:p>
    <w:p>
      <w:pPr>
        <w:spacing w:line="600" w:lineRule="exact"/>
        <w:ind w:firstLine="624"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坚持以人为本，共享发展。</w:t>
      </w:r>
      <w:r>
        <w:rPr>
          <w:rFonts w:hint="eastAsia" w:ascii="方正仿宋简体" w:hAnsi="文星仿宋" w:eastAsia="方正仿宋简体" w:cs="方正仿宋简体"/>
          <w:b/>
          <w:color w:val="000000"/>
          <w:sz w:val="32"/>
          <w:szCs w:val="32"/>
        </w:rPr>
        <w:t>把改善人民群众用能条件作为出发点和落脚点，深入贯彻高水平全面建成小康社会要求，加快用能基础设施向城乡覆盖，大力实施清洁能源惠民利民工程，显著提高能源普遍服务水平；不断满足人民群众对美好生活的向往，充分共享能源高质量发展成果。</w:t>
      </w:r>
    </w:p>
    <w:p>
      <w:pPr>
        <w:spacing w:line="600" w:lineRule="exact"/>
        <w:ind w:firstLine="624" w:firstLineChars="200"/>
        <w:rPr>
          <w:rFonts w:ascii="方正黑体简体" w:hAnsi="文星仿宋" w:eastAsia="方正黑体简体" w:cs="方正仿宋简体"/>
          <w:b/>
          <w:color w:val="000000"/>
          <w:sz w:val="32"/>
          <w:szCs w:val="32"/>
        </w:rPr>
      </w:pPr>
      <w:r>
        <w:rPr>
          <w:rFonts w:hint="eastAsia" w:ascii="方正黑体简体" w:hAnsi="文星仿宋" w:eastAsia="方正黑体简体" w:cs="方正仿宋简体"/>
          <w:b/>
          <w:color w:val="000000"/>
          <w:sz w:val="32"/>
          <w:szCs w:val="32"/>
        </w:rPr>
        <w:t>三、主要目标</w:t>
      </w:r>
    </w:p>
    <w:p>
      <w:pPr>
        <w:spacing w:line="600" w:lineRule="exact"/>
        <w:ind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到2025年，全市能源消费“双控”更加有力，能源供应更加稳定，能源储备体系更加完善，能源结构优化更加明显，能源利用更加高效。主要目标是：</w:t>
      </w:r>
    </w:p>
    <w:p>
      <w:pPr>
        <w:spacing w:line="600" w:lineRule="exact"/>
        <w:ind w:firstLine="624"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总量目标。</w:t>
      </w:r>
      <w:r>
        <w:rPr>
          <w:rFonts w:hint="eastAsia" w:ascii="方正仿宋简体" w:hAnsi="文星仿宋" w:eastAsia="方正仿宋简体" w:cs="方正仿宋简体"/>
          <w:b/>
          <w:color w:val="000000"/>
          <w:sz w:val="32"/>
          <w:szCs w:val="32"/>
        </w:rPr>
        <w:t>到2025年，全市能源消费总量、煤炭消费量完成省分解任务，全社会用电量达到453亿千瓦时左右，一次能源生产总量稳定在3785万吨标准煤左右，电力总装机达到1800万千瓦。</w:t>
      </w:r>
    </w:p>
    <w:p>
      <w:pPr>
        <w:spacing w:line="600" w:lineRule="exact"/>
        <w:ind w:firstLine="624"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结构目标。</w:t>
      </w:r>
      <w:r>
        <w:rPr>
          <w:rFonts w:hint="eastAsia" w:ascii="方正仿宋简体" w:hAnsi="文星仿宋" w:eastAsia="方正仿宋简体" w:cs="方正仿宋简体"/>
          <w:b/>
          <w:color w:val="000000"/>
          <w:sz w:val="32"/>
          <w:szCs w:val="32"/>
        </w:rPr>
        <w:t>到2025年，全市能源消费结构中，煤炭消费比重下降至74%左右，天然气比重提高至8%，非化石能源比重提高至13%左右；电量结构中，煤电比重下降至67%左右，清洁能源电量比重提高至15%左右，市外来电比重达到18%左右。</w:t>
      </w:r>
    </w:p>
    <w:p>
      <w:pPr>
        <w:spacing w:line="600" w:lineRule="exact"/>
        <w:ind w:firstLine="624"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效率目标。</w:t>
      </w:r>
      <w:r>
        <w:rPr>
          <w:rFonts w:hint="eastAsia" w:ascii="方正仿宋简体" w:hAnsi="文星仿宋" w:eastAsia="方正仿宋简体" w:cs="方正仿宋简体"/>
          <w:b/>
          <w:color w:val="000000"/>
          <w:sz w:val="32"/>
          <w:szCs w:val="32"/>
        </w:rPr>
        <w:t>完成</w:t>
      </w:r>
      <w:r>
        <w:rPr>
          <w:rFonts w:hint="eastAsia" w:ascii="方正仿宋简体" w:hAnsi="文星仿宋" w:eastAsia="方正仿宋简体" w:cs="方正仿宋简体"/>
          <w:b/>
          <w:color w:val="000000"/>
          <w:spacing w:val="-6"/>
          <w:sz w:val="32"/>
          <w:szCs w:val="32"/>
        </w:rPr>
        <w:t>我省下达的单位地区生产总值能耗降低目标</w:t>
      </w:r>
      <w:r>
        <w:rPr>
          <w:rFonts w:hint="eastAsia" w:ascii="方正仿宋简体" w:hAnsi="文星仿宋" w:eastAsia="方正仿宋简体" w:cs="方正仿宋简体"/>
          <w:b/>
          <w:color w:val="000000"/>
          <w:sz w:val="32"/>
          <w:szCs w:val="32"/>
        </w:rPr>
        <w:t>。</w:t>
      </w:r>
    </w:p>
    <w:p>
      <w:pPr>
        <w:spacing w:line="600" w:lineRule="exact"/>
        <w:ind w:firstLine="624"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生态目标。</w:t>
      </w:r>
      <w:r>
        <w:rPr>
          <w:rFonts w:hint="eastAsia" w:ascii="方正仿宋简体" w:hAnsi="文星仿宋" w:eastAsia="方正仿宋简体" w:cs="方正仿宋简体"/>
          <w:b/>
          <w:color w:val="000000"/>
          <w:sz w:val="32"/>
          <w:szCs w:val="32"/>
        </w:rPr>
        <w:t>完成我省下达的单位地区生产总值二氧化碳排放降低目标。</w:t>
      </w:r>
    </w:p>
    <w:p>
      <w:pPr>
        <w:spacing w:line="600" w:lineRule="exact"/>
        <w:ind w:firstLine="624"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民生目标。</w:t>
      </w:r>
      <w:r>
        <w:rPr>
          <w:rFonts w:hint="eastAsia" w:ascii="方正仿宋简体" w:hAnsi="文星仿宋" w:eastAsia="方正仿宋简体" w:cs="方正仿宋简体"/>
          <w:b/>
          <w:color w:val="000000"/>
          <w:sz w:val="32"/>
          <w:szCs w:val="32"/>
        </w:rPr>
        <w:t>到2025年，人均年生活用能达到420千克标准煤左右。</w:t>
      </w:r>
    </w:p>
    <w:p>
      <w:pPr>
        <w:spacing w:line="620" w:lineRule="exact"/>
        <w:ind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展望到2035年，“523”能源结构调整目标基本实现，清洁能源与煤炭消费占比基本持平，化石能源全部实现清洁高效利用；能源生产消费模式得到根本性转变，能源开发利用与生态环境实现和谐共生；能源科技创新能力和引领作用显著增强并走在全省前列；全面建成清洁低碳、安全高效、智慧多元的现代能源体系。</w:t>
      </w:r>
    </w:p>
    <w:tbl>
      <w:tblPr>
        <w:tblStyle w:val="5"/>
        <w:tblW w:w="87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0" w:type="dxa"/>
          <w:left w:w="108" w:type="dxa"/>
          <w:bottom w:w="0" w:type="dxa"/>
          <w:right w:w="108" w:type="dxa"/>
        </w:tblCellMar>
      </w:tblPr>
      <w:tblGrid>
        <w:gridCol w:w="709"/>
        <w:gridCol w:w="454"/>
        <w:gridCol w:w="2571"/>
        <w:gridCol w:w="1209"/>
        <w:gridCol w:w="992"/>
        <w:gridCol w:w="1134"/>
        <w:gridCol w:w="858"/>
        <w:gridCol w:w="8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790" w:type="dxa"/>
            <w:gridSpan w:val="8"/>
            <w:shd w:val="clear" w:color="auto" w:fill="FFFFFF" w:themeFill="background1"/>
            <w:noWrap/>
            <w:vAlign w:val="center"/>
          </w:tcPr>
          <w:p>
            <w:pPr>
              <w:adjustRightInd w:val="0"/>
              <w:spacing w:line="300" w:lineRule="exact"/>
              <w:ind w:left="-38" w:leftChars="-20" w:right="-38" w:rightChars="-20"/>
              <w:jc w:val="center"/>
              <w:textAlignment w:val="center"/>
              <w:rPr>
                <w:rFonts w:ascii="方正黑体简体" w:hAnsi="宋体" w:eastAsia="方正黑体简体" w:cs="宋体"/>
                <w:b/>
                <w:bCs/>
                <w:sz w:val="28"/>
                <w:szCs w:val="28"/>
              </w:rPr>
            </w:pPr>
            <w:r>
              <w:rPr>
                <w:rFonts w:hint="eastAsia" w:ascii="方正黑体简体" w:hAnsi="黑体" w:eastAsia="方正黑体简体" w:cs="黑体"/>
                <w:b/>
                <w:bCs/>
                <w:sz w:val="28"/>
                <w:szCs w:val="28"/>
              </w:rPr>
              <w:t>专栏1 “十四五”能源发展主要目标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97" w:hRule="atLeast"/>
          <w:jc w:val="center"/>
        </w:trPr>
        <w:tc>
          <w:tcPr>
            <w:tcW w:w="709" w:type="dxa"/>
            <w:shd w:val="clear" w:color="auto" w:fill="FFFFFF" w:themeFill="background1"/>
            <w:noWrap/>
            <w:vAlign w:val="center"/>
          </w:tcPr>
          <w:p>
            <w:pPr>
              <w:widowControl/>
              <w:spacing w:line="300" w:lineRule="exact"/>
              <w:ind w:left="-38" w:leftChars="-20" w:right="-38" w:rightChars="-20"/>
              <w:jc w:val="center"/>
              <w:rPr>
                <w:rFonts w:ascii="方正黑体简体" w:hAnsi="宋体" w:eastAsia="方正黑体简体" w:cs="宋体"/>
                <w:b/>
                <w:bCs/>
                <w:sz w:val="24"/>
                <w:szCs w:val="24"/>
              </w:rPr>
            </w:pPr>
            <w:r>
              <w:rPr>
                <w:rFonts w:hint="eastAsia" w:ascii="方正黑体简体" w:hAnsi="宋体" w:eastAsia="方正黑体简体" w:cs="宋体"/>
                <w:b/>
                <w:bCs/>
                <w:sz w:val="24"/>
                <w:szCs w:val="24"/>
              </w:rPr>
              <w:t>类别</w:t>
            </w:r>
          </w:p>
        </w:tc>
        <w:tc>
          <w:tcPr>
            <w:tcW w:w="3025" w:type="dxa"/>
            <w:gridSpan w:val="2"/>
            <w:shd w:val="clear" w:color="auto" w:fill="FFFFFF" w:themeFill="background1"/>
            <w:noWrap/>
            <w:vAlign w:val="center"/>
          </w:tcPr>
          <w:p>
            <w:pPr>
              <w:widowControl/>
              <w:spacing w:line="300" w:lineRule="exact"/>
              <w:ind w:left="-38" w:leftChars="-20" w:right="-38" w:rightChars="-20"/>
              <w:jc w:val="center"/>
              <w:rPr>
                <w:rFonts w:ascii="方正黑体简体" w:hAnsi="宋体" w:eastAsia="方正黑体简体" w:cs="宋体"/>
                <w:b/>
                <w:bCs/>
                <w:sz w:val="24"/>
                <w:szCs w:val="24"/>
              </w:rPr>
            </w:pPr>
            <w:r>
              <w:rPr>
                <w:rFonts w:hint="eastAsia" w:ascii="方正黑体简体" w:hAnsi="宋体" w:eastAsia="方正黑体简体" w:cs="宋体"/>
                <w:b/>
                <w:bCs/>
                <w:sz w:val="24"/>
                <w:szCs w:val="24"/>
              </w:rPr>
              <w:t>指标名称</w:t>
            </w:r>
          </w:p>
        </w:tc>
        <w:tc>
          <w:tcPr>
            <w:tcW w:w="1209" w:type="dxa"/>
            <w:shd w:val="clear" w:color="auto" w:fill="FFFFFF" w:themeFill="background1"/>
            <w:noWrap/>
            <w:vAlign w:val="center"/>
          </w:tcPr>
          <w:p>
            <w:pPr>
              <w:widowControl/>
              <w:spacing w:line="300" w:lineRule="exact"/>
              <w:ind w:left="-38" w:leftChars="-20" w:right="-38" w:rightChars="-20"/>
              <w:jc w:val="center"/>
              <w:rPr>
                <w:rFonts w:ascii="方正黑体简体" w:hAnsi="宋体" w:eastAsia="方正黑体简体" w:cs="宋体"/>
                <w:b/>
                <w:bCs/>
                <w:sz w:val="24"/>
                <w:szCs w:val="24"/>
              </w:rPr>
            </w:pPr>
            <w:r>
              <w:rPr>
                <w:rFonts w:hint="eastAsia" w:ascii="方正黑体简体" w:hAnsi="宋体" w:eastAsia="方正黑体简体" w:cs="宋体"/>
                <w:b/>
                <w:bCs/>
                <w:sz w:val="24"/>
                <w:szCs w:val="24"/>
              </w:rPr>
              <w:t>单位</w:t>
            </w:r>
          </w:p>
        </w:tc>
        <w:tc>
          <w:tcPr>
            <w:tcW w:w="992" w:type="dxa"/>
            <w:shd w:val="clear" w:color="auto" w:fill="FFFFFF" w:themeFill="background1"/>
            <w:noWrap/>
            <w:vAlign w:val="center"/>
          </w:tcPr>
          <w:p>
            <w:pPr>
              <w:widowControl/>
              <w:spacing w:line="300" w:lineRule="exact"/>
              <w:ind w:left="27" w:leftChars="-20" w:right="-38" w:rightChars="-20" w:hanging="65" w:hangingChars="28"/>
              <w:jc w:val="center"/>
              <w:rPr>
                <w:rFonts w:ascii="方正黑体简体" w:hAnsi="宋体" w:eastAsia="方正黑体简体" w:cs="宋体"/>
                <w:b/>
                <w:bCs/>
                <w:sz w:val="24"/>
                <w:szCs w:val="24"/>
              </w:rPr>
            </w:pPr>
            <w:r>
              <w:rPr>
                <w:rFonts w:hint="eastAsia" w:ascii="方正黑体简体" w:hAnsi="宋体" w:eastAsia="方正黑体简体" w:cs="宋体"/>
                <w:b/>
                <w:bCs/>
                <w:sz w:val="24"/>
                <w:szCs w:val="24"/>
              </w:rPr>
              <w:t>2020年</w:t>
            </w:r>
          </w:p>
        </w:tc>
        <w:tc>
          <w:tcPr>
            <w:tcW w:w="1134" w:type="dxa"/>
            <w:shd w:val="clear" w:color="auto" w:fill="FFFFFF" w:themeFill="background1"/>
            <w:noWrap/>
            <w:vAlign w:val="center"/>
          </w:tcPr>
          <w:p>
            <w:pPr>
              <w:widowControl/>
              <w:spacing w:line="300" w:lineRule="exact"/>
              <w:ind w:left="-38" w:leftChars="-20" w:right="-38" w:rightChars="-20"/>
              <w:jc w:val="center"/>
              <w:rPr>
                <w:rFonts w:ascii="方正黑体简体" w:hAnsi="宋体" w:eastAsia="方正黑体简体" w:cs="宋体"/>
                <w:b/>
                <w:bCs/>
                <w:sz w:val="24"/>
                <w:szCs w:val="24"/>
              </w:rPr>
            </w:pPr>
            <w:r>
              <w:rPr>
                <w:rFonts w:hint="eastAsia" w:ascii="方正黑体简体" w:hAnsi="宋体" w:eastAsia="方正黑体简体" w:cs="宋体"/>
                <w:b/>
                <w:bCs/>
                <w:sz w:val="24"/>
                <w:szCs w:val="24"/>
              </w:rPr>
              <w:t>2025年</w:t>
            </w:r>
          </w:p>
        </w:tc>
        <w:tc>
          <w:tcPr>
            <w:tcW w:w="858" w:type="dxa"/>
            <w:shd w:val="clear" w:color="auto" w:fill="FFFFFF" w:themeFill="background1"/>
            <w:vAlign w:val="center"/>
          </w:tcPr>
          <w:p>
            <w:pPr>
              <w:widowControl/>
              <w:spacing w:line="300" w:lineRule="exact"/>
              <w:ind w:left="-38" w:leftChars="-20" w:right="-38" w:rightChars="-20"/>
              <w:jc w:val="center"/>
              <w:rPr>
                <w:rFonts w:ascii="方正黑体简体" w:hAnsi="宋体" w:eastAsia="方正黑体简体" w:cs="宋体"/>
                <w:b/>
                <w:bCs/>
                <w:sz w:val="24"/>
                <w:szCs w:val="24"/>
              </w:rPr>
            </w:pPr>
            <w:r>
              <w:rPr>
                <w:rFonts w:hint="eastAsia" w:ascii="方正黑体简体" w:hAnsi="宋体" w:eastAsia="方正黑体简体" w:cs="宋体"/>
                <w:b/>
                <w:bCs/>
                <w:sz w:val="24"/>
                <w:szCs w:val="24"/>
              </w:rPr>
              <w:t>年均</w:t>
            </w:r>
          </w:p>
          <w:p>
            <w:pPr>
              <w:widowControl/>
              <w:spacing w:line="300" w:lineRule="exact"/>
              <w:ind w:left="-38" w:leftChars="-20" w:right="-38" w:rightChars="-20"/>
              <w:jc w:val="center"/>
              <w:rPr>
                <w:rFonts w:ascii="方正黑体简体" w:hAnsi="宋体" w:eastAsia="方正黑体简体" w:cs="宋体"/>
                <w:b/>
                <w:bCs/>
                <w:sz w:val="24"/>
                <w:szCs w:val="24"/>
              </w:rPr>
            </w:pPr>
            <w:r>
              <w:rPr>
                <w:rFonts w:hint="eastAsia" w:ascii="方正黑体简体" w:hAnsi="宋体" w:eastAsia="方正黑体简体" w:cs="宋体"/>
                <w:b/>
                <w:bCs/>
                <w:sz w:val="24"/>
                <w:szCs w:val="24"/>
              </w:rPr>
              <w:t>增速</w:t>
            </w:r>
          </w:p>
        </w:tc>
        <w:tc>
          <w:tcPr>
            <w:tcW w:w="863" w:type="dxa"/>
            <w:shd w:val="clear" w:color="auto" w:fill="FFFFFF" w:themeFill="background1"/>
            <w:vAlign w:val="center"/>
          </w:tcPr>
          <w:p>
            <w:pPr>
              <w:widowControl/>
              <w:spacing w:line="300" w:lineRule="exact"/>
              <w:ind w:left="-38" w:leftChars="-20" w:right="-38" w:rightChars="-20"/>
              <w:jc w:val="center"/>
              <w:rPr>
                <w:rFonts w:ascii="方正黑体简体" w:hAnsi="宋体" w:eastAsia="方正黑体简体" w:cs="宋体"/>
                <w:b/>
                <w:bCs/>
                <w:sz w:val="24"/>
                <w:szCs w:val="24"/>
              </w:rPr>
            </w:pPr>
            <w:r>
              <w:rPr>
                <w:rFonts w:hint="eastAsia" w:ascii="方正黑体简体" w:hAnsi="宋体" w:eastAsia="方正黑体简体" w:cs="宋体"/>
                <w:b/>
                <w:bCs/>
                <w:sz w:val="24"/>
                <w:szCs w:val="24"/>
              </w:rPr>
              <w:t>属性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678" w:hRule="atLeast"/>
          <w:jc w:val="center"/>
        </w:trPr>
        <w:tc>
          <w:tcPr>
            <w:tcW w:w="709" w:type="dxa"/>
            <w:vMerge w:val="restart"/>
            <w:shd w:val="clear" w:color="auto" w:fill="FFFFFF" w:themeFill="background1"/>
            <w:noWrap/>
            <w:vAlign w:val="center"/>
          </w:tcPr>
          <w:p>
            <w:pPr>
              <w:widowControl/>
              <w:spacing w:line="300" w:lineRule="exact"/>
              <w:ind w:left="-38" w:leftChars="-20" w:right="-38" w:rightChars="-20"/>
              <w:jc w:val="center"/>
              <w:rPr>
                <w:rFonts w:ascii="方正仿宋简体" w:hAnsi="宋体" w:eastAsia="方正仿宋简体" w:cs="宋体"/>
                <w:b/>
                <w:bCs/>
                <w:sz w:val="24"/>
                <w:szCs w:val="24"/>
              </w:rPr>
            </w:pPr>
            <w:r>
              <w:rPr>
                <w:rFonts w:hint="eastAsia" w:ascii="方正仿宋简体" w:hAnsi="宋体" w:eastAsia="方正仿宋简体" w:cs="宋体"/>
                <w:b/>
                <w:bCs/>
                <w:sz w:val="24"/>
                <w:szCs w:val="24"/>
              </w:rPr>
              <w:t>总量目标</w:t>
            </w:r>
          </w:p>
        </w:tc>
        <w:tc>
          <w:tcPr>
            <w:tcW w:w="3025" w:type="dxa"/>
            <w:gridSpan w:val="2"/>
            <w:shd w:val="clear" w:color="auto" w:fill="FFFFFF" w:themeFill="background1"/>
            <w:noWrap/>
            <w:vAlign w:val="center"/>
          </w:tcPr>
          <w:p>
            <w:pPr>
              <w:widowControl/>
              <w:spacing w:line="300" w:lineRule="exact"/>
              <w:ind w:left="-38" w:leftChars="-20" w:right="-38" w:rightChars="-20"/>
              <w:jc w:val="center"/>
              <w:rPr>
                <w:rFonts w:ascii="方正仿宋简体" w:hAnsi="宋体" w:eastAsia="方正仿宋简体" w:cs="宋体"/>
                <w:b/>
                <w:sz w:val="24"/>
                <w:szCs w:val="24"/>
              </w:rPr>
            </w:pPr>
            <w:r>
              <w:rPr>
                <w:rFonts w:hint="eastAsia" w:ascii="方正仿宋简体" w:hAnsi="宋体" w:eastAsia="方正仿宋简体" w:cs="宋体"/>
                <w:b/>
                <w:sz w:val="24"/>
                <w:szCs w:val="24"/>
              </w:rPr>
              <w:t>能源消费总量</w:t>
            </w:r>
          </w:p>
        </w:tc>
        <w:tc>
          <w:tcPr>
            <w:tcW w:w="1209" w:type="dxa"/>
            <w:shd w:val="clear" w:color="auto" w:fill="FFFFFF" w:themeFill="background1"/>
            <w:noWrap/>
            <w:vAlign w:val="center"/>
          </w:tcPr>
          <w:p>
            <w:pPr>
              <w:widowControl/>
              <w:spacing w:line="300" w:lineRule="exact"/>
              <w:ind w:left="-38" w:leftChars="-20" w:right="-38" w:rightChars="-20"/>
              <w:jc w:val="center"/>
              <w:rPr>
                <w:rFonts w:ascii="方正仿宋简体" w:hAnsi="宋体" w:eastAsia="方正仿宋简体" w:cs="宋体"/>
                <w:b/>
                <w:bCs/>
                <w:sz w:val="24"/>
                <w:szCs w:val="24"/>
              </w:rPr>
            </w:pPr>
            <w:r>
              <w:rPr>
                <w:rFonts w:hint="eastAsia" w:ascii="方正仿宋简体" w:hAnsi="宋体" w:eastAsia="方正仿宋简体" w:cs="宋体"/>
                <w:b/>
                <w:bCs/>
                <w:sz w:val="24"/>
                <w:szCs w:val="24"/>
              </w:rPr>
              <w:t>万吨</w:t>
            </w:r>
          </w:p>
          <w:p>
            <w:pPr>
              <w:widowControl/>
              <w:spacing w:line="300" w:lineRule="exact"/>
              <w:ind w:left="-38" w:leftChars="-20" w:right="-38" w:rightChars="-20"/>
              <w:jc w:val="center"/>
              <w:rPr>
                <w:rFonts w:ascii="方正仿宋简体" w:hAnsi="宋体" w:eastAsia="方正仿宋简体" w:cs="宋体"/>
                <w:b/>
                <w:bCs/>
                <w:sz w:val="24"/>
                <w:szCs w:val="24"/>
              </w:rPr>
            </w:pPr>
            <w:r>
              <w:rPr>
                <w:rFonts w:hint="eastAsia" w:ascii="方正仿宋简体" w:hAnsi="宋体" w:eastAsia="方正仿宋简体" w:cs="宋体"/>
                <w:b/>
                <w:bCs/>
                <w:sz w:val="24"/>
                <w:szCs w:val="24"/>
              </w:rPr>
              <w:t>标准煤</w:t>
            </w:r>
          </w:p>
        </w:tc>
        <w:tc>
          <w:tcPr>
            <w:tcW w:w="992" w:type="dxa"/>
            <w:shd w:val="clear" w:color="auto" w:fill="FFFFFF" w:themeFill="background1"/>
            <w:noWrap/>
            <w:vAlign w:val="center"/>
          </w:tcPr>
          <w:p>
            <w:pPr>
              <w:widowControl/>
              <w:spacing w:line="300" w:lineRule="exact"/>
              <w:ind w:left="-38" w:leftChars="-20" w:right="-38" w:rightChars="-20"/>
              <w:jc w:val="center"/>
              <w:rPr>
                <w:rFonts w:ascii="方正仿宋简体" w:hAnsi="宋体" w:eastAsia="方正仿宋简体" w:cs="宋体"/>
                <w:b/>
                <w:sz w:val="24"/>
                <w:szCs w:val="24"/>
              </w:rPr>
            </w:pPr>
            <w:r>
              <w:rPr>
                <w:rFonts w:hint="eastAsia" w:ascii="方正仿宋简体" w:hAnsi="宋体" w:eastAsia="方正仿宋简体" w:cs="宋体"/>
                <w:b/>
                <w:sz w:val="24"/>
                <w:szCs w:val="24"/>
              </w:rPr>
              <w:t>2250</w:t>
            </w:r>
          </w:p>
        </w:tc>
        <w:tc>
          <w:tcPr>
            <w:tcW w:w="1134" w:type="dxa"/>
            <w:shd w:val="clear" w:color="auto" w:fill="FFFFFF" w:themeFill="background1"/>
            <w:noWrap/>
            <w:vAlign w:val="bottom"/>
          </w:tcPr>
          <w:p>
            <w:pPr>
              <w:widowControl/>
              <w:spacing w:line="300" w:lineRule="exact"/>
              <w:ind w:left="-38" w:leftChars="-20" w:right="-38" w:rightChars="-20"/>
              <w:jc w:val="center"/>
              <w:rPr>
                <w:rFonts w:ascii="方正仿宋简体" w:hAnsi="宋体" w:eastAsia="方正仿宋简体" w:cs="宋体"/>
                <w:b/>
                <w:sz w:val="24"/>
                <w:szCs w:val="24"/>
              </w:rPr>
            </w:pPr>
            <w:r>
              <w:rPr>
                <w:rFonts w:hint="eastAsia" w:ascii="方正仿宋简体" w:hAnsi="宋体" w:eastAsia="方正仿宋简体" w:cs="宋体"/>
                <w:b/>
                <w:sz w:val="24"/>
                <w:szCs w:val="24"/>
              </w:rPr>
              <w:t>完成省</w:t>
            </w:r>
          </w:p>
          <w:p>
            <w:pPr>
              <w:widowControl/>
              <w:spacing w:line="300" w:lineRule="exact"/>
              <w:ind w:left="-38" w:leftChars="-20" w:right="-38" w:rightChars="-20"/>
              <w:jc w:val="center"/>
              <w:rPr>
                <w:rFonts w:ascii="方正仿宋简体" w:hAnsi="宋体" w:eastAsia="方正仿宋简体" w:cs="宋体"/>
                <w:b/>
                <w:sz w:val="24"/>
                <w:szCs w:val="24"/>
              </w:rPr>
            </w:pPr>
            <w:r>
              <w:rPr>
                <w:rFonts w:hint="eastAsia" w:ascii="方正仿宋简体" w:hAnsi="宋体" w:eastAsia="方正仿宋简体" w:cs="宋体"/>
                <w:b/>
                <w:sz w:val="24"/>
                <w:szCs w:val="24"/>
              </w:rPr>
              <w:t>分解任务</w:t>
            </w:r>
          </w:p>
        </w:tc>
        <w:tc>
          <w:tcPr>
            <w:tcW w:w="858" w:type="dxa"/>
            <w:shd w:val="clear" w:color="auto" w:fill="FFFFFF" w:themeFill="background1"/>
            <w:vAlign w:val="center"/>
          </w:tcPr>
          <w:p>
            <w:pPr>
              <w:spacing w:line="300" w:lineRule="exact"/>
              <w:ind w:left="-38" w:leftChars="-20" w:right="-38" w:rightChars="-20"/>
              <w:jc w:val="center"/>
              <w:rPr>
                <w:rFonts w:ascii="方正仿宋简体" w:hAnsi="宋体" w:eastAsia="方正仿宋简体" w:cs="宋体"/>
                <w:b/>
                <w:sz w:val="24"/>
                <w:szCs w:val="24"/>
              </w:rPr>
            </w:pPr>
            <w:r>
              <w:rPr>
                <w:rFonts w:hint="eastAsia" w:ascii="方正仿宋简体" w:hAnsi="宋体" w:eastAsia="方正仿宋简体" w:cs="宋体"/>
                <w:b/>
                <w:sz w:val="24"/>
                <w:szCs w:val="24"/>
              </w:rPr>
              <w:t>-</w:t>
            </w:r>
          </w:p>
        </w:tc>
        <w:tc>
          <w:tcPr>
            <w:tcW w:w="863" w:type="dxa"/>
            <w:shd w:val="clear" w:color="auto" w:fill="FFFFFF" w:themeFill="background1"/>
            <w:vAlign w:val="center"/>
          </w:tcPr>
          <w:p>
            <w:pPr>
              <w:widowControl/>
              <w:spacing w:line="300" w:lineRule="exact"/>
              <w:ind w:left="-38" w:leftChars="-20" w:right="-38" w:rightChars="-20"/>
              <w:rPr>
                <w:rFonts w:ascii="方正仿宋简体" w:hAnsi="宋体" w:eastAsia="方正仿宋简体" w:cs="宋体"/>
                <w:b/>
                <w:sz w:val="24"/>
                <w:szCs w:val="24"/>
              </w:rPr>
            </w:pPr>
            <w:r>
              <w:rPr>
                <w:rFonts w:hint="eastAsia" w:ascii="方正仿宋简体" w:hAnsi="宋体" w:eastAsia="方正仿宋简体" w:cs="宋体"/>
                <w:b/>
                <w:sz w:val="24"/>
                <w:szCs w:val="24"/>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664" w:hRule="atLeast"/>
          <w:jc w:val="center"/>
        </w:trPr>
        <w:tc>
          <w:tcPr>
            <w:tcW w:w="709" w:type="dxa"/>
            <w:vMerge w:val="continue"/>
            <w:shd w:val="clear" w:color="auto" w:fill="FFFFFF" w:themeFill="background1"/>
            <w:noWrap/>
            <w:vAlign w:val="center"/>
          </w:tcPr>
          <w:p>
            <w:pPr>
              <w:widowControl/>
              <w:spacing w:line="300" w:lineRule="exact"/>
              <w:ind w:left="-38" w:leftChars="-20" w:right="-38" w:rightChars="-20"/>
              <w:jc w:val="center"/>
              <w:rPr>
                <w:rFonts w:ascii="方正仿宋简体" w:hAnsi="宋体" w:eastAsia="方正仿宋简体" w:cs="宋体"/>
                <w:b/>
                <w:bCs/>
                <w:sz w:val="24"/>
                <w:szCs w:val="24"/>
              </w:rPr>
            </w:pPr>
          </w:p>
        </w:tc>
        <w:tc>
          <w:tcPr>
            <w:tcW w:w="3025" w:type="dxa"/>
            <w:gridSpan w:val="2"/>
            <w:shd w:val="clear" w:color="auto" w:fill="FFFFFF" w:themeFill="background1"/>
            <w:noWrap/>
            <w:vAlign w:val="center"/>
          </w:tcPr>
          <w:p>
            <w:pPr>
              <w:widowControl/>
              <w:spacing w:line="300" w:lineRule="exact"/>
              <w:ind w:left="-38" w:leftChars="-20" w:right="-38" w:rightChars="-20"/>
              <w:jc w:val="center"/>
              <w:rPr>
                <w:rFonts w:ascii="方正仿宋简体" w:hAnsi="宋体" w:eastAsia="方正仿宋简体" w:cs="宋体"/>
                <w:b/>
                <w:sz w:val="24"/>
                <w:szCs w:val="24"/>
              </w:rPr>
            </w:pPr>
            <w:r>
              <w:rPr>
                <w:rFonts w:hint="eastAsia" w:ascii="方正仿宋简体" w:hAnsi="宋体" w:eastAsia="方正仿宋简体" w:cs="宋体"/>
                <w:b/>
                <w:sz w:val="24"/>
                <w:szCs w:val="24"/>
              </w:rPr>
              <w:t>煤炭消费量</w:t>
            </w:r>
          </w:p>
        </w:tc>
        <w:tc>
          <w:tcPr>
            <w:tcW w:w="1209" w:type="dxa"/>
            <w:shd w:val="clear" w:color="auto" w:fill="FFFFFF" w:themeFill="background1"/>
            <w:noWrap/>
            <w:vAlign w:val="center"/>
          </w:tcPr>
          <w:p>
            <w:pPr>
              <w:widowControl/>
              <w:spacing w:line="300" w:lineRule="exact"/>
              <w:ind w:left="-38" w:leftChars="-20" w:right="-38" w:rightChars="-20"/>
              <w:jc w:val="center"/>
              <w:rPr>
                <w:rFonts w:ascii="方正仿宋简体" w:hAnsi="宋体" w:eastAsia="方正仿宋简体" w:cs="宋体"/>
                <w:b/>
                <w:bCs/>
                <w:sz w:val="24"/>
                <w:szCs w:val="24"/>
              </w:rPr>
            </w:pPr>
            <w:r>
              <w:rPr>
                <w:rFonts w:hint="eastAsia" w:ascii="方正仿宋简体" w:hAnsi="宋体" w:eastAsia="方正仿宋简体" w:cs="宋体"/>
                <w:b/>
                <w:bCs/>
                <w:sz w:val="24"/>
                <w:szCs w:val="24"/>
              </w:rPr>
              <w:t>万吨</w:t>
            </w:r>
          </w:p>
        </w:tc>
        <w:tc>
          <w:tcPr>
            <w:tcW w:w="992" w:type="dxa"/>
            <w:shd w:val="clear" w:color="auto" w:fill="FFFFFF" w:themeFill="background1"/>
            <w:noWrap/>
            <w:vAlign w:val="center"/>
          </w:tcPr>
          <w:p>
            <w:pPr>
              <w:widowControl/>
              <w:spacing w:line="300" w:lineRule="exact"/>
              <w:ind w:left="-38" w:leftChars="-20" w:right="-38" w:rightChars="-20"/>
              <w:jc w:val="center"/>
              <w:rPr>
                <w:rFonts w:ascii="方正仿宋简体" w:hAnsi="宋体" w:eastAsia="方正仿宋简体" w:cs="宋体"/>
                <w:b/>
                <w:sz w:val="24"/>
                <w:szCs w:val="24"/>
              </w:rPr>
            </w:pPr>
            <w:r>
              <w:rPr>
                <w:rFonts w:hint="eastAsia" w:ascii="方正仿宋简体" w:hAnsi="宋体" w:eastAsia="方正仿宋简体" w:cs="宋体"/>
                <w:b/>
                <w:sz w:val="24"/>
                <w:szCs w:val="24"/>
                <w:lang w:val="en"/>
              </w:rPr>
              <w:t>3670</w:t>
            </w:r>
          </w:p>
        </w:tc>
        <w:tc>
          <w:tcPr>
            <w:tcW w:w="1134" w:type="dxa"/>
            <w:shd w:val="clear" w:color="auto" w:fill="FFFFFF" w:themeFill="background1"/>
            <w:noWrap/>
            <w:vAlign w:val="bottom"/>
          </w:tcPr>
          <w:p>
            <w:pPr>
              <w:widowControl/>
              <w:spacing w:line="300" w:lineRule="exact"/>
              <w:ind w:left="-38" w:leftChars="-20" w:right="-38" w:rightChars="-20"/>
              <w:jc w:val="center"/>
              <w:rPr>
                <w:rFonts w:ascii="方正仿宋简体" w:hAnsi="宋体" w:eastAsia="方正仿宋简体" w:cs="宋体"/>
                <w:b/>
                <w:sz w:val="24"/>
                <w:szCs w:val="24"/>
              </w:rPr>
            </w:pPr>
            <w:r>
              <w:rPr>
                <w:rFonts w:hint="eastAsia" w:ascii="方正仿宋简体" w:hAnsi="宋体" w:eastAsia="方正仿宋简体" w:cs="宋体"/>
                <w:b/>
                <w:sz w:val="24"/>
                <w:szCs w:val="24"/>
              </w:rPr>
              <w:t>完成省</w:t>
            </w:r>
          </w:p>
          <w:p>
            <w:pPr>
              <w:widowControl/>
              <w:spacing w:line="300" w:lineRule="exact"/>
              <w:ind w:left="-38" w:leftChars="-20" w:right="-38" w:rightChars="-20"/>
              <w:jc w:val="center"/>
              <w:rPr>
                <w:rFonts w:ascii="方正仿宋简体" w:hAnsi="宋体" w:eastAsia="方正仿宋简体" w:cs="宋体"/>
                <w:b/>
                <w:sz w:val="24"/>
                <w:szCs w:val="24"/>
              </w:rPr>
            </w:pPr>
            <w:r>
              <w:rPr>
                <w:rFonts w:hint="eastAsia" w:ascii="方正仿宋简体" w:hAnsi="宋体" w:eastAsia="方正仿宋简体" w:cs="宋体"/>
                <w:b/>
                <w:sz w:val="24"/>
                <w:szCs w:val="24"/>
              </w:rPr>
              <w:t>分解任务</w:t>
            </w:r>
          </w:p>
        </w:tc>
        <w:tc>
          <w:tcPr>
            <w:tcW w:w="858" w:type="dxa"/>
            <w:shd w:val="clear" w:color="auto" w:fill="FFFFFF" w:themeFill="background1"/>
            <w:vAlign w:val="center"/>
          </w:tcPr>
          <w:p>
            <w:pPr>
              <w:spacing w:line="300" w:lineRule="exact"/>
              <w:ind w:left="-38" w:leftChars="-20" w:right="-38" w:rightChars="-20"/>
              <w:jc w:val="center"/>
              <w:rPr>
                <w:rFonts w:ascii="方正仿宋简体" w:hAnsi="宋体" w:eastAsia="方正仿宋简体" w:cs="宋体"/>
                <w:b/>
                <w:sz w:val="24"/>
                <w:szCs w:val="24"/>
              </w:rPr>
            </w:pPr>
            <w:r>
              <w:rPr>
                <w:rFonts w:hint="eastAsia" w:ascii="方正仿宋简体" w:hAnsi="宋体" w:eastAsia="方正仿宋简体" w:cs="宋体"/>
                <w:b/>
                <w:sz w:val="24"/>
                <w:szCs w:val="24"/>
              </w:rPr>
              <w:t>-</w:t>
            </w:r>
          </w:p>
        </w:tc>
        <w:tc>
          <w:tcPr>
            <w:tcW w:w="863" w:type="dxa"/>
            <w:shd w:val="clear" w:color="auto" w:fill="FFFFFF" w:themeFill="background1"/>
            <w:vAlign w:val="center"/>
          </w:tcPr>
          <w:p>
            <w:pPr>
              <w:widowControl/>
              <w:spacing w:line="300" w:lineRule="exact"/>
              <w:ind w:left="-38" w:leftChars="-20" w:right="-38" w:rightChars="-20"/>
              <w:jc w:val="center"/>
              <w:rPr>
                <w:rFonts w:ascii="方正仿宋简体" w:hAnsi="宋体" w:eastAsia="方正仿宋简体" w:cs="宋体"/>
                <w:b/>
                <w:sz w:val="24"/>
                <w:szCs w:val="24"/>
              </w:rPr>
            </w:pPr>
            <w:r>
              <w:rPr>
                <w:rFonts w:hint="eastAsia" w:ascii="方正仿宋简体" w:hAnsi="宋体" w:eastAsia="方正仿宋简体" w:cs="宋体"/>
                <w:b/>
                <w:sz w:val="24"/>
                <w:szCs w:val="24"/>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608" w:hRule="atLeast"/>
          <w:jc w:val="center"/>
        </w:trPr>
        <w:tc>
          <w:tcPr>
            <w:tcW w:w="709" w:type="dxa"/>
            <w:vMerge w:val="continue"/>
            <w:shd w:val="clear" w:color="auto" w:fill="FFFFFF" w:themeFill="background1"/>
            <w:noWrap/>
            <w:vAlign w:val="center"/>
          </w:tcPr>
          <w:p>
            <w:pPr>
              <w:widowControl/>
              <w:spacing w:line="300" w:lineRule="exact"/>
              <w:ind w:left="-38" w:leftChars="-20" w:right="-38" w:rightChars="-20"/>
              <w:jc w:val="center"/>
              <w:rPr>
                <w:rFonts w:ascii="方正仿宋简体" w:hAnsi="宋体" w:eastAsia="方正仿宋简体" w:cs="宋体"/>
                <w:b/>
                <w:bCs/>
                <w:sz w:val="24"/>
                <w:szCs w:val="24"/>
              </w:rPr>
            </w:pPr>
          </w:p>
        </w:tc>
        <w:tc>
          <w:tcPr>
            <w:tcW w:w="3025" w:type="dxa"/>
            <w:gridSpan w:val="2"/>
            <w:shd w:val="clear" w:color="auto" w:fill="FFFFFF" w:themeFill="background1"/>
            <w:noWrap/>
            <w:vAlign w:val="center"/>
          </w:tcPr>
          <w:p>
            <w:pPr>
              <w:widowControl/>
              <w:spacing w:line="300" w:lineRule="exact"/>
              <w:ind w:left="-38" w:leftChars="-20" w:right="-38" w:rightChars="-20"/>
              <w:jc w:val="center"/>
              <w:rPr>
                <w:rFonts w:ascii="方正仿宋简体" w:hAnsi="宋体" w:eastAsia="方正仿宋简体" w:cs="宋体"/>
                <w:b/>
                <w:sz w:val="24"/>
                <w:szCs w:val="24"/>
              </w:rPr>
            </w:pPr>
            <w:r>
              <w:rPr>
                <w:rFonts w:hint="eastAsia" w:ascii="方正仿宋简体" w:hAnsi="宋体" w:eastAsia="方正仿宋简体" w:cs="宋体"/>
                <w:b/>
                <w:sz w:val="24"/>
                <w:szCs w:val="24"/>
              </w:rPr>
              <w:t>全社会用电量</w:t>
            </w:r>
          </w:p>
        </w:tc>
        <w:tc>
          <w:tcPr>
            <w:tcW w:w="1209" w:type="dxa"/>
            <w:shd w:val="clear" w:color="auto" w:fill="FFFFFF" w:themeFill="background1"/>
            <w:noWrap/>
            <w:vAlign w:val="center"/>
          </w:tcPr>
          <w:p>
            <w:pPr>
              <w:widowControl/>
              <w:spacing w:line="300" w:lineRule="exact"/>
              <w:ind w:left="-38" w:leftChars="-20" w:right="-38" w:rightChars="-20"/>
              <w:jc w:val="center"/>
              <w:rPr>
                <w:rFonts w:ascii="方正仿宋简体" w:hAnsi="宋体" w:eastAsia="方正仿宋简体" w:cs="宋体"/>
                <w:b/>
                <w:bCs/>
                <w:sz w:val="24"/>
                <w:szCs w:val="24"/>
              </w:rPr>
            </w:pPr>
            <w:r>
              <w:rPr>
                <w:rFonts w:hint="eastAsia" w:ascii="方正仿宋简体" w:hAnsi="宋体" w:eastAsia="方正仿宋简体" w:cs="宋体"/>
                <w:b/>
                <w:bCs/>
                <w:sz w:val="24"/>
                <w:szCs w:val="24"/>
              </w:rPr>
              <w:t>亿千瓦时</w:t>
            </w:r>
          </w:p>
        </w:tc>
        <w:tc>
          <w:tcPr>
            <w:tcW w:w="992" w:type="dxa"/>
            <w:shd w:val="clear" w:color="auto" w:fill="FFFFFF" w:themeFill="background1"/>
            <w:noWrap/>
            <w:vAlign w:val="center"/>
          </w:tcPr>
          <w:p>
            <w:pPr>
              <w:widowControl/>
              <w:spacing w:line="300" w:lineRule="exact"/>
              <w:ind w:left="-38" w:leftChars="-20" w:right="-38" w:rightChars="-20"/>
              <w:jc w:val="center"/>
              <w:rPr>
                <w:rFonts w:ascii="方正仿宋简体" w:hAnsi="宋体" w:eastAsia="方正仿宋简体" w:cs="宋体"/>
                <w:b/>
                <w:sz w:val="24"/>
                <w:szCs w:val="24"/>
              </w:rPr>
            </w:pPr>
            <w:r>
              <w:rPr>
                <w:rFonts w:hint="eastAsia" w:ascii="方正仿宋简体" w:hAnsi="宋体" w:eastAsia="方正仿宋简体" w:cs="宋体"/>
                <w:b/>
                <w:sz w:val="24"/>
                <w:szCs w:val="24"/>
              </w:rPr>
              <w:t>362</w:t>
            </w:r>
          </w:p>
        </w:tc>
        <w:tc>
          <w:tcPr>
            <w:tcW w:w="1134" w:type="dxa"/>
            <w:shd w:val="clear" w:color="auto" w:fill="FFFFFF" w:themeFill="background1"/>
            <w:noWrap/>
            <w:vAlign w:val="center"/>
          </w:tcPr>
          <w:p>
            <w:pPr>
              <w:widowControl/>
              <w:spacing w:line="300" w:lineRule="exact"/>
              <w:ind w:left="-38" w:leftChars="-20" w:right="-38" w:rightChars="-20"/>
              <w:jc w:val="center"/>
              <w:rPr>
                <w:rFonts w:ascii="方正仿宋简体" w:hAnsi="宋体" w:eastAsia="方正仿宋简体" w:cs="宋体"/>
                <w:b/>
                <w:sz w:val="24"/>
                <w:szCs w:val="24"/>
              </w:rPr>
            </w:pPr>
            <w:r>
              <w:rPr>
                <w:rFonts w:hint="eastAsia" w:ascii="方正仿宋简体" w:hAnsi="宋体" w:eastAsia="方正仿宋简体" w:cs="宋体"/>
                <w:b/>
                <w:sz w:val="24"/>
                <w:szCs w:val="24"/>
              </w:rPr>
              <w:t>453</w:t>
            </w:r>
          </w:p>
        </w:tc>
        <w:tc>
          <w:tcPr>
            <w:tcW w:w="858" w:type="dxa"/>
            <w:shd w:val="clear" w:color="auto" w:fill="FFFFFF" w:themeFill="background1"/>
            <w:vAlign w:val="center"/>
          </w:tcPr>
          <w:p>
            <w:pPr>
              <w:spacing w:line="300" w:lineRule="exact"/>
              <w:ind w:left="-38" w:leftChars="-20" w:right="-38" w:rightChars="-20"/>
              <w:jc w:val="center"/>
              <w:rPr>
                <w:rFonts w:ascii="方正仿宋简体" w:hAnsi="宋体" w:eastAsia="方正仿宋简体" w:cs="宋体"/>
                <w:b/>
                <w:sz w:val="24"/>
                <w:szCs w:val="24"/>
              </w:rPr>
            </w:pPr>
            <w:r>
              <w:rPr>
                <w:rFonts w:hint="eastAsia" w:ascii="方正仿宋简体" w:hAnsi="宋体" w:eastAsia="方正仿宋简体" w:cs="宋体"/>
                <w:b/>
                <w:sz w:val="24"/>
                <w:szCs w:val="24"/>
              </w:rPr>
              <w:t>4.6%</w:t>
            </w:r>
          </w:p>
        </w:tc>
        <w:tc>
          <w:tcPr>
            <w:tcW w:w="863" w:type="dxa"/>
            <w:shd w:val="clear" w:color="auto" w:fill="FFFFFF" w:themeFill="background1"/>
            <w:vAlign w:val="center"/>
          </w:tcPr>
          <w:p>
            <w:pPr>
              <w:widowControl/>
              <w:spacing w:line="300" w:lineRule="exact"/>
              <w:ind w:left="-38" w:leftChars="-20" w:right="-38" w:rightChars="-20"/>
              <w:jc w:val="center"/>
              <w:rPr>
                <w:rFonts w:ascii="方正仿宋简体" w:hAnsi="宋体" w:eastAsia="方正仿宋简体" w:cs="宋体"/>
                <w:b/>
                <w:sz w:val="24"/>
                <w:szCs w:val="24"/>
              </w:rPr>
            </w:pPr>
            <w:r>
              <w:rPr>
                <w:rFonts w:hint="eastAsia" w:ascii="方正仿宋简体" w:hAnsi="宋体" w:eastAsia="方正仿宋简体" w:cs="宋体"/>
                <w:b/>
                <w:sz w:val="24"/>
                <w:szCs w:val="24"/>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608" w:hRule="atLeast"/>
          <w:jc w:val="center"/>
        </w:trPr>
        <w:tc>
          <w:tcPr>
            <w:tcW w:w="709" w:type="dxa"/>
            <w:vMerge w:val="continue"/>
            <w:shd w:val="clear" w:color="auto" w:fill="FFFFFF" w:themeFill="background1"/>
            <w:vAlign w:val="center"/>
          </w:tcPr>
          <w:p>
            <w:pPr>
              <w:widowControl/>
              <w:spacing w:line="300" w:lineRule="exact"/>
              <w:ind w:left="-38" w:leftChars="-20" w:right="-38" w:rightChars="-20"/>
              <w:jc w:val="center"/>
              <w:rPr>
                <w:rFonts w:ascii="方正仿宋简体" w:hAnsi="宋体" w:eastAsia="方正仿宋简体" w:cs="宋体"/>
                <w:b/>
                <w:bCs/>
                <w:sz w:val="24"/>
                <w:szCs w:val="24"/>
              </w:rPr>
            </w:pPr>
          </w:p>
        </w:tc>
        <w:tc>
          <w:tcPr>
            <w:tcW w:w="3025" w:type="dxa"/>
            <w:gridSpan w:val="2"/>
            <w:shd w:val="clear" w:color="auto" w:fill="FFFFFF" w:themeFill="background1"/>
            <w:noWrap/>
            <w:vAlign w:val="center"/>
          </w:tcPr>
          <w:p>
            <w:pPr>
              <w:widowControl/>
              <w:spacing w:line="300" w:lineRule="exact"/>
              <w:ind w:left="-38" w:leftChars="-20" w:right="-38" w:rightChars="-20"/>
              <w:jc w:val="center"/>
              <w:rPr>
                <w:rFonts w:ascii="方正仿宋简体" w:hAnsi="宋体" w:eastAsia="方正仿宋简体" w:cs="宋体"/>
                <w:b/>
                <w:sz w:val="24"/>
                <w:szCs w:val="24"/>
              </w:rPr>
            </w:pPr>
            <w:r>
              <w:rPr>
                <w:rFonts w:hint="eastAsia" w:ascii="方正仿宋简体" w:hAnsi="宋体" w:eastAsia="方正仿宋简体" w:cs="宋体"/>
                <w:b/>
                <w:sz w:val="24"/>
                <w:szCs w:val="24"/>
              </w:rPr>
              <w:t>能源综合生产能力</w:t>
            </w:r>
          </w:p>
        </w:tc>
        <w:tc>
          <w:tcPr>
            <w:tcW w:w="1209" w:type="dxa"/>
            <w:shd w:val="clear" w:color="auto" w:fill="FFFFFF" w:themeFill="background1"/>
            <w:noWrap/>
            <w:vAlign w:val="center"/>
          </w:tcPr>
          <w:p>
            <w:pPr>
              <w:widowControl/>
              <w:spacing w:line="300" w:lineRule="exact"/>
              <w:ind w:left="-38" w:leftChars="-20" w:right="-38" w:rightChars="-20"/>
              <w:jc w:val="center"/>
              <w:rPr>
                <w:rFonts w:ascii="方正仿宋简体" w:hAnsi="宋体" w:eastAsia="方正仿宋简体" w:cs="宋体"/>
                <w:b/>
                <w:bCs/>
                <w:sz w:val="24"/>
                <w:szCs w:val="24"/>
              </w:rPr>
            </w:pPr>
            <w:r>
              <w:rPr>
                <w:rFonts w:hint="eastAsia" w:ascii="方正仿宋简体" w:hAnsi="宋体" w:eastAsia="方正仿宋简体" w:cs="宋体"/>
                <w:b/>
                <w:bCs/>
                <w:sz w:val="24"/>
                <w:szCs w:val="24"/>
              </w:rPr>
              <w:t>万吨</w:t>
            </w:r>
          </w:p>
          <w:p>
            <w:pPr>
              <w:widowControl/>
              <w:spacing w:line="300" w:lineRule="exact"/>
              <w:ind w:left="-38" w:leftChars="-20" w:right="-38" w:rightChars="-20"/>
              <w:jc w:val="center"/>
              <w:rPr>
                <w:rFonts w:ascii="方正仿宋简体" w:hAnsi="宋体" w:eastAsia="方正仿宋简体" w:cs="宋体"/>
                <w:b/>
                <w:bCs/>
                <w:sz w:val="24"/>
                <w:szCs w:val="24"/>
              </w:rPr>
            </w:pPr>
            <w:r>
              <w:rPr>
                <w:rFonts w:hint="eastAsia" w:ascii="方正仿宋简体" w:hAnsi="宋体" w:eastAsia="方正仿宋简体" w:cs="宋体"/>
                <w:b/>
                <w:bCs/>
                <w:sz w:val="24"/>
                <w:szCs w:val="24"/>
              </w:rPr>
              <w:t>标准煤</w:t>
            </w:r>
          </w:p>
        </w:tc>
        <w:tc>
          <w:tcPr>
            <w:tcW w:w="992" w:type="dxa"/>
            <w:shd w:val="clear" w:color="auto" w:fill="FFFFFF" w:themeFill="background1"/>
            <w:noWrap/>
            <w:vAlign w:val="center"/>
          </w:tcPr>
          <w:p>
            <w:pPr>
              <w:widowControl/>
              <w:spacing w:line="300" w:lineRule="exact"/>
              <w:ind w:left="-38" w:leftChars="-20" w:right="-38" w:rightChars="-20"/>
              <w:jc w:val="center"/>
              <w:rPr>
                <w:rFonts w:ascii="方正仿宋简体" w:hAnsi="宋体" w:eastAsia="方正仿宋简体" w:cs="宋体"/>
                <w:b/>
                <w:sz w:val="24"/>
                <w:szCs w:val="24"/>
              </w:rPr>
            </w:pPr>
            <w:r>
              <w:rPr>
                <w:rFonts w:hint="eastAsia" w:ascii="方正仿宋简体" w:hAnsi="宋体" w:eastAsia="方正仿宋简体" w:cs="宋体"/>
                <w:b/>
                <w:sz w:val="24"/>
                <w:szCs w:val="24"/>
              </w:rPr>
              <w:t>5038</w:t>
            </w:r>
          </w:p>
        </w:tc>
        <w:tc>
          <w:tcPr>
            <w:tcW w:w="1134" w:type="dxa"/>
            <w:shd w:val="clear" w:color="auto" w:fill="FFFFFF" w:themeFill="background1"/>
            <w:noWrap/>
            <w:vAlign w:val="center"/>
          </w:tcPr>
          <w:p>
            <w:pPr>
              <w:widowControl/>
              <w:spacing w:line="300" w:lineRule="exact"/>
              <w:ind w:left="-38" w:leftChars="-20" w:right="-38" w:rightChars="-20"/>
              <w:jc w:val="center"/>
              <w:rPr>
                <w:rFonts w:ascii="方正仿宋简体" w:hAnsi="宋体" w:eastAsia="方正仿宋简体" w:cs="宋体"/>
                <w:b/>
                <w:sz w:val="24"/>
                <w:szCs w:val="24"/>
              </w:rPr>
            </w:pPr>
            <w:r>
              <w:rPr>
                <w:rFonts w:hint="eastAsia" w:ascii="方正仿宋简体" w:hAnsi="宋体" w:eastAsia="方正仿宋简体" w:cs="宋体"/>
                <w:b/>
                <w:sz w:val="24"/>
                <w:szCs w:val="24"/>
              </w:rPr>
              <w:t>3785</w:t>
            </w:r>
          </w:p>
        </w:tc>
        <w:tc>
          <w:tcPr>
            <w:tcW w:w="858" w:type="dxa"/>
            <w:shd w:val="clear" w:color="auto" w:fill="FFFFFF" w:themeFill="background1"/>
            <w:vAlign w:val="center"/>
          </w:tcPr>
          <w:p>
            <w:pPr>
              <w:spacing w:line="300" w:lineRule="exact"/>
              <w:ind w:left="-38" w:leftChars="-20" w:right="-38" w:rightChars="-20"/>
              <w:jc w:val="center"/>
              <w:rPr>
                <w:rFonts w:ascii="方正仿宋简体" w:hAnsi="宋体" w:eastAsia="方正仿宋简体" w:cs="宋体"/>
                <w:b/>
                <w:sz w:val="24"/>
                <w:szCs w:val="24"/>
              </w:rPr>
            </w:pPr>
            <w:r>
              <w:rPr>
                <w:rFonts w:hint="eastAsia" w:ascii="方正仿宋简体" w:hAnsi="宋体" w:eastAsia="方正仿宋简体" w:cs="宋体"/>
                <w:b/>
                <w:sz w:val="24"/>
                <w:szCs w:val="24"/>
              </w:rPr>
              <w:t>-5.6%</w:t>
            </w:r>
          </w:p>
        </w:tc>
        <w:tc>
          <w:tcPr>
            <w:tcW w:w="863" w:type="dxa"/>
            <w:shd w:val="clear" w:color="auto" w:fill="FFFFFF" w:themeFill="background1"/>
            <w:vAlign w:val="center"/>
          </w:tcPr>
          <w:p>
            <w:pPr>
              <w:widowControl/>
              <w:spacing w:line="300" w:lineRule="exact"/>
              <w:ind w:left="-38" w:leftChars="-20" w:right="-38" w:rightChars="-20"/>
              <w:jc w:val="center"/>
              <w:rPr>
                <w:rFonts w:ascii="方正仿宋简体" w:hAnsi="宋体" w:eastAsia="方正仿宋简体" w:cs="宋体"/>
                <w:b/>
                <w:sz w:val="24"/>
                <w:szCs w:val="24"/>
              </w:rPr>
            </w:pPr>
            <w:r>
              <w:rPr>
                <w:rFonts w:hint="eastAsia" w:ascii="方正仿宋简体" w:hAnsi="宋体" w:eastAsia="方正仿宋简体" w:cs="宋体"/>
                <w:b/>
                <w:sz w:val="24"/>
                <w:szCs w:val="24"/>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580" w:hRule="atLeast"/>
          <w:jc w:val="center"/>
        </w:trPr>
        <w:tc>
          <w:tcPr>
            <w:tcW w:w="709" w:type="dxa"/>
            <w:vMerge w:val="continue"/>
            <w:shd w:val="clear" w:color="auto" w:fill="FFFFFF" w:themeFill="background1"/>
            <w:vAlign w:val="center"/>
          </w:tcPr>
          <w:p>
            <w:pPr>
              <w:widowControl/>
              <w:spacing w:line="300" w:lineRule="exact"/>
              <w:ind w:left="-38" w:leftChars="-20" w:right="-38" w:rightChars="-20"/>
              <w:jc w:val="center"/>
              <w:rPr>
                <w:rFonts w:ascii="方正仿宋简体" w:hAnsi="宋体" w:eastAsia="方正仿宋简体" w:cs="宋体"/>
                <w:b/>
                <w:bCs/>
                <w:sz w:val="24"/>
                <w:szCs w:val="24"/>
              </w:rPr>
            </w:pPr>
          </w:p>
        </w:tc>
        <w:tc>
          <w:tcPr>
            <w:tcW w:w="3025" w:type="dxa"/>
            <w:gridSpan w:val="2"/>
            <w:shd w:val="clear" w:color="auto" w:fill="FFFFFF" w:themeFill="background1"/>
            <w:noWrap/>
            <w:vAlign w:val="center"/>
          </w:tcPr>
          <w:p>
            <w:pPr>
              <w:widowControl/>
              <w:spacing w:line="300" w:lineRule="exact"/>
              <w:ind w:left="-38" w:leftChars="-20" w:right="-38" w:rightChars="-20"/>
              <w:jc w:val="center"/>
              <w:rPr>
                <w:rFonts w:ascii="方正仿宋简体" w:hAnsi="宋体" w:eastAsia="方正仿宋简体" w:cs="宋体"/>
                <w:b/>
                <w:sz w:val="24"/>
                <w:szCs w:val="24"/>
              </w:rPr>
            </w:pPr>
            <w:r>
              <w:rPr>
                <w:rFonts w:hint="eastAsia" w:ascii="方正仿宋简体" w:hAnsi="宋体" w:eastAsia="方正仿宋简体" w:cs="宋体"/>
                <w:b/>
                <w:sz w:val="24"/>
                <w:szCs w:val="24"/>
              </w:rPr>
              <w:t>电力装机总量</w:t>
            </w:r>
          </w:p>
        </w:tc>
        <w:tc>
          <w:tcPr>
            <w:tcW w:w="1209" w:type="dxa"/>
            <w:shd w:val="clear" w:color="auto" w:fill="FFFFFF" w:themeFill="background1"/>
            <w:noWrap/>
            <w:vAlign w:val="center"/>
          </w:tcPr>
          <w:p>
            <w:pPr>
              <w:widowControl/>
              <w:spacing w:line="300" w:lineRule="exact"/>
              <w:ind w:left="-38" w:leftChars="-20" w:right="-38" w:rightChars="-20"/>
              <w:jc w:val="center"/>
              <w:rPr>
                <w:rFonts w:ascii="方正仿宋简体" w:hAnsi="宋体" w:eastAsia="方正仿宋简体" w:cs="宋体"/>
                <w:b/>
                <w:bCs/>
                <w:sz w:val="24"/>
                <w:szCs w:val="24"/>
              </w:rPr>
            </w:pPr>
            <w:r>
              <w:rPr>
                <w:rFonts w:hint="eastAsia" w:ascii="方正仿宋简体" w:hAnsi="宋体" w:eastAsia="方正仿宋简体" w:cs="宋体"/>
                <w:b/>
                <w:bCs/>
                <w:sz w:val="24"/>
                <w:szCs w:val="24"/>
              </w:rPr>
              <w:t>万千瓦</w:t>
            </w:r>
          </w:p>
        </w:tc>
        <w:tc>
          <w:tcPr>
            <w:tcW w:w="992" w:type="dxa"/>
            <w:shd w:val="clear" w:color="auto" w:fill="FFFFFF" w:themeFill="background1"/>
            <w:noWrap/>
            <w:vAlign w:val="center"/>
          </w:tcPr>
          <w:p>
            <w:pPr>
              <w:widowControl/>
              <w:spacing w:line="300" w:lineRule="exact"/>
              <w:ind w:left="-38" w:leftChars="-20" w:right="-38" w:rightChars="-20"/>
              <w:jc w:val="center"/>
              <w:rPr>
                <w:rFonts w:ascii="方正仿宋简体" w:hAnsi="宋体" w:eastAsia="方正仿宋简体" w:cs="宋体"/>
                <w:b/>
                <w:sz w:val="24"/>
                <w:szCs w:val="24"/>
              </w:rPr>
            </w:pPr>
            <w:r>
              <w:rPr>
                <w:rFonts w:hint="eastAsia" w:ascii="方正仿宋简体" w:hAnsi="宋体" w:eastAsia="方正仿宋简体" w:cs="宋体"/>
                <w:b/>
                <w:sz w:val="24"/>
                <w:szCs w:val="24"/>
              </w:rPr>
              <w:t>1270</w:t>
            </w:r>
          </w:p>
        </w:tc>
        <w:tc>
          <w:tcPr>
            <w:tcW w:w="1134" w:type="dxa"/>
            <w:shd w:val="clear" w:color="auto" w:fill="FFFFFF" w:themeFill="background1"/>
            <w:noWrap/>
            <w:vAlign w:val="center"/>
          </w:tcPr>
          <w:p>
            <w:pPr>
              <w:widowControl/>
              <w:spacing w:line="300" w:lineRule="exact"/>
              <w:ind w:left="-38" w:leftChars="-20" w:right="-38" w:rightChars="-20"/>
              <w:jc w:val="center"/>
              <w:rPr>
                <w:rFonts w:ascii="方正仿宋简体" w:hAnsi="宋体" w:eastAsia="方正仿宋简体" w:cs="宋体"/>
                <w:b/>
                <w:color w:val="000000"/>
                <w:sz w:val="24"/>
                <w:szCs w:val="24"/>
              </w:rPr>
            </w:pPr>
            <w:r>
              <w:rPr>
                <w:rFonts w:hint="eastAsia" w:ascii="方正仿宋简体" w:hAnsi="宋体" w:eastAsia="方正仿宋简体" w:cs="宋体"/>
                <w:b/>
                <w:color w:val="000000"/>
                <w:sz w:val="24"/>
                <w:szCs w:val="24"/>
              </w:rPr>
              <w:t>1800</w:t>
            </w:r>
          </w:p>
        </w:tc>
        <w:tc>
          <w:tcPr>
            <w:tcW w:w="858" w:type="dxa"/>
            <w:shd w:val="clear" w:color="auto" w:fill="FFFFFF" w:themeFill="background1"/>
            <w:vAlign w:val="center"/>
          </w:tcPr>
          <w:p>
            <w:pPr>
              <w:widowControl/>
              <w:spacing w:line="300" w:lineRule="exact"/>
              <w:ind w:left="-38" w:leftChars="-20" w:right="-38" w:rightChars="-20"/>
              <w:jc w:val="center"/>
              <w:rPr>
                <w:rFonts w:ascii="方正仿宋简体" w:hAnsi="宋体" w:eastAsia="方正仿宋简体" w:cs="宋体"/>
                <w:b/>
                <w:color w:val="000000"/>
                <w:sz w:val="24"/>
                <w:szCs w:val="24"/>
              </w:rPr>
            </w:pPr>
            <w:r>
              <w:rPr>
                <w:rFonts w:hint="eastAsia" w:ascii="方正仿宋简体" w:hAnsi="宋体" w:eastAsia="方正仿宋简体" w:cs="宋体"/>
                <w:b/>
                <w:color w:val="000000"/>
                <w:sz w:val="24"/>
                <w:szCs w:val="24"/>
              </w:rPr>
              <w:t>7.2%</w:t>
            </w:r>
          </w:p>
        </w:tc>
        <w:tc>
          <w:tcPr>
            <w:tcW w:w="863" w:type="dxa"/>
            <w:shd w:val="clear" w:color="auto" w:fill="FFFFFF" w:themeFill="background1"/>
            <w:vAlign w:val="center"/>
          </w:tcPr>
          <w:p>
            <w:pPr>
              <w:widowControl/>
              <w:spacing w:line="300" w:lineRule="exact"/>
              <w:ind w:left="-38" w:leftChars="-20" w:right="-38" w:rightChars="-20"/>
              <w:jc w:val="center"/>
              <w:rPr>
                <w:rFonts w:ascii="方正仿宋简体" w:hAnsi="宋体" w:eastAsia="方正仿宋简体" w:cs="宋体"/>
                <w:b/>
                <w:sz w:val="24"/>
                <w:szCs w:val="24"/>
              </w:rPr>
            </w:pPr>
            <w:r>
              <w:rPr>
                <w:rFonts w:hint="eastAsia" w:ascii="方正仿宋简体" w:hAnsi="宋体" w:eastAsia="方正仿宋简体" w:cs="宋体"/>
                <w:b/>
                <w:sz w:val="24"/>
                <w:szCs w:val="24"/>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510" w:hRule="atLeast"/>
          <w:jc w:val="center"/>
        </w:trPr>
        <w:tc>
          <w:tcPr>
            <w:tcW w:w="709" w:type="dxa"/>
            <w:vMerge w:val="restart"/>
            <w:shd w:val="clear" w:color="auto" w:fill="FFFFFF" w:themeFill="background1"/>
            <w:vAlign w:val="center"/>
          </w:tcPr>
          <w:p>
            <w:pPr>
              <w:widowControl/>
              <w:spacing w:line="300" w:lineRule="exact"/>
              <w:ind w:left="-38" w:leftChars="-20" w:right="-38" w:rightChars="-20"/>
              <w:jc w:val="center"/>
              <w:rPr>
                <w:rFonts w:ascii="方正仿宋简体" w:hAnsi="宋体" w:eastAsia="方正仿宋简体" w:cs="宋体"/>
                <w:b/>
                <w:bCs/>
                <w:sz w:val="24"/>
                <w:szCs w:val="24"/>
              </w:rPr>
            </w:pPr>
            <w:r>
              <w:rPr>
                <w:rFonts w:hint="eastAsia" w:ascii="方正仿宋简体" w:hAnsi="宋体" w:eastAsia="方正仿宋简体" w:cs="宋体"/>
                <w:b/>
                <w:bCs/>
                <w:sz w:val="24"/>
                <w:szCs w:val="24"/>
              </w:rPr>
              <w:t>结构目标</w:t>
            </w:r>
          </w:p>
        </w:tc>
        <w:tc>
          <w:tcPr>
            <w:tcW w:w="454" w:type="dxa"/>
            <w:vMerge w:val="restart"/>
            <w:shd w:val="clear" w:color="auto" w:fill="FFFFFF" w:themeFill="background1"/>
            <w:noWrap/>
            <w:vAlign w:val="center"/>
          </w:tcPr>
          <w:p>
            <w:pPr>
              <w:widowControl/>
              <w:spacing w:line="300" w:lineRule="exact"/>
              <w:ind w:left="-38" w:leftChars="-20" w:right="-38" w:rightChars="-20"/>
              <w:jc w:val="center"/>
              <w:rPr>
                <w:rFonts w:ascii="方正仿宋简体" w:hAnsi="宋体" w:eastAsia="方正仿宋简体" w:cs="宋体"/>
                <w:b/>
                <w:bCs/>
                <w:sz w:val="24"/>
                <w:szCs w:val="24"/>
              </w:rPr>
            </w:pPr>
            <w:r>
              <w:rPr>
                <w:rFonts w:hint="eastAsia" w:ascii="方正仿宋简体" w:hAnsi="宋体" w:eastAsia="方正仿宋简体" w:cs="宋体"/>
                <w:b/>
                <w:bCs/>
                <w:sz w:val="24"/>
                <w:szCs w:val="24"/>
              </w:rPr>
              <w:t>能源结构</w:t>
            </w:r>
          </w:p>
        </w:tc>
        <w:tc>
          <w:tcPr>
            <w:tcW w:w="2571" w:type="dxa"/>
            <w:shd w:val="clear" w:color="auto" w:fill="FFFFFF" w:themeFill="background1"/>
            <w:vAlign w:val="center"/>
          </w:tcPr>
          <w:p>
            <w:pPr>
              <w:spacing w:line="300" w:lineRule="exact"/>
              <w:ind w:left="-38" w:leftChars="-20" w:right="-38" w:rightChars="-20"/>
              <w:jc w:val="center"/>
              <w:rPr>
                <w:rFonts w:ascii="方正仿宋简体" w:hAnsi="宋体" w:eastAsia="方正仿宋简体" w:cs="宋体"/>
                <w:b/>
                <w:bCs/>
                <w:sz w:val="24"/>
                <w:szCs w:val="24"/>
              </w:rPr>
            </w:pPr>
            <w:r>
              <w:rPr>
                <w:rFonts w:hint="eastAsia" w:ascii="方正仿宋简体" w:hAnsi="宋体" w:eastAsia="方正仿宋简体" w:cs="宋体"/>
                <w:b/>
                <w:bCs/>
                <w:sz w:val="24"/>
                <w:szCs w:val="24"/>
              </w:rPr>
              <w:t>煤炭消费比重</w:t>
            </w:r>
          </w:p>
        </w:tc>
        <w:tc>
          <w:tcPr>
            <w:tcW w:w="1209" w:type="dxa"/>
            <w:shd w:val="clear" w:color="auto" w:fill="FFFFFF" w:themeFill="background1"/>
            <w:noWrap/>
            <w:vAlign w:val="center"/>
          </w:tcPr>
          <w:p>
            <w:pPr>
              <w:widowControl/>
              <w:spacing w:line="300" w:lineRule="exact"/>
              <w:ind w:left="-38" w:leftChars="-20" w:right="-38" w:rightChars="-20"/>
              <w:jc w:val="center"/>
              <w:rPr>
                <w:rFonts w:ascii="方正仿宋简体" w:hAnsi="宋体" w:eastAsia="方正仿宋简体" w:cs="宋体"/>
                <w:b/>
                <w:sz w:val="24"/>
                <w:szCs w:val="24"/>
              </w:rPr>
            </w:pPr>
            <w:r>
              <w:rPr>
                <w:rFonts w:hint="eastAsia" w:ascii="方正仿宋简体" w:hAnsi="宋体" w:eastAsia="方正仿宋简体" w:cs="宋体"/>
                <w:b/>
                <w:sz w:val="24"/>
                <w:szCs w:val="24"/>
              </w:rPr>
              <w:t>%</w:t>
            </w:r>
          </w:p>
        </w:tc>
        <w:tc>
          <w:tcPr>
            <w:tcW w:w="992" w:type="dxa"/>
            <w:shd w:val="clear" w:color="auto" w:fill="FFFFFF" w:themeFill="background1"/>
            <w:noWrap/>
            <w:vAlign w:val="center"/>
          </w:tcPr>
          <w:p>
            <w:pPr>
              <w:widowControl/>
              <w:spacing w:line="300" w:lineRule="exact"/>
              <w:ind w:left="-38" w:leftChars="-20" w:right="-38" w:rightChars="-20"/>
              <w:jc w:val="center"/>
              <w:rPr>
                <w:rFonts w:ascii="方正仿宋简体" w:hAnsi="宋体" w:eastAsia="方正仿宋简体" w:cs="宋体"/>
                <w:b/>
                <w:sz w:val="24"/>
                <w:szCs w:val="24"/>
              </w:rPr>
            </w:pPr>
            <w:r>
              <w:rPr>
                <w:rFonts w:hint="eastAsia" w:ascii="方正仿宋简体" w:hAnsi="宋体" w:eastAsia="方正仿宋简体" w:cs="宋体"/>
                <w:b/>
                <w:sz w:val="24"/>
                <w:szCs w:val="24"/>
              </w:rPr>
              <w:t>82.3</w:t>
            </w:r>
          </w:p>
        </w:tc>
        <w:tc>
          <w:tcPr>
            <w:tcW w:w="1134" w:type="dxa"/>
            <w:shd w:val="clear" w:color="auto" w:fill="FFFFFF" w:themeFill="background1"/>
            <w:noWrap/>
            <w:vAlign w:val="center"/>
          </w:tcPr>
          <w:p>
            <w:pPr>
              <w:widowControl/>
              <w:spacing w:line="300" w:lineRule="exact"/>
              <w:ind w:left="-38" w:leftChars="-20" w:right="-38" w:rightChars="-20"/>
              <w:jc w:val="center"/>
              <w:rPr>
                <w:rFonts w:ascii="方正仿宋简体" w:hAnsi="宋体" w:eastAsia="方正仿宋简体" w:cs="宋体"/>
                <w:b/>
                <w:sz w:val="24"/>
                <w:szCs w:val="24"/>
              </w:rPr>
            </w:pPr>
            <w:r>
              <w:rPr>
                <w:rFonts w:hint="eastAsia" w:ascii="方正仿宋简体" w:hAnsi="宋体" w:eastAsia="方正仿宋简体" w:cs="宋体"/>
                <w:b/>
                <w:sz w:val="24"/>
                <w:szCs w:val="24"/>
              </w:rPr>
              <w:t>74</w:t>
            </w:r>
          </w:p>
        </w:tc>
        <w:tc>
          <w:tcPr>
            <w:tcW w:w="858" w:type="dxa"/>
            <w:shd w:val="clear" w:color="auto" w:fill="FFFFFF" w:themeFill="background1"/>
            <w:vAlign w:val="center"/>
          </w:tcPr>
          <w:p>
            <w:pPr>
              <w:spacing w:line="300" w:lineRule="exact"/>
              <w:ind w:left="-38" w:leftChars="-20" w:right="-38" w:rightChars="-20"/>
              <w:jc w:val="center"/>
              <w:rPr>
                <w:rFonts w:ascii="方正仿宋简体" w:hAnsi="宋体" w:eastAsia="方正仿宋简体" w:cs="宋体"/>
                <w:b/>
                <w:sz w:val="24"/>
                <w:szCs w:val="24"/>
              </w:rPr>
            </w:pPr>
            <w:r>
              <w:rPr>
                <w:rFonts w:hint="eastAsia" w:ascii="方正仿宋简体" w:hAnsi="宋体" w:eastAsia="方正仿宋简体" w:cs="宋体"/>
                <w:b/>
                <w:sz w:val="24"/>
                <w:szCs w:val="24"/>
              </w:rPr>
              <w:t>[-8.3]</w:t>
            </w:r>
          </w:p>
        </w:tc>
        <w:tc>
          <w:tcPr>
            <w:tcW w:w="863" w:type="dxa"/>
            <w:shd w:val="clear" w:color="auto" w:fill="FFFFFF" w:themeFill="background1"/>
            <w:vAlign w:val="center"/>
          </w:tcPr>
          <w:p>
            <w:pPr>
              <w:widowControl/>
              <w:spacing w:line="300" w:lineRule="exact"/>
              <w:ind w:left="-38" w:leftChars="-20" w:right="-38" w:rightChars="-20"/>
              <w:jc w:val="center"/>
              <w:rPr>
                <w:rFonts w:ascii="方正仿宋简体" w:hAnsi="宋体" w:eastAsia="方正仿宋简体" w:cs="宋体"/>
                <w:b/>
                <w:sz w:val="24"/>
                <w:szCs w:val="24"/>
              </w:rPr>
            </w:pPr>
            <w:r>
              <w:rPr>
                <w:rFonts w:hint="eastAsia" w:ascii="方正仿宋简体" w:hAnsi="宋体" w:eastAsia="方正仿宋简体" w:cs="宋体"/>
                <w:b/>
                <w:sz w:val="24"/>
                <w:szCs w:val="24"/>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510" w:hRule="atLeast"/>
          <w:jc w:val="center"/>
        </w:trPr>
        <w:tc>
          <w:tcPr>
            <w:tcW w:w="709" w:type="dxa"/>
            <w:vMerge w:val="continue"/>
            <w:shd w:val="clear" w:color="auto" w:fill="FFFFFF" w:themeFill="background1"/>
            <w:vAlign w:val="center"/>
          </w:tcPr>
          <w:p>
            <w:pPr>
              <w:widowControl/>
              <w:spacing w:line="300" w:lineRule="exact"/>
              <w:ind w:left="-38" w:leftChars="-20" w:right="-38" w:rightChars="-20"/>
              <w:jc w:val="center"/>
              <w:rPr>
                <w:rFonts w:ascii="方正仿宋简体" w:hAnsi="宋体" w:eastAsia="方正仿宋简体" w:cs="宋体"/>
                <w:b/>
                <w:bCs/>
                <w:sz w:val="24"/>
                <w:szCs w:val="24"/>
              </w:rPr>
            </w:pPr>
          </w:p>
        </w:tc>
        <w:tc>
          <w:tcPr>
            <w:tcW w:w="454" w:type="dxa"/>
            <w:vMerge w:val="continue"/>
            <w:shd w:val="clear" w:color="auto" w:fill="FFFFFF" w:themeFill="background1"/>
            <w:noWrap/>
            <w:vAlign w:val="center"/>
          </w:tcPr>
          <w:p>
            <w:pPr>
              <w:widowControl/>
              <w:spacing w:line="300" w:lineRule="exact"/>
              <w:ind w:left="-38" w:leftChars="-20" w:right="-38" w:rightChars="-20"/>
              <w:jc w:val="center"/>
              <w:rPr>
                <w:rFonts w:ascii="方正仿宋简体" w:hAnsi="宋体" w:eastAsia="方正仿宋简体" w:cs="宋体"/>
                <w:b/>
                <w:sz w:val="24"/>
                <w:szCs w:val="24"/>
              </w:rPr>
            </w:pPr>
          </w:p>
        </w:tc>
        <w:tc>
          <w:tcPr>
            <w:tcW w:w="2571" w:type="dxa"/>
            <w:shd w:val="clear" w:color="auto" w:fill="FFFFFF" w:themeFill="background1"/>
            <w:vAlign w:val="center"/>
          </w:tcPr>
          <w:p>
            <w:pPr>
              <w:spacing w:line="300" w:lineRule="exact"/>
              <w:ind w:left="-38" w:leftChars="-20" w:right="-38" w:rightChars="-20"/>
              <w:jc w:val="center"/>
              <w:rPr>
                <w:rFonts w:ascii="方正仿宋简体" w:hAnsi="宋体" w:eastAsia="方正仿宋简体" w:cs="宋体"/>
                <w:b/>
                <w:sz w:val="24"/>
                <w:szCs w:val="24"/>
              </w:rPr>
            </w:pPr>
            <w:r>
              <w:rPr>
                <w:rFonts w:hint="eastAsia" w:ascii="方正仿宋简体" w:hAnsi="宋体" w:eastAsia="方正仿宋简体" w:cs="宋体"/>
                <w:b/>
                <w:sz w:val="24"/>
                <w:szCs w:val="24"/>
              </w:rPr>
              <w:t>油品消费比重</w:t>
            </w:r>
          </w:p>
        </w:tc>
        <w:tc>
          <w:tcPr>
            <w:tcW w:w="1209" w:type="dxa"/>
            <w:shd w:val="clear" w:color="auto" w:fill="FFFFFF" w:themeFill="background1"/>
            <w:noWrap/>
            <w:vAlign w:val="center"/>
          </w:tcPr>
          <w:p>
            <w:pPr>
              <w:widowControl/>
              <w:spacing w:line="300" w:lineRule="exact"/>
              <w:ind w:left="-38" w:leftChars="-20" w:right="-38" w:rightChars="-20"/>
              <w:jc w:val="center"/>
              <w:rPr>
                <w:rFonts w:ascii="方正仿宋简体" w:hAnsi="宋体" w:eastAsia="方正仿宋简体" w:cs="宋体"/>
                <w:b/>
                <w:sz w:val="24"/>
                <w:szCs w:val="24"/>
              </w:rPr>
            </w:pPr>
            <w:r>
              <w:rPr>
                <w:rFonts w:hint="eastAsia" w:ascii="方正仿宋简体" w:hAnsi="宋体" w:eastAsia="方正仿宋简体" w:cs="宋体"/>
                <w:b/>
                <w:sz w:val="24"/>
                <w:szCs w:val="24"/>
              </w:rPr>
              <w:t>%</w:t>
            </w:r>
          </w:p>
        </w:tc>
        <w:tc>
          <w:tcPr>
            <w:tcW w:w="992" w:type="dxa"/>
            <w:shd w:val="clear" w:color="auto" w:fill="FFFFFF" w:themeFill="background1"/>
            <w:noWrap/>
            <w:vAlign w:val="center"/>
          </w:tcPr>
          <w:p>
            <w:pPr>
              <w:widowControl/>
              <w:spacing w:line="300" w:lineRule="exact"/>
              <w:ind w:left="-38" w:leftChars="-20" w:right="-38" w:rightChars="-20"/>
              <w:jc w:val="center"/>
              <w:rPr>
                <w:rFonts w:ascii="方正仿宋简体" w:hAnsi="宋体" w:eastAsia="方正仿宋简体" w:cs="宋体"/>
                <w:b/>
                <w:sz w:val="24"/>
                <w:szCs w:val="24"/>
              </w:rPr>
            </w:pPr>
            <w:r>
              <w:rPr>
                <w:rFonts w:hint="eastAsia" w:ascii="方正仿宋简体" w:hAnsi="宋体" w:eastAsia="方正仿宋简体" w:cs="宋体"/>
                <w:b/>
                <w:sz w:val="24"/>
                <w:szCs w:val="24"/>
              </w:rPr>
              <w:t>5.8</w:t>
            </w:r>
          </w:p>
        </w:tc>
        <w:tc>
          <w:tcPr>
            <w:tcW w:w="1134" w:type="dxa"/>
            <w:shd w:val="clear" w:color="auto" w:fill="FFFFFF" w:themeFill="background1"/>
            <w:noWrap/>
            <w:vAlign w:val="center"/>
          </w:tcPr>
          <w:p>
            <w:pPr>
              <w:widowControl/>
              <w:spacing w:line="300" w:lineRule="exact"/>
              <w:ind w:left="-38" w:leftChars="-20" w:right="-38" w:rightChars="-20"/>
              <w:jc w:val="center"/>
              <w:rPr>
                <w:rFonts w:ascii="方正仿宋简体" w:hAnsi="宋体" w:eastAsia="方正仿宋简体" w:cs="宋体"/>
                <w:b/>
                <w:sz w:val="24"/>
                <w:szCs w:val="24"/>
              </w:rPr>
            </w:pPr>
            <w:r>
              <w:rPr>
                <w:rFonts w:hint="eastAsia" w:ascii="方正仿宋简体" w:hAnsi="宋体" w:eastAsia="方正仿宋简体" w:cs="宋体"/>
                <w:b/>
                <w:sz w:val="24"/>
                <w:szCs w:val="24"/>
              </w:rPr>
              <w:t>5</w:t>
            </w:r>
          </w:p>
        </w:tc>
        <w:tc>
          <w:tcPr>
            <w:tcW w:w="858" w:type="dxa"/>
            <w:shd w:val="clear" w:color="auto" w:fill="FFFFFF" w:themeFill="background1"/>
            <w:vAlign w:val="center"/>
          </w:tcPr>
          <w:p>
            <w:pPr>
              <w:spacing w:line="300" w:lineRule="exact"/>
              <w:ind w:left="-38" w:leftChars="-20" w:right="-38" w:rightChars="-20"/>
              <w:jc w:val="center"/>
              <w:rPr>
                <w:rFonts w:ascii="方正仿宋简体" w:hAnsi="宋体" w:eastAsia="方正仿宋简体" w:cs="宋体"/>
                <w:b/>
                <w:sz w:val="24"/>
                <w:szCs w:val="24"/>
              </w:rPr>
            </w:pPr>
            <w:r>
              <w:rPr>
                <w:rFonts w:hint="eastAsia" w:ascii="方正仿宋简体" w:hAnsi="宋体" w:eastAsia="方正仿宋简体" w:cs="宋体"/>
                <w:b/>
                <w:sz w:val="24"/>
                <w:szCs w:val="24"/>
              </w:rPr>
              <w:t>[-0.8]</w:t>
            </w:r>
          </w:p>
        </w:tc>
        <w:tc>
          <w:tcPr>
            <w:tcW w:w="863" w:type="dxa"/>
            <w:shd w:val="clear" w:color="auto" w:fill="FFFFFF" w:themeFill="background1"/>
            <w:vAlign w:val="center"/>
          </w:tcPr>
          <w:p>
            <w:pPr>
              <w:widowControl/>
              <w:spacing w:line="300" w:lineRule="exact"/>
              <w:ind w:left="-38" w:leftChars="-20" w:right="-38" w:rightChars="-20"/>
              <w:jc w:val="center"/>
              <w:rPr>
                <w:rFonts w:ascii="方正仿宋简体" w:hAnsi="宋体" w:eastAsia="方正仿宋简体" w:cs="宋体"/>
                <w:b/>
                <w:sz w:val="24"/>
                <w:szCs w:val="24"/>
              </w:rPr>
            </w:pPr>
            <w:r>
              <w:rPr>
                <w:rFonts w:hint="eastAsia" w:ascii="方正仿宋简体" w:hAnsi="宋体" w:eastAsia="方正仿宋简体" w:cs="宋体"/>
                <w:b/>
                <w:sz w:val="24"/>
                <w:szCs w:val="24"/>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510" w:hRule="atLeast"/>
          <w:jc w:val="center"/>
        </w:trPr>
        <w:tc>
          <w:tcPr>
            <w:tcW w:w="709" w:type="dxa"/>
            <w:vMerge w:val="continue"/>
            <w:shd w:val="clear" w:color="auto" w:fill="FFFFFF" w:themeFill="background1"/>
            <w:vAlign w:val="center"/>
          </w:tcPr>
          <w:p>
            <w:pPr>
              <w:widowControl/>
              <w:spacing w:line="300" w:lineRule="exact"/>
              <w:ind w:left="-38" w:leftChars="-20" w:right="-38" w:rightChars="-20"/>
              <w:jc w:val="center"/>
              <w:rPr>
                <w:rFonts w:ascii="方正仿宋简体" w:hAnsi="宋体" w:eastAsia="方正仿宋简体" w:cs="宋体"/>
                <w:b/>
                <w:bCs/>
                <w:sz w:val="24"/>
                <w:szCs w:val="24"/>
              </w:rPr>
            </w:pPr>
          </w:p>
        </w:tc>
        <w:tc>
          <w:tcPr>
            <w:tcW w:w="454" w:type="dxa"/>
            <w:vMerge w:val="continue"/>
            <w:shd w:val="clear" w:color="auto" w:fill="FFFFFF" w:themeFill="background1"/>
            <w:noWrap/>
            <w:vAlign w:val="center"/>
          </w:tcPr>
          <w:p>
            <w:pPr>
              <w:widowControl/>
              <w:spacing w:line="300" w:lineRule="exact"/>
              <w:ind w:left="-38" w:leftChars="-20" w:right="-38" w:rightChars="-20"/>
              <w:jc w:val="center"/>
              <w:rPr>
                <w:rFonts w:ascii="方正仿宋简体" w:hAnsi="宋体" w:eastAsia="方正仿宋简体" w:cs="宋体"/>
                <w:b/>
                <w:sz w:val="24"/>
                <w:szCs w:val="24"/>
              </w:rPr>
            </w:pPr>
          </w:p>
        </w:tc>
        <w:tc>
          <w:tcPr>
            <w:tcW w:w="2571" w:type="dxa"/>
            <w:shd w:val="clear" w:color="auto" w:fill="FFFFFF" w:themeFill="background1"/>
            <w:vAlign w:val="center"/>
          </w:tcPr>
          <w:p>
            <w:pPr>
              <w:spacing w:line="300" w:lineRule="exact"/>
              <w:ind w:left="-38" w:leftChars="-20" w:right="-38" w:rightChars="-20"/>
              <w:jc w:val="center"/>
              <w:rPr>
                <w:rFonts w:ascii="方正仿宋简体" w:hAnsi="宋体" w:eastAsia="方正仿宋简体" w:cs="宋体"/>
                <w:b/>
                <w:sz w:val="24"/>
                <w:szCs w:val="24"/>
              </w:rPr>
            </w:pPr>
            <w:r>
              <w:rPr>
                <w:rFonts w:hint="eastAsia" w:ascii="方正仿宋简体" w:hAnsi="宋体" w:eastAsia="方正仿宋简体" w:cs="宋体"/>
                <w:b/>
                <w:sz w:val="24"/>
                <w:szCs w:val="24"/>
              </w:rPr>
              <w:t>天然气消费比重</w:t>
            </w:r>
          </w:p>
        </w:tc>
        <w:tc>
          <w:tcPr>
            <w:tcW w:w="1209" w:type="dxa"/>
            <w:shd w:val="clear" w:color="auto" w:fill="FFFFFF" w:themeFill="background1"/>
            <w:noWrap/>
            <w:vAlign w:val="center"/>
          </w:tcPr>
          <w:p>
            <w:pPr>
              <w:widowControl/>
              <w:spacing w:line="300" w:lineRule="exact"/>
              <w:ind w:left="-38" w:leftChars="-20" w:right="-38" w:rightChars="-20"/>
              <w:jc w:val="center"/>
              <w:rPr>
                <w:rFonts w:ascii="方正仿宋简体" w:hAnsi="宋体" w:eastAsia="方正仿宋简体" w:cs="宋体"/>
                <w:b/>
                <w:sz w:val="24"/>
                <w:szCs w:val="24"/>
              </w:rPr>
            </w:pPr>
            <w:r>
              <w:rPr>
                <w:rFonts w:hint="eastAsia" w:ascii="方正仿宋简体" w:hAnsi="宋体" w:eastAsia="方正仿宋简体" w:cs="宋体"/>
                <w:b/>
                <w:sz w:val="24"/>
                <w:szCs w:val="24"/>
              </w:rPr>
              <w:t>%</w:t>
            </w:r>
          </w:p>
        </w:tc>
        <w:tc>
          <w:tcPr>
            <w:tcW w:w="992" w:type="dxa"/>
            <w:shd w:val="clear" w:color="auto" w:fill="FFFFFF" w:themeFill="background1"/>
            <w:noWrap/>
            <w:vAlign w:val="center"/>
          </w:tcPr>
          <w:p>
            <w:pPr>
              <w:widowControl/>
              <w:spacing w:line="300" w:lineRule="exact"/>
              <w:ind w:left="-38" w:leftChars="-20" w:right="-38" w:rightChars="-20"/>
              <w:jc w:val="center"/>
              <w:rPr>
                <w:rFonts w:ascii="方正仿宋简体" w:hAnsi="宋体" w:eastAsia="方正仿宋简体" w:cs="宋体"/>
                <w:b/>
                <w:sz w:val="24"/>
                <w:szCs w:val="24"/>
              </w:rPr>
            </w:pPr>
            <w:r>
              <w:rPr>
                <w:rFonts w:hint="eastAsia" w:ascii="方正仿宋简体" w:hAnsi="宋体" w:eastAsia="方正仿宋简体" w:cs="宋体"/>
                <w:b/>
                <w:sz w:val="24"/>
                <w:szCs w:val="24"/>
              </w:rPr>
              <w:t>5.7</w:t>
            </w:r>
          </w:p>
        </w:tc>
        <w:tc>
          <w:tcPr>
            <w:tcW w:w="1134" w:type="dxa"/>
            <w:shd w:val="clear" w:color="auto" w:fill="FFFFFF" w:themeFill="background1"/>
            <w:noWrap/>
            <w:vAlign w:val="center"/>
          </w:tcPr>
          <w:p>
            <w:pPr>
              <w:widowControl/>
              <w:spacing w:line="300" w:lineRule="exact"/>
              <w:ind w:left="-38" w:leftChars="-20" w:right="-38" w:rightChars="-20"/>
              <w:jc w:val="center"/>
              <w:rPr>
                <w:rFonts w:ascii="方正仿宋简体" w:hAnsi="宋体" w:eastAsia="方正仿宋简体" w:cs="宋体"/>
                <w:b/>
                <w:sz w:val="24"/>
                <w:szCs w:val="24"/>
              </w:rPr>
            </w:pPr>
            <w:r>
              <w:rPr>
                <w:rFonts w:hint="eastAsia" w:ascii="方正仿宋简体" w:hAnsi="宋体" w:eastAsia="方正仿宋简体" w:cs="宋体"/>
                <w:b/>
                <w:sz w:val="24"/>
                <w:szCs w:val="24"/>
              </w:rPr>
              <w:t>8</w:t>
            </w:r>
          </w:p>
        </w:tc>
        <w:tc>
          <w:tcPr>
            <w:tcW w:w="858" w:type="dxa"/>
            <w:shd w:val="clear" w:color="auto" w:fill="FFFFFF" w:themeFill="background1"/>
            <w:vAlign w:val="center"/>
          </w:tcPr>
          <w:p>
            <w:pPr>
              <w:spacing w:line="300" w:lineRule="exact"/>
              <w:ind w:left="-38" w:leftChars="-20" w:right="-38" w:rightChars="-20"/>
              <w:jc w:val="center"/>
              <w:rPr>
                <w:rFonts w:ascii="方正仿宋简体" w:hAnsi="宋体" w:eastAsia="方正仿宋简体" w:cs="宋体"/>
                <w:b/>
                <w:sz w:val="24"/>
                <w:szCs w:val="24"/>
              </w:rPr>
            </w:pPr>
            <w:r>
              <w:rPr>
                <w:rFonts w:hint="eastAsia" w:ascii="方正仿宋简体" w:hAnsi="宋体" w:eastAsia="方正仿宋简体" w:cs="宋体"/>
                <w:b/>
                <w:sz w:val="24"/>
                <w:szCs w:val="24"/>
              </w:rPr>
              <w:t>[2.3]</w:t>
            </w:r>
          </w:p>
        </w:tc>
        <w:tc>
          <w:tcPr>
            <w:tcW w:w="863" w:type="dxa"/>
            <w:shd w:val="clear" w:color="auto" w:fill="FFFFFF" w:themeFill="background1"/>
            <w:vAlign w:val="center"/>
          </w:tcPr>
          <w:p>
            <w:pPr>
              <w:widowControl/>
              <w:spacing w:line="300" w:lineRule="exact"/>
              <w:ind w:left="-38" w:leftChars="-20" w:right="-38" w:rightChars="-20"/>
              <w:jc w:val="center"/>
              <w:rPr>
                <w:rFonts w:ascii="方正仿宋简体" w:hAnsi="宋体" w:eastAsia="方正仿宋简体" w:cs="宋体"/>
                <w:b/>
                <w:sz w:val="24"/>
                <w:szCs w:val="24"/>
              </w:rPr>
            </w:pPr>
            <w:r>
              <w:rPr>
                <w:rFonts w:hint="eastAsia" w:ascii="方正仿宋简体" w:hAnsi="宋体" w:eastAsia="方正仿宋简体" w:cs="宋体"/>
                <w:b/>
                <w:sz w:val="24"/>
                <w:szCs w:val="24"/>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510" w:hRule="atLeast"/>
          <w:jc w:val="center"/>
        </w:trPr>
        <w:tc>
          <w:tcPr>
            <w:tcW w:w="709" w:type="dxa"/>
            <w:vMerge w:val="continue"/>
            <w:shd w:val="clear" w:color="auto" w:fill="FFFFFF" w:themeFill="background1"/>
            <w:vAlign w:val="center"/>
          </w:tcPr>
          <w:p>
            <w:pPr>
              <w:widowControl/>
              <w:spacing w:line="300" w:lineRule="exact"/>
              <w:ind w:left="-38" w:leftChars="-20" w:right="-38" w:rightChars="-20"/>
              <w:jc w:val="center"/>
              <w:rPr>
                <w:rFonts w:ascii="方正仿宋简体" w:hAnsi="宋体" w:eastAsia="方正仿宋简体" w:cs="宋体"/>
                <w:b/>
                <w:bCs/>
                <w:sz w:val="24"/>
                <w:szCs w:val="24"/>
              </w:rPr>
            </w:pPr>
          </w:p>
        </w:tc>
        <w:tc>
          <w:tcPr>
            <w:tcW w:w="454" w:type="dxa"/>
            <w:vMerge w:val="continue"/>
            <w:shd w:val="clear" w:color="auto" w:fill="FFFFFF" w:themeFill="background1"/>
            <w:noWrap/>
            <w:vAlign w:val="center"/>
          </w:tcPr>
          <w:p>
            <w:pPr>
              <w:widowControl/>
              <w:spacing w:line="300" w:lineRule="exact"/>
              <w:ind w:left="-38" w:leftChars="-20" w:right="-38" w:rightChars="-20"/>
              <w:jc w:val="center"/>
              <w:rPr>
                <w:rFonts w:ascii="方正仿宋简体" w:hAnsi="宋体" w:eastAsia="方正仿宋简体" w:cs="宋体"/>
                <w:b/>
                <w:sz w:val="24"/>
                <w:szCs w:val="24"/>
              </w:rPr>
            </w:pPr>
          </w:p>
        </w:tc>
        <w:tc>
          <w:tcPr>
            <w:tcW w:w="2571" w:type="dxa"/>
            <w:shd w:val="clear" w:color="auto" w:fill="FFFFFF" w:themeFill="background1"/>
            <w:vAlign w:val="center"/>
          </w:tcPr>
          <w:p>
            <w:pPr>
              <w:widowControl/>
              <w:spacing w:line="300" w:lineRule="exact"/>
              <w:ind w:left="-38" w:leftChars="-20" w:right="-38" w:rightChars="-20"/>
              <w:jc w:val="center"/>
              <w:rPr>
                <w:rFonts w:ascii="方正仿宋简体" w:hAnsi="宋体" w:eastAsia="方正仿宋简体" w:cs="宋体"/>
                <w:b/>
                <w:sz w:val="24"/>
                <w:szCs w:val="24"/>
              </w:rPr>
            </w:pPr>
            <w:r>
              <w:rPr>
                <w:rFonts w:hint="eastAsia" w:ascii="方正仿宋简体" w:hAnsi="宋体" w:eastAsia="方正仿宋简体" w:cs="宋体"/>
                <w:b/>
                <w:sz w:val="24"/>
                <w:szCs w:val="24"/>
              </w:rPr>
              <w:t>非化石能源消费比重</w:t>
            </w:r>
          </w:p>
        </w:tc>
        <w:tc>
          <w:tcPr>
            <w:tcW w:w="1209" w:type="dxa"/>
            <w:shd w:val="clear" w:color="auto" w:fill="FFFFFF" w:themeFill="background1"/>
            <w:noWrap/>
            <w:vAlign w:val="center"/>
          </w:tcPr>
          <w:p>
            <w:pPr>
              <w:widowControl/>
              <w:spacing w:line="300" w:lineRule="exact"/>
              <w:ind w:left="-38" w:leftChars="-20" w:right="-38" w:rightChars="-20"/>
              <w:jc w:val="center"/>
              <w:rPr>
                <w:rFonts w:ascii="方正仿宋简体" w:hAnsi="宋体" w:eastAsia="方正仿宋简体" w:cs="宋体"/>
                <w:b/>
                <w:sz w:val="24"/>
                <w:szCs w:val="24"/>
              </w:rPr>
            </w:pPr>
            <w:r>
              <w:rPr>
                <w:rFonts w:hint="eastAsia" w:ascii="方正仿宋简体" w:hAnsi="宋体" w:eastAsia="方正仿宋简体" w:cs="宋体"/>
                <w:b/>
                <w:sz w:val="24"/>
                <w:szCs w:val="24"/>
              </w:rPr>
              <w:t>%</w:t>
            </w:r>
          </w:p>
        </w:tc>
        <w:tc>
          <w:tcPr>
            <w:tcW w:w="992" w:type="dxa"/>
            <w:shd w:val="clear" w:color="auto" w:fill="FFFFFF" w:themeFill="background1"/>
            <w:noWrap/>
            <w:vAlign w:val="center"/>
          </w:tcPr>
          <w:p>
            <w:pPr>
              <w:widowControl/>
              <w:spacing w:line="300" w:lineRule="exact"/>
              <w:ind w:left="-38" w:leftChars="-20" w:right="-38" w:rightChars="-20"/>
              <w:jc w:val="center"/>
              <w:rPr>
                <w:rFonts w:ascii="方正仿宋简体" w:hAnsi="宋体" w:eastAsia="方正仿宋简体" w:cs="宋体"/>
                <w:b/>
                <w:sz w:val="24"/>
                <w:szCs w:val="24"/>
              </w:rPr>
            </w:pPr>
            <w:r>
              <w:rPr>
                <w:rFonts w:hint="eastAsia" w:ascii="方正仿宋简体" w:hAnsi="宋体" w:eastAsia="方正仿宋简体" w:cs="宋体"/>
                <w:b/>
                <w:sz w:val="24"/>
                <w:szCs w:val="24"/>
              </w:rPr>
              <w:t>6.2</w:t>
            </w:r>
          </w:p>
        </w:tc>
        <w:tc>
          <w:tcPr>
            <w:tcW w:w="1134" w:type="dxa"/>
            <w:shd w:val="clear" w:color="auto" w:fill="FFFFFF" w:themeFill="background1"/>
            <w:noWrap/>
            <w:vAlign w:val="center"/>
          </w:tcPr>
          <w:p>
            <w:pPr>
              <w:widowControl/>
              <w:spacing w:line="300" w:lineRule="exact"/>
              <w:ind w:left="-38" w:leftChars="-20" w:right="-38" w:rightChars="-20"/>
              <w:jc w:val="center"/>
              <w:rPr>
                <w:rFonts w:ascii="方正仿宋简体" w:hAnsi="宋体" w:eastAsia="方正仿宋简体" w:cs="宋体"/>
                <w:b/>
                <w:sz w:val="24"/>
                <w:szCs w:val="24"/>
              </w:rPr>
            </w:pPr>
            <w:r>
              <w:rPr>
                <w:rFonts w:hint="eastAsia" w:ascii="方正仿宋简体" w:hAnsi="宋体" w:eastAsia="方正仿宋简体" w:cs="宋体"/>
                <w:b/>
                <w:sz w:val="24"/>
                <w:szCs w:val="24"/>
              </w:rPr>
              <w:t>13</w:t>
            </w:r>
          </w:p>
        </w:tc>
        <w:tc>
          <w:tcPr>
            <w:tcW w:w="858" w:type="dxa"/>
            <w:shd w:val="clear" w:color="auto" w:fill="FFFFFF" w:themeFill="background1"/>
            <w:vAlign w:val="center"/>
          </w:tcPr>
          <w:p>
            <w:pPr>
              <w:spacing w:line="300" w:lineRule="exact"/>
              <w:ind w:left="-38" w:leftChars="-20" w:right="-38" w:rightChars="-20"/>
              <w:jc w:val="center"/>
              <w:rPr>
                <w:rFonts w:ascii="方正仿宋简体" w:hAnsi="宋体" w:eastAsia="方正仿宋简体" w:cs="宋体"/>
                <w:b/>
                <w:sz w:val="24"/>
                <w:szCs w:val="24"/>
              </w:rPr>
            </w:pPr>
            <w:r>
              <w:rPr>
                <w:rFonts w:hint="eastAsia" w:ascii="方正仿宋简体" w:hAnsi="宋体" w:eastAsia="方正仿宋简体" w:cs="宋体"/>
                <w:b/>
                <w:sz w:val="24"/>
                <w:szCs w:val="24"/>
              </w:rPr>
              <w:t>[6.8]</w:t>
            </w:r>
          </w:p>
        </w:tc>
        <w:tc>
          <w:tcPr>
            <w:tcW w:w="863" w:type="dxa"/>
            <w:shd w:val="clear" w:color="auto" w:fill="FFFFFF" w:themeFill="background1"/>
            <w:vAlign w:val="center"/>
          </w:tcPr>
          <w:p>
            <w:pPr>
              <w:widowControl/>
              <w:spacing w:line="300" w:lineRule="exact"/>
              <w:ind w:left="-38" w:leftChars="-20" w:right="-38" w:rightChars="-20"/>
              <w:jc w:val="center"/>
              <w:rPr>
                <w:rFonts w:ascii="方正仿宋简体" w:hAnsi="宋体" w:eastAsia="方正仿宋简体" w:cs="宋体"/>
                <w:b/>
                <w:sz w:val="24"/>
                <w:szCs w:val="24"/>
              </w:rPr>
            </w:pPr>
            <w:r>
              <w:rPr>
                <w:rFonts w:hint="eastAsia" w:ascii="方正仿宋简体" w:hAnsi="宋体" w:eastAsia="方正仿宋简体" w:cs="宋体"/>
                <w:b/>
                <w:sz w:val="24"/>
                <w:szCs w:val="24"/>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761" w:hRule="atLeast"/>
          <w:jc w:val="center"/>
        </w:trPr>
        <w:tc>
          <w:tcPr>
            <w:tcW w:w="709" w:type="dxa"/>
            <w:vMerge w:val="continue"/>
            <w:shd w:val="clear" w:color="auto" w:fill="FFFFFF" w:themeFill="background1"/>
            <w:vAlign w:val="center"/>
          </w:tcPr>
          <w:p>
            <w:pPr>
              <w:widowControl/>
              <w:spacing w:line="300" w:lineRule="exact"/>
              <w:ind w:left="-38" w:leftChars="-20" w:right="-38" w:rightChars="-20"/>
              <w:jc w:val="center"/>
              <w:rPr>
                <w:rFonts w:ascii="方正仿宋简体" w:hAnsi="宋体" w:eastAsia="方正仿宋简体" w:cs="宋体"/>
                <w:b/>
                <w:bCs/>
                <w:sz w:val="24"/>
                <w:szCs w:val="24"/>
              </w:rPr>
            </w:pPr>
          </w:p>
        </w:tc>
        <w:tc>
          <w:tcPr>
            <w:tcW w:w="454" w:type="dxa"/>
            <w:vMerge w:val="restart"/>
            <w:shd w:val="clear" w:color="auto" w:fill="FFFFFF" w:themeFill="background1"/>
            <w:noWrap/>
            <w:vAlign w:val="center"/>
          </w:tcPr>
          <w:p>
            <w:pPr>
              <w:widowControl/>
              <w:spacing w:line="300" w:lineRule="exact"/>
              <w:ind w:left="-38" w:leftChars="-20" w:right="-38" w:rightChars="-20"/>
              <w:jc w:val="center"/>
              <w:rPr>
                <w:rFonts w:ascii="方正仿宋简体" w:hAnsi="宋体" w:eastAsia="方正仿宋简体" w:cs="宋体"/>
                <w:b/>
                <w:sz w:val="24"/>
                <w:szCs w:val="24"/>
              </w:rPr>
            </w:pPr>
            <w:r>
              <w:rPr>
                <w:rFonts w:hint="eastAsia" w:ascii="方正仿宋简体" w:hAnsi="宋体" w:eastAsia="方正仿宋简体" w:cs="宋体"/>
                <w:b/>
                <w:sz w:val="24"/>
                <w:szCs w:val="24"/>
              </w:rPr>
              <w:t>电量结构</w:t>
            </w:r>
          </w:p>
        </w:tc>
        <w:tc>
          <w:tcPr>
            <w:tcW w:w="2571" w:type="dxa"/>
            <w:shd w:val="clear" w:color="auto" w:fill="FFFFFF" w:themeFill="background1"/>
            <w:vAlign w:val="center"/>
          </w:tcPr>
          <w:p>
            <w:pPr>
              <w:spacing w:line="300" w:lineRule="exact"/>
              <w:ind w:left="-38" w:leftChars="-20" w:right="-38" w:rightChars="-20"/>
              <w:jc w:val="center"/>
              <w:rPr>
                <w:rFonts w:ascii="方正仿宋简体" w:hAnsi="宋体" w:eastAsia="方正仿宋简体" w:cs="宋体"/>
                <w:b/>
                <w:sz w:val="24"/>
                <w:szCs w:val="24"/>
              </w:rPr>
            </w:pPr>
            <w:r>
              <w:rPr>
                <w:rFonts w:hint="eastAsia" w:ascii="方正仿宋简体" w:hAnsi="宋体" w:eastAsia="方正仿宋简体" w:cs="宋体"/>
                <w:b/>
                <w:sz w:val="24"/>
                <w:szCs w:val="24"/>
              </w:rPr>
              <w:t>煤电发电量占全社会</w:t>
            </w:r>
          </w:p>
          <w:p>
            <w:pPr>
              <w:spacing w:line="300" w:lineRule="exact"/>
              <w:ind w:left="-38" w:leftChars="-20" w:right="-38" w:rightChars="-20"/>
              <w:jc w:val="center"/>
              <w:rPr>
                <w:rFonts w:ascii="方正仿宋简体" w:hAnsi="宋体" w:eastAsia="方正仿宋简体" w:cs="宋体"/>
                <w:b/>
                <w:sz w:val="24"/>
                <w:szCs w:val="24"/>
              </w:rPr>
            </w:pPr>
            <w:r>
              <w:rPr>
                <w:rFonts w:hint="eastAsia" w:ascii="方正仿宋简体" w:hAnsi="宋体" w:eastAsia="方正仿宋简体" w:cs="宋体"/>
                <w:b/>
                <w:sz w:val="24"/>
                <w:szCs w:val="24"/>
              </w:rPr>
              <w:t>用电量比重</w:t>
            </w:r>
          </w:p>
        </w:tc>
        <w:tc>
          <w:tcPr>
            <w:tcW w:w="1209" w:type="dxa"/>
            <w:shd w:val="clear" w:color="auto" w:fill="FFFFFF" w:themeFill="background1"/>
            <w:noWrap/>
            <w:vAlign w:val="center"/>
          </w:tcPr>
          <w:p>
            <w:pPr>
              <w:widowControl/>
              <w:spacing w:line="300" w:lineRule="exact"/>
              <w:ind w:left="-38" w:leftChars="-20" w:right="-38" w:rightChars="-20"/>
              <w:jc w:val="center"/>
              <w:rPr>
                <w:rFonts w:ascii="方正仿宋简体" w:hAnsi="宋体" w:eastAsia="方正仿宋简体" w:cs="宋体"/>
                <w:b/>
                <w:sz w:val="24"/>
                <w:szCs w:val="24"/>
              </w:rPr>
            </w:pPr>
            <w:r>
              <w:rPr>
                <w:rFonts w:hint="eastAsia" w:ascii="方正仿宋简体" w:hAnsi="宋体" w:eastAsia="方正仿宋简体" w:cs="宋体"/>
                <w:b/>
                <w:sz w:val="24"/>
                <w:szCs w:val="24"/>
              </w:rPr>
              <w:t>%</w:t>
            </w:r>
          </w:p>
        </w:tc>
        <w:tc>
          <w:tcPr>
            <w:tcW w:w="992" w:type="dxa"/>
            <w:shd w:val="clear" w:color="auto" w:fill="FFFFFF" w:themeFill="background1"/>
            <w:noWrap/>
            <w:vAlign w:val="center"/>
          </w:tcPr>
          <w:p>
            <w:pPr>
              <w:widowControl/>
              <w:spacing w:line="300" w:lineRule="exact"/>
              <w:ind w:left="-38" w:leftChars="-20" w:right="-38" w:rightChars="-20"/>
              <w:jc w:val="center"/>
              <w:rPr>
                <w:rFonts w:ascii="方正仿宋简体" w:hAnsi="宋体" w:eastAsia="方正仿宋简体" w:cs="宋体"/>
                <w:b/>
                <w:sz w:val="24"/>
                <w:szCs w:val="24"/>
              </w:rPr>
            </w:pPr>
            <w:r>
              <w:rPr>
                <w:rFonts w:hint="eastAsia" w:ascii="方正仿宋简体" w:hAnsi="宋体" w:eastAsia="方正仿宋简体" w:cs="宋体"/>
                <w:b/>
                <w:sz w:val="24"/>
                <w:szCs w:val="24"/>
              </w:rPr>
              <w:t>73.8</w:t>
            </w:r>
          </w:p>
        </w:tc>
        <w:tc>
          <w:tcPr>
            <w:tcW w:w="1134" w:type="dxa"/>
            <w:shd w:val="clear" w:color="auto" w:fill="FFFFFF" w:themeFill="background1"/>
            <w:noWrap/>
            <w:vAlign w:val="center"/>
          </w:tcPr>
          <w:p>
            <w:pPr>
              <w:widowControl/>
              <w:spacing w:line="300" w:lineRule="exact"/>
              <w:ind w:left="-38" w:leftChars="-20" w:right="-38" w:rightChars="-20"/>
              <w:jc w:val="center"/>
              <w:rPr>
                <w:rFonts w:ascii="方正仿宋简体" w:hAnsi="宋体" w:eastAsia="方正仿宋简体" w:cs="宋体"/>
                <w:b/>
                <w:sz w:val="24"/>
                <w:szCs w:val="24"/>
              </w:rPr>
            </w:pPr>
            <w:r>
              <w:rPr>
                <w:rFonts w:hint="eastAsia" w:ascii="方正仿宋简体" w:hAnsi="宋体" w:eastAsia="方正仿宋简体" w:cs="宋体"/>
                <w:b/>
                <w:sz w:val="24"/>
                <w:szCs w:val="24"/>
              </w:rPr>
              <w:t>67</w:t>
            </w:r>
          </w:p>
        </w:tc>
        <w:tc>
          <w:tcPr>
            <w:tcW w:w="858" w:type="dxa"/>
            <w:shd w:val="clear" w:color="auto" w:fill="FFFFFF" w:themeFill="background1"/>
            <w:vAlign w:val="center"/>
          </w:tcPr>
          <w:p>
            <w:pPr>
              <w:spacing w:line="300" w:lineRule="exact"/>
              <w:ind w:left="-38" w:leftChars="-20" w:right="-38" w:rightChars="-20"/>
              <w:jc w:val="center"/>
              <w:rPr>
                <w:rFonts w:ascii="方正仿宋简体" w:hAnsi="宋体" w:eastAsia="方正仿宋简体" w:cs="宋体"/>
                <w:b/>
                <w:sz w:val="24"/>
                <w:szCs w:val="24"/>
              </w:rPr>
            </w:pPr>
            <w:r>
              <w:rPr>
                <w:rFonts w:hint="eastAsia" w:ascii="方正仿宋简体" w:hAnsi="宋体" w:eastAsia="方正仿宋简体" w:cs="宋体"/>
                <w:b/>
                <w:sz w:val="24"/>
                <w:szCs w:val="24"/>
              </w:rPr>
              <w:t>[-6.8]</w:t>
            </w:r>
          </w:p>
        </w:tc>
        <w:tc>
          <w:tcPr>
            <w:tcW w:w="863" w:type="dxa"/>
            <w:shd w:val="clear" w:color="auto" w:fill="FFFFFF" w:themeFill="background1"/>
            <w:vAlign w:val="center"/>
          </w:tcPr>
          <w:p>
            <w:pPr>
              <w:widowControl/>
              <w:spacing w:line="300" w:lineRule="exact"/>
              <w:ind w:left="-38" w:leftChars="-20" w:right="-38" w:rightChars="-20"/>
              <w:jc w:val="center"/>
              <w:rPr>
                <w:rFonts w:ascii="方正仿宋简体" w:hAnsi="宋体" w:eastAsia="方正仿宋简体" w:cs="宋体"/>
                <w:b/>
                <w:sz w:val="24"/>
                <w:szCs w:val="24"/>
              </w:rPr>
            </w:pPr>
            <w:r>
              <w:rPr>
                <w:rFonts w:hint="eastAsia" w:ascii="方正仿宋简体" w:hAnsi="宋体" w:eastAsia="方正仿宋简体" w:cs="宋体"/>
                <w:b/>
                <w:sz w:val="24"/>
                <w:szCs w:val="24"/>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707" w:hRule="atLeast"/>
          <w:jc w:val="center"/>
        </w:trPr>
        <w:tc>
          <w:tcPr>
            <w:tcW w:w="709" w:type="dxa"/>
            <w:vMerge w:val="continue"/>
            <w:shd w:val="clear" w:color="auto" w:fill="FFFFFF" w:themeFill="background1"/>
            <w:vAlign w:val="center"/>
          </w:tcPr>
          <w:p>
            <w:pPr>
              <w:widowControl/>
              <w:spacing w:line="300" w:lineRule="exact"/>
              <w:ind w:left="-38" w:leftChars="-20" w:right="-38" w:rightChars="-20"/>
              <w:jc w:val="center"/>
              <w:rPr>
                <w:rFonts w:ascii="方正仿宋简体" w:hAnsi="宋体" w:eastAsia="方正仿宋简体" w:cs="宋体"/>
                <w:b/>
                <w:bCs/>
                <w:sz w:val="24"/>
                <w:szCs w:val="24"/>
              </w:rPr>
            </w:pPr>
          </w:p>
        </w:tc>
        <w:tc>
          <w:tcPr>
            <w:tcW w:w="454" w:type="dxa"/>
            <w:vMerge w:val="continue"/>
            <w:shd w:val="clear" w:color="auto" w:fill="FFFFFF" w:themeFill="background1"/>
            <w:noWrap/>
            <w:vAlign w:val="center"/>
          </w:tcPr>
          <w:p>
            <w:pPr>
              <w:widowControl/>
              <w:spacing w:line="300" w:lineRule="exact"/>
              <w:ind w:left="-38" w:leftChars="-20" w:right="-38" w:rightChars="-20"/>
              <w:jc w:val="center"/>
              <w:rPr>
                <w:rFonts w:ascii="方正仿宋简体" w:hAnsi="宋体" w:eastAsia="方正仿宋简体" w:cs="宋体"/>
                <w:b/>
                <w:sz w:val="24"/>
                <w:szCs w:val="24"/>
              </w:rPr>
            </w:pPr>
          </w:p>
        </w:tc>
        <w:tc>
          <w:tcPr>
            <w:tcW w:w="2571" w:type="dxa"/>
            <w:shd w:val="clear" w:color="auto" w:fill="FFFFFF" w:themeFill="background1"/>
            <w:vAlign w:val="center"/>
          </w:tcPr>
          <w:p>
            <w:pPr>
              <w:widowControl/>
              <w:spacing w:line="300" w:lineRule="exact"/>
              <w:ind w:left="-38" w:leftChars="-20" w:right="-38" w:rightChars="-20"/>
              <w:jc w:val="center"/>
              <w:rPr>
                <w:rFonts w:ascii="方正仿宋简体" w:hAnsi="宋体" w:eastAsia="方正仿宋简体" w:cs="宋体"/>
                <w:b/>
                <w:sz w:val="24"/>
                <w:szCs w:val="24"/>
              </w:rPr>
            </w:pPr>
            <w:r>
              <w:rPr>
                <w:rFonts w:hint="eastAsia" w:ascii="方正仿宋简体" w:hAnsi="宋体" w:eastAsia="方正仿宋简体" w:cs="宋体"/>
                <w:b/>
                <w:sz w:val="24"/>
                <w:szCs w:val="24"/>
              </w:rPr>
              <w:t>清洁能源电量占全社会用电量比重</w:t>
            </w:r>
          </w:p>
        </w:tc>
        <w:tc>
          <w:tcPr>
            <w:tcW w:w="1209" w:type="dxa"/>
            <w:shd w:val="clear" w:color="auto" w:fill="FFFFFF" w:themeFill="background1"/>
            <w:noWrap/>
            <w:vAlign w:val="center"/>
          </w:tcPr>
          <w:p>
            <w:pPr>
              <w:widowControl/>
              <w:spacing w:line="300" w:lineRule="exact"/>
              <w:ind w:left="-38" w:leftChars="-20" w:right="-38" w:rightChars="-20"/>
              <w:jc w:val="center"/>
              <w:rPr>
                <w:rFonts w:ascii="方正仿宋简体" w:hAnsi="宋体" w:eastAsia="方正仿宋简体" w:cs="宋体"/>
                <w:b/>
                <w:sz w:val="24"/>
                <w:szCs w:val="24"/>
              </w:rPr>
            </w:pPr>
            <w:r>
              <w:rPr>
                <w:rFonts w:hint="eastAsia" w:ascii="方正仿宋简体" w:hAnsi="宋体" w:eastAsia="方正仿宋简体" w:cs="宋体"/>
                <w:b/>
                <w:sz w:val="24"/>
                <w:szCs w:val="24"/>
              </w:rPr>
              <w:t>%</w:t>
            </w:r>
          </w:p>
        </w:tc>
        <w:tc>
          <w:tcPr>
            <w:tcW w:w="992" w:type="dxa"/>
            <w:shd w:val="clear" w:color="auto" w:fill="FFFFFF" w:themeFill="background1"/>
            <w:noWrap/>
            <w:vAlign w:val="center"/>
          </w:tcPr>
          <w:p>
            <w:pPr>
              <w:widowControl/>
              <w:spacing w:line="300" w:lineRule="exact"/>
              <w:ind w:left="-38" w:leftChars="-20" w:right="-38" w:rightChars="-20"/>
              <w:jc w:val="center"/>
              <w:rPr>
                <w:rFonts w:ascii="方正仿宋简体" w:hAnsi="宋体" w:eastAsia="方正仿宋简体" w:cs="宋体"/>
                <w:b/>
                <w:sz w:val="24"/>
                <w:szCs w:val="24"/>
              </w:rPr>
            </w:pPr>
            <w:r>
              <w:rPr>
                <w:rFonts w:hint="eastAsia" w:ascii="方正仿宋简体" w:hAnsi="宋体" w:eastAsia="方正仿宋简体" w:cs="宋体"/>
                <w:b/>
                <w:sz w:val="24"/>
                <w:szCs w:val="24"/>
              </w:rPr>
              <w:t>9.6</w:t>
            </w:r>
          </w:p>
        </w:tc>
        <w:tc>
          <w:tcPr>
            <w:tcW w:w="1134" w:type="dxa"/>
            <w:shd w:val="clear" w:color="auto" w:fill="FFFFFF" w:themeFill="background1"/>
            <w:noWrap/>
            <w:vAlign w:val="center"/>
          </w:tcPr>
          <w:p>
            <w:pPr>
              <w:widowControl/>
              <w:spacing w:line="300" w:lineRule="exact"/>
              <w:ind w:left="-38" w:leftChars="-20" w:right="-38" w:rightChars="-20"/>
              <w:jc w:val="center"/>
              <w:rPr>
                <w:rFonts w:ascii="方正仿宋简体" w:hAnsi="宋体" w:eastAsia="方正仿宋简体" w:cs="宋体"/>
                <w:b/>
                <w:sz w:val="24"/>
                <w:szCs w:val="24"/>
              </w:rPr>
            </w:pPr>
            <w:r>
              <w:rPr>
                <w:rFonts w:hint="eastAsia" w:ascii="方正仿宋简体" w:hAnsi="宋体" w:eastAsia="方正仿宋简体" w:cs="宋体"/>
                <w:b/>
                <w:sz w:val="24"/>
                <w:szCs w:val="24"/>
              </w:rPr>
              <w:t>15</w:t>
            </w:r>
          </w:p>
        </w:tc>
        <w:tc>
          <w:tcPr>
            <w:tcW w:w="858" w:type="dxa"/>
            <w:shd w:val="clear" w:color="auto" w:fill="FFFFFF" w:themeFill="background1"/>
            <w:vAlign w:val="center"/>
          </w:tcPr>
          <w:p>
            <w:pPr>
              <w:spacing w:line="300" w:lineRule="exact"/>
              <w:ind w:left="-38" w:leftChars="-20" w:right="-38" w:rightChars="-20"/>
              <w:jc w:val="center"/>
              <w:rPr>
                <w:rFonts w:ascii="方正仿宋简体" w:hAnsi="宋体" w:eastAsia="方正仿宋简体" w:cs="宋体"/>
                <w:b/>
                <w:sz w:val="24"/>
                <w:szCs w:val="24"/>
              </w:rPr>
            </w:pPr>
            <w:r>
              <w:rPr>
                <w:rFonts w:hint="eastAsia" w:ascii="方正仿宋简体" w:hAnsi="宋体" w:eastAsia="方正仿宋简体" w:cs="宋体"/>
                <w:b/>
                <w:sz w:val="24"/>
                <w:szCs w:val="24"/>
              </w:rPr>
              <w:t>[5.4]</w:t>
            </w:r>
          </w:p>
        </w:tc>
        <w:tc>
          <w:tcPr>
            <w:tcW w:w="863" w:type="dxa"/>
            <w:shd w:val="clear" w:color="auto" w:fill="FFFFFF" w:themeFill="background1"/>
            <w:vAlign w:val="center"/>
          </w:tcPr>
          <w:p>
            <w:pPr>
              <w:widowControl/>
              <w:spacing w:line="300" w:lineRule="exact"/>
              <w:ind w:left="-38" w:leftChars="-20" w:right="-38" w:rightChars="-20"/>
              <w:jc w:val="center"/>
              <w:rPr>
                <w:rFonts w:ascii="方正仿宋简体" w:hAnsi="宋体" w:eastAsia="方正仿宋简体" w:cs="宋体"/>
                <w:b/>
                <w:sz w:val="24"/>
                <w:szCs w:val="24"/>
              </w:rPr>
            </w:pPr>
            <w:r>
              <w:rPr>
                <w:rFonts w:hint="eastAsia" w:ascii="方正仿宋简体" w:hAnsi="宋体" w:eastAsia="方正仿宋简体" w:cs="宋体"/>
                <w:b/>
                <w:sz w:val="24"/>
                <w:szCs w:val="24"/>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901" w:hRule="atLeast"/>
          <w:jc w:val="center"/>
        </w:trPr>
        <w:tc>
          <w:tcPr>
            <w:tcW w:w="709" w:type="dxa"/>
            <w:vMerge w:val="continue"/>
            <w:shd w:val="clear" w:color="auto" w:fill="FFFFFF" w:themeFill="background1"/>
            <w:vAlign w:val="center"/>
          </w:tcPr>
          <w:p>
            <w:pPr>
              <w:widowControl/>
              <w:spacing w:line="300" w:lineRule="exact"/>
              <w:ind w:left="-38" w:leftChars="-20" w:right="-38" w:rightChars="-20"/>
              <w:jc w:val="center"/>
              <w:rPr>
                <w:rFonts w:ascii="方正仿宋简体" w:hAnsi="宋体" w:eastAsia="方正仿宋简体" w:cs="宋体"/>
                <w:b/>
                <w:bCs/>
                <w:sz w:val="24"/>
                <w:szCs w:val="24"/>
              </w:rPr>
            </w:pPr>
          </w:p>
        </w:tc>
        <w:tc>
          <w:tcPr>
            <w:tcW w:w="454" w:type="dxa"/>
            <w:vMerge w:val="continue"/>
            <w:shd w:val="clear" w:color="auto" w:fill="FFFFFF" w:themeFill="background1"/>
            <w:noWrap/>
            <w:vAlign w:val="center"/>
          </w:tcPr>
          <w:p>
            <w:pPr>
              <w:widowControl/>
              <w:spacing w:line="300" w:lineRule="exact"/>
              <w:ind w:left="-38" w:leftChars="-20" w:right="-38" w:rightChars="-20"/>
              <w:jc w:val="center"/>
              <w:rPr>
                <w:rFonts w:ascii="方正仿宋简体" w:hAnsi="宋体" w:eastAsia="方正仿宋简体" w:cs="宋体"/>
                <w:b/>
                <w:sz w:val="24"/>
                <w:szCs w:val="24"/>
              </w:rPr>
            </w:pPr>
          </w:p>
        </w:tc>
        <w:tc>
          <w:tcPr>
            <w:tcW w:w="2571" w:type="dxa"/>
            <w:shd w:val="clear" w:color="auto" w:fill="FFFFFF" w:themeFill="background1"/>
            <w:vAlign w:val="center"/>
          </w:tcPr>
          <w:p>
            <w:pPr>
              <w:widowControl/>
              <w:spacing w:line="300" w:lineRule="exact"/>
              <w:ind w:left="-38" w:leftChars="-20" w:right="-38" w:rightChars="-20"/>
              <w:jc w:val="center"/>
              <w:rPr>
                <w:rFonts w:ascii="方正仿宋简体" w:hAnsi="宋体" w:eastAsia="方正仿宋简体" w:cs="宋体"/>
                <w:b/>
                <w:sz w:val="24"/>
                <w:szCs w:val="24"/>
              </w:rPr>
            </w:pPr>
            <w:r>
              <w:rPr>
                <w:rFonts w:hint="eastAsia" w:ascii="方正仿宋简体" w:hAnsi="宋体" w:eastAsia="方正仿宋简体" w:cs="宋体"/>
                <w:b/>
                <w:sz w:val="24"/>
                <w:szCs w:val="24"/>
              </w:rPr>
              <w:t>市外来电占全社会</w:t>
            </w:r>
          </w:p>
          <w:p>
            <w:pPr>
              <w:widowControl/>
              <w:spacing w:line="300" w:lineRule="exact"/>
              <w:ind w:left="-38" w:leftChars="-20" w:right="-38" w:rightChars="-20"/>
              <w:jc w:val="center"/>
              <w:rPr>
                <w:rFonts w:ascii="方正仿宋简体" w:hAnsi="宋体" w:eastAsia="方正仿宋简体" w:cs="宋体"/>
                <w:b/>
                <w:sz w:val="24"/>
                <w:szCs w:val="24"/>
              </w:rPr>
            </w:pPr>
            <w:r>
              <w:rPr>
                <w:rFonts w:hint="eastAsia" w:ascii="方正仿宋简体" w:hAnsi="宋体" w:eastAsia="方正仿宋简体" w:cs="宋体"/>
                <w:b/>
                <w:sz w:val="24"/>
                <w:szCs w:val="24"/>
              </w:rPr>
              <w:t>用电量比重</w:t>
            </w:r>
          </w:p>
        </w:tc>
        <w:tc>
          <w:tcPr>
            <w:tcW w:w="1209" w:type="dxa"/>
            <w:shd w:val="clear" w:color="auto" w:fill="FFFFFF" w:themeFill="background1"/>
            <w:noWrap/>
            <w:vAlign w:val="center"/>
          </w:tcPr>
          <w:p>
            <w:pPr>
              <w:widowControl/>
              <w:spacing w:line="300" w:lineRule="exact"/>
              <w:ind w:left="-38" w:leftChars="-20" w:right="-38" w:rightChars="-20"/>
              <w:jc w:val="center"/>
              <w:rPr>
                <w:rFonts w:ascii="方正仿宋简体" w:hAnsi="宋体" w:eastAsia="方正仿宋简体" w:cs="宋体"/>
                <w:b/>
                <w:sz w:val="24"/>
                <w:szCs w:val="24"/>
              </w:rPr>
            </w:pPr>
            <w:r>
              <w:rPr>
                <w:rFonts w:hint="eastAsia" w:ascii="方正仿宋简体" w:hAnsi="宋体" w:eastAsia="方正仿宋简体" w:cs="宋体"/>
                <w:b/>
                <w:sz w:val="24"/>
                <w:szCs w:val="24"/>
              </w:rPr>
              <w:t>%</w:t>
            </w:r>
          </w:p>
        </w:tc>
        <w:tc>
          <w:tcPr>
            <w:tcW w:w="992" w:type="dxa"/>
            <w:shd w:val="clear" w:color="auto" w:fill="FFFFFF" w:themeFill="background1"/>
            <w:noWrap/>
            <w:vAlign w:val="center"/>
          </w:tcPr>
          <w:p>
            <w:pPr>
              <w:widowControl/>
              <w:spacing w:line="300" w:lineRule="exact"/>
              <w:ind w:left="-38" w:leftChars="-20" w:right="-38" w:rightChars="-20"/>
              <w:jc w:val="center"/>
              <w:rPr>
                <w:rFonts w:ascii="方正仿宋简体" w:hAnsi="宋体" w:eastAsia="方正仿宋简体" w:cs="宋体"/>
                <w:b/>
                <w:sz w:val="24"/>
                <w:szCs w:val="24"/>
              </w:rPr>
            </w:pPr>
            <w:r>
              <w:rPr>
                <w:rFonts w:hint="eastAsia" w:ascii="方正仿宋简体" w:hAnsi="宋体" w:eastAsia="方正仿宋简体" w:cs="宋体"/>
                <w:b/>
                <w:sz w:val="24"/>
                <w:szCs w:val="24"/>
              </w:rPr>
              <w:t>16.6</w:t>
            </w:r>
          </w:p>
        </w:tc>
        <w:tc>
          <w:tcPr>
            <w:tcW w:w="1134" w:type="dxa"/>
            <w:shd w:val="clear" w:color="auto" w:fill="FFFFFF" w:themeFill="background1"/>
            <w:noWrap/>
            <w:vAlign w:val="center"/>
          </w:tcPr>
          <w:p>
            <w:pPr>
              <w:widowControl/>
              <w:spacing w:line="300" w:lineRule="exact"/>
              <w:ind w:left="-38" w:leftChars="-20" w:right="-38" w:rightChars="-20"/>
              <w:jc w:val="center"/>
              <w:rPr>
                <w:rFonts w:ascii="方正仿宋简体" w:hAnsi="宋体" w:eastAsia="方正仿宋简体" w:cs="宋体"/>
                <w:b/>
                <w:sz w:val="24"/>
                <w:szCs w:val="24"/>
              </w:rPr>
            </w:pPr>
            <w:r>
              <w:rPr>
                <w:rFonts w:hint="eastAsia" w:ascii="方正仿宋简体" w:hAnsi="宋体" w:eastAsia="方正仿宋简体" w:cs="宋体"/>
                <w:b/>
                <w:sz w:val="24"/>
                <w:szCs w:val="24"/>
              </w:rPr>
              <w:t>18</w:t>
            </w:r>
          </w:p>
        </w:tc>
        <w:tc>
          <w:tcPr>
            <w:tcW w:w="858" w:type="dxa"/>
            <w:shd w:val="clear" w:color="auto" w:fill="FFFFFF" w:themeFill="background1"/>
            <w:vAlign w:val="center"/>
          </w:tcPr>
          <w:p>
            <w:pPr>
              <w:spacing w:line="300" w:lineRule="exact"/>
              <w:ind w:left="-38" w:leftChars="-20" w:right="-38" w:rightChars="-20"/>
              <w:jc w:val="center"/>
              <w:rPr>
                <w:rFonts w:ascii="方正仿宋简体" w:hAnsi="宋体" w:eastAsia="方正仿宋简体" w:cs="宋体"/>
                <w:b/>
                <w:sz w:val="24"/>
                <w:szCs w:val="24"/>
              </w:rPr>
            </w:pPr>
            <w:r>
              <w:rPr>
                <w:rFonts w:hint="eastAsia" w:ascii="方正仿宋简体" w:hAnsi="宋体" w:eastAsia="方正仿宋简体" w:cs="宋体"/>
                <w:b/>
                <w:sz w:val="24"/>
                <w:szCs w:val="24"/>
              </w:rPr>
              <w:t>[1.4]</w:t>
            </w:r>
          </w:p>
        </w:tc>
        <w:tc>
          <w:tcPr>
            <w:tcW w:w="863" w:type="dxa"/>
            <w:shd w:val="clear" w:color="auto" w:fill="FFFFFF" w:themeFill="background1"/>
            <w:vAlign w:val="center"/>
          </w:tcPr>
          <w:p>
            <w:pPr>
              <w:widowControl/>
              <w:spacing w:line="300" w:lineRule="exact"/>
              <w:ind w:left="-38" w:leftChars="-20" w:right="-38" w:rightChars="-20"/>
              <w:jc w:val="center"/>
              <w:rPr>
                <w:rFonts w:ascii="方正仿宋简体" w:hAnsi="宋体" w:eastAsia="方正仿宋简体" w:cs="宋体"/>
                <w:b/>
                <w:sz w:val="24"/>
                <w:szCs w:val="24"/>
              </w:rPr>
            </w:pPr>
            <w:r>
              <w:rPr>
                <w:rFonts w:hint="eastAsia" w:ascii="方正仿宋简体" w:hAnsi="宋体" w:eastAsia="方正仿宋简体" w:cs="宋体"/>
                <w:b/>
                <w:sz w:val="24"/>
                <w:szCs w:val="24"/>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985" w:hRule="atLeast"/>
          <w:jc w:val="center"/>
        </w:trPr>
        <w:tc>
          <w:tcPr>
            <w:tcW w:w="709" w:type="dxa"/>
            <w:shd w:val="clear" w:color="auto" w:fill="FFFFFF" w:themeFill="background1"/>
            <w:noWrap/>
            <w:vAlign w:val="center"/>
          </w:tcPr>
          <w:p>
            <w:pPr>
              <w:widowControl/>
              <w:spacing w:line="300" w:lineRule="exact"/>
              <w:ind w:left="-38" w:leftChars="-20" w:right="-38" w:rightChars="-20"/>
              <w:jc w:val="center"/>
              <w:rPr>
                <w:rFonts w:ascii="方正仿宋简体" w:hAnsi="宋体" w:eastAsia="方正仿宋简体" w:cs="宋体"/>
                <w:b/>
                <w:sz w:val="24"/>
                <w:szCs w:val="24"/>
              </w:rPr>
            </w:pPr>
            <w:r>
              <w:rPr>
                <w:rFonts w:hint="eastAsia" w:ascii="方正仿宋简体" w:hAnsi="宋体" w:eastAsia="方正仿宋简体" w:cs="宋体"/>
                <w:b/>
                <w:sz w:val="24"/>
                <w:szCs w:val="24"/>
              </w:rPr>
              <w:t>效率目标</w:t>
            </w:r>
          </w:p>
        </w:tc>
        <w:tc>
          <w:tcPr>
            <w:tcW w:w="3025" w:type="dxa"/>
            <w:gridSpan w:val="2"/>
            <w:shd w:val="clear" w:color="auto" w:fill="FFFFFF" w:themeFill="background1"/>
            <w:noWrap/>
            <w:vAlign w:val="center"/>
          </w:tcPr>
          <w:p>
            <w:pPr>
              <w:widowControl/>
              <w:spacing w:line="300" w:lineRule="exact"/>
              <w:ind w:left="-38" w:leftChars="-20" w:right="-38" w:rightChars="-20"/>
              <w:jc w:val="center"/>
              <w:rPr>
                <w:rFonts w:ascii="方正仿宋简体" w:hAnsi="宋体" w:eastAsia="方正仿宋简体" w:cs="宋体"/>
                <w:b/>
                <w:sz w:val="24"/>
                <w:szCs w:val="24"/>
              </w:rPr>
            </w:pPr>
            <w:r>
              <w:rPr>
                <w:rFonts w:hint="eastAsia" w:ascii="方正仿宋简体" w:hAnsi="宋体" w:eastAsia="方正仿宋简体" w:cs="宋体"/>
                <w:b/>
                <w:sz w:val="24"/>
                <w:szCs w:val="24"/>
              </w:rPr>
              <w:t>单位地区生产总值能耗降低</w:t>
            </w:r>
          </w:p>
        </w:tc>
        <w:tc>
          <w:tcPr>
            <w:tcW w:w="1209" w:type="dxa"/>
            <w:shd w:val="clear" w:color="auto" w:fill="FFFFFF" w:themeFill="background1"/>
            <w:noWrap/>
            <w:vAlign w:val="center"/>
          </w:tcPr>
          <w:p>
            <w:pPr>
              <w:widowControl/>
              <w:spacing w:line="300" w:lineRule="exact"/>
              <w:ind w:left="-38" w:leftChars="-20" w:right="-38" w:rightChars="-20"/>
              <w:jc w:val="center"/>
              <w:rPr>
                <w:rFonts w:ascii="方正仿宋简体" w:hAnsi="宋体" w:eastAsia="方正仿宋简体" w:cs="宋体"/>
                <w:b/>
                <w:sz w:val="24"/>
                <w:szCs w:val="24"/>
              </w:rPr>
            </w:pPr>
            <w:r>
              <w:rPr>
                <w:rFonts w:hint="eastAsia" w:ascii="方正仿宋简体" w:hAnsi="宋体" w:eastAsia="方正仿宋简体" w:cs="宋体"/>
                <w:b/>
                <w:sz w:val="24"/>
                <w:szCs w:val="24"/>
              </w:rPr>
              <w:t>%</w:t>
            </w:r>
          </w:p>
        </w:tc>
        <w:tc>
          <w:tcPr>
            <w:tcW w:w="992" w:type="dxa"/>
            <w:shd w:val="clear" w:color="auto" w:fill="FFFFFF" w:themeFill="background1"/>
            <w:noWrap/>
            <w:vAlign w:val="center"/>
          </w:tcPr>
          <w:p>
            <w:pPr>
              <w:widowControl/>
              <w:spacing w:line="300" w:lineRule="exact"/>
              <w:ind w:left="-38" w:leftChars="-20" w:right="-38" w:rightChars="-20"/>
              <w:jc w:val="center"/>
              <w:rPr>
                <w:rFonts w:ascii="方正仿宋简体" w:hAnsi="宋体" w:eastAsia="方正仿宋简体" w:cs="宋体"/>
                <w:b/>
                <w:sz w:val="24"/>
                <w:szCs w:val="24"/>
              </w:rPr>
            </w:pPr>
            <w:r>
              <w:rPr>
                <w:rFonts w:hint="eastAsia" w:ascii="方正仿宋简体" w:hAnsi="宋体" w:eastAsia="方正仿宋简体" w:cs="宋体"/>
                <w:b/>
                <w:sz w:val="24"/>
                <w:szCs w:val="24"/>
              </w:rPr>
              <w:t>-</w:t>
            </w:r>
          </w:p>
        </w:tc>
        <w:tc>
          <w:tcPr>
            <w:tcW w:w="1134" w:type="dxa"/>
            <w:shd w:val="clear" w:color="auto" w:fill="FFFFFF" w:themeFill="background1"/>
            <w:vAlign w:val="center"/>
          </w:tcPr>
          <w:p>
            <w:pPr>
              <w:widowControl/>
              <w:spacing w:line="300" w:lineRule="exact"/>
              <w:ind w:left="-38" w:leftChars="-20" w:right="-38" w:rightChars="-20"/>
              <w:jc w:val="center"/>
              <w:rPr>
                <w:rFonts w:ascii="方正仿宋简体" w:hAnsi="宋体" w:eastAsia="方正仿宋简体" w:cs="宋体"/>
                <w:b/>
                <w:sz w:val="24"/>
                <w:szCs w:val="24"/>
              </w:rPr>
            </w:pPr>
            <w:r>
              <w:rPr>
                <w:rFonts w:hint="eastAsia" w:ascii="方正仿宋简体" w:hAnsi="宋体" w:eastAsia="方正仿宋简体" w:cs="宋体"/>
                <w:b/>
                <w:sz w:val="24"/>
                <w:szCs w:val="24"/>
              </w:rPr>
              <w:t>完成省</w:t>
            </w:r>
          </w:p>
          <w:p>
            <w:pPr>
              <w:widowControl/>
              <w:spacing w:line="300" w:lineRule="exact"/>
              <w:ind w:left="-38" w:leftChars="-20" w:right="-38" w:rightChars="-20"/>
              <w:jc w:val="center"/>
              <w:rPr>
                <w:rFonts w:ascii="方正仿宋简体" w:hAnsi="宋体" w:eastAsia="方正仿宋简体" w:cs="宋体"/>
                <w:b/>
                <w:sz w:val="24"/>
                <w:szCs w:val="24"/>
              </w:rPr>
            </w:pPr>
            <w:r>
              <w:rPr>
                <w:rFonts w:hint="eastAsia" w:ascii="方正仿宋简体" w:hAnsi="宋体" w:eastAsia="方正仿宋简体" w:cs="宋体"/>
                <w:b/>
                <w:sz w:val="24"/>
                <w:szCs w:val="24"/>
              </w:rPr>
              <w:t>分解任务</w:t>
            </w:r>
          </w:p>
        </w:tc>
        <w:tc>
          <w:tcPr>
            <w:tcW w:w="858" w:type="dxa"/>
            <w:shd w:val="clear" w:color="auto" w:fill="FFFFFF" w:themeFill="background1"/>
            <w:vAlign w:val="center"/>
          </w:tcPr>
          <w:p>
            <w:pPr>
              <w:widowControl/>
              <w:spacing w:line="300" w:lineRule="exact"/>
              <w:ind w:left="-38" w:leftChars="-20" w:right="-38" w:rightChars="-20"/>
              <w:jc w:val="center"/>
              <w:rPr>
                <w:rFonts w:ascii="方正仿宋简体" w:hAnsi="宋体" w:eastAsia="方正仿宋简体" w:cs="宋体"/>
                <w:b/>
                <w:sz w:val="24"/>
                <w:szCs w:val="24"/>
              </w:rPr>
            </w:pPr>
            <w:r>
              <w:rPr>
                <w:rFonts w:hint="eastAsia" w:ascii="方正仿宋简体" w:hAnsi="宋体" w:eastAsia="方正仿宋简体" w:cs="宋体"/>
                <w:b/>
                <w:sz w:val="24"/>
                <w:szCs w:val="24"/>
              </w:rPr>
              <w:t>-</w:t>
            </w:r>
          </w:p>
        </w:tc>
        <w:tc>
          <w:tcPr>
            <w:tcW w:w="863" w:type="dxa"/>
            <w:shd w:val="clear" w:color="auto" w:fill="FFFFFF" w:themeFill="background1"/>
            <w:vAlign w:val="center"/>
          </w:tcPr>
          <w:p>
            <w:pPr>
              <w:widowControl/>
              <w:spacing w:line="300" w:lineRule="exact"/>
              <w:ind w:left="-38" w:leftChars="-20" w:right="-38" w:rightChars="-20"/>
              <w:jc w:val="center"/>
              <w:rPr>
                <w:rFonts w:ascii="方正仿宋简体" w:hAnsi="宋体" w:eastAsia="方正仿宋简体" w:cs="宋体"/>
                <w:b/>
                <w:sz w:val="24"/>
                <w:szCs w:val="24"/>
              </w:rPr>
            </w:pPr>
            <w:r>
              <w:rPr>
                <w:rFonts w:hint="eastAsia" w:ascii="方正仿宋简体" w:hAnsi="宋体" w:eastAsia="方正仿宋简体" w:cs="宋体"/>
                <w:b/>
                <w:sz w:val="24"/>
                <w:szCs w:val="24"/>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1069" w:hRule="atLeast"/>
          <w:jc w:val="center"/>
        </w:trPr>
        <w:tc>
          <w:tcPr>
            <w:tcW w:w="709" w:type="dxa"/>
            <w:shd w:val="clear" w:color="auto" w:fill="FFFFFF" w:themeFill="background1"/>
            <w:noWrap/>
            <w:vAlign w:val="center"/>
          </w:tcPr>
          <w:p>
            <w:pPr>
              <w:widowControl/>
              <w:spacing w:line="300" w:lineRule="exact"/>
              <w:ind w:left="-38" w:leftChars="-20" w:right="-38" w:rightChars="-20"/>
              <w:jc w:val="center"/>
              <w:rPr>
                <w:rFonts w:ascii="方正仿宋简体" w:hAnsi="宋体" w:eastAsia="方正仿宋简体" w:cs="宋体"/>
                <w:b/>
                <w:bCs/>
                <w:sz w:val="24"/>
                <w:szCs w:val="24"/>
              </w:rPr>
            </w:pPr>
            <w:r>
              <w:rPr>
                <w:rFonts w:hint="eastAsia" w:ascii="方正仿宋简体" w:hAnsi="宋体" w:eastAsia="方正仿宋简体" w:cs="宋体"/>
                <w:b/>
                <w:bCs/>
                <w:sz w:val="24"/>
                <w:szCs w:val="24"/>
              </w:rPr>
              <w:t>生态目标</w:t>
            </w:r>
          </w:p>
        </w:tc>
        <w:tc>
          <w:tcPr>
            <w:tcW w:w="3025" w:type="dxa"/>
            <w:gridSpan w:val="2"/>
            <w:shd w:val="clear" w:color="auto" w:fill="FFFFFF" w:themeFill="background1"/>
            <w:noWrap/>
            <w:vAlign w:val="center"/>
          </w:tcPr>
          <w:p>
            <w:pPr>
              <w:widowControl/>
              <w:spacing w:line="300" w:lineRule="exact"/>
              <w:ind w:left="-38" w:leftChars="-20" w:right="-38" w:rightChars="-20"/>
              <w:jc w:val="center"/>
              <w:rPr>
                <w:rFonts w:ascii="方正仿宋简体" w:hAnsi="宋体" w:eastAsia="方正仿宋简体" w:cs="宋体"/>
                <w:b/>
                <w:sz w:val="24"/>
                <w:szCs w:val="24"/>
              </w:rPr>
            </w:pPr>
            <w:r>
              <w:rPr>
                <w:rFonts w:hint="eastAsia" w:ascii="方正仿宋简体" w:hAnsi="宋体" w:eastAsia="方正仿宋简体" w:cs="宋体"/>
                <w:b/>
                <w:sz w:val="24"/>
                <w:szCs w:val="24"/>
              </w:rPr>
              <w:t>单位地区生产总值二氧化碳排放降低</w:t>
            </w:r>
          </w:p>
        </w:tc>
        <w:tc>
          <w:tcPr>
            <w:tcW w:w="1209" w:type="dxa"/>
            <w:shd w:val="clear" w:color="auto" w:fill="FFFFFF" w:themeFill="background1"/>
            <w:noWrap/>
            <w:vAlign w:val="center"/>
          </w:tcPr>
          <w:p>
            <w:pPr>
              <w:widowControl/>
              <w:spacing w:line="300" w:lineRule="exact"/>
              <w:ind w:left="-38" w:leftChars="-20" w:right="-38" w:rightChars="-20"/>
              <w:jc w:val="center"/>
              <w:rPr>
                <w:rFonts w:ascii="方正仿宋简体" w:hAnsi="宋体" w:eastAsia="方正仿宋简体" w:cs="宋体"/>
                <w:b/>
                <w:sz w:val="24"/>
                <w:szCs w:val="24"/>
              </w:rPr>
            </w:pPr>
            <w:r>
              <w:rPr>
                <w:rFonts w:hint="eastAsia" w:ascii="方正仿宋简体" w:hAnsi="宋体" w:eastAsia="方正仿宋简体" w:cs="宋体"/>
                <w:b/>
                <w:sz w:val="24"/>
                <w:szCs w:val="24"/>
              </w:rPr>
              <w:t>%</w:t>
            </w:r>
          </w:p>
        </w:tc>
        <w:tc>
          <w:tcPr>
            <w:tcW w:w="992" w:type="dxa"/>
            <w:shd w:val="clear" w:color="auto" w:fill="FFFFFF" w:themeFill="background1"/>
            <w:noWrap/>
            <w:vAlign w:val="center"/>
          </w:tcPr>
          <w:p>
            <w:pPr>
              <w:widowControl/>
              <w:spacing w:line="300" w:lineRule="exact"/>
              <w:ind w:left="-38" w:leftChars="-20" w:right="-38" w:rightChars="-20"/>
              <w:jc w:val="center"/>
              <w:rPr>
                <w:rFonts w:ascii="方正仿宋简体" w:hAnsi="宋体" w:eastAsia="方正仿宋简体" w:cs="宋体"/>
                <w:b/>
                <w:sz w:val="24"/>
                <w:szCs w:val="24"/>
              </w:rPr>
            </w:pPr>
            <w:r>
              <w:rPr>
                <w:rFonts w:hint="eastAsia" w:ascii="方正仿宋简体" w:hAnsi="宋体" w:eastAsia="方正仿宋简体" w:cs="宋体"/>
                <w:b/>
                <w:sz w:val="24"/>
                <w:szCs w:val="24"/>
              </w:rPr>
              <w:t>-</w:t>
            </w:r>
          </w:p>
        </w:tc>
        <w:tc>
          <w:tcPr>
            <w:tcW w:w="1134" w:type="dxa"/>
            <w:shd w:val="clear" w:color="auto" w:fill="FFFFFF" w:themeFill="background1"/>
            <w:noWrap/>
            <w:vAlign w:val="center"/>
          </w:tcPr>
          <w:p>
            <w:pPr>
              <w:widowControl/>
              <w:spacing w:line="300" w:lineRule="exact"/>
              <w:ind w:left="-38" w:leftChars="-20" w:right="-38" w:rightChars="-20"/>
              <w:jc w:val="center"/>
              <w:rPr>
                <w:rFonts w:ascii="方正仿宋简体" w:hAnsi="宋体" w:eastAsia="方正仿宋简体" w:cs="宋体"/>
                <w:b/>
                <w:sz w:val="24"/>
                <w:szCs w:val="24"/>
              </w:rPr>
            </w:pPr>
            <w:r>
              <w:rPr>
                <w:rFonts w:hint="eastAsia" w:ascii="方正仿宋简体" w:hAnsi="宋体" w:eastAsia="方正仿宋简体" w:cs="宋体"/>
                <w:b/>
                <w:sz w:val="24"/>
                <w:szCs w:val="24"/>
              </w:rPr>
              <w:t>完成省</w:t>
            </w:r>
          </w:p>
          <w:p>
            <w:pPr>
              <w:widowControl/>
              <w:spacing w:line="300" w:lineRule="exact"/>
              <w:ind w:left="-38" w:leftChars="-20" w:right="-38" w:rightChars="-20"/>
              <w:jc w:val="center"/>
              <w:rPr>
                <w:rFonts w:ascii="方正仿宋简体" w:hAnsi="宋体" w:eastAsia="方正仿宋简体" w:cs="宋体"/>
                <w:b/>
                <w:sz w:val="24"/>
                <w:szCs w:val="24"/>
              </w:rPr>
            </w:pPr>
            <w:r>
              <w:rPr>
                <w:rFonts w:hint="eastAsia" w:ascii="方正仿宋简体" w:hAnsi="宋体" w:eastAsia="方正仿宋简体" w:cs="宋体"/>
                <w:b/>
                <w:sz w:val="24"/>
                <w:szCs w:val="24"/>
              </w:rPr>
              <w:t>分解任务</w:t>
            </w:r>
          </w:p>
        </w:tc>
        <w:tc>
          <w:tcPr>
            <w:tcW w:w="858" w:type="dxa"/>
            <w:shd w:val="clear" w:color="auto" w:fill="FFFFFF" w:themeFill="background1"/>
            <w:vAlign w:val="center"/>
          </w:tcPr>
          <w:p>
            <w:pPr>
              <w:widowControl/>
              <w:spacing w:line="300" w:lineRule="exact"/>
              <w:ind w:left="-38" w:leftChars="-20" w:right="-38" w:rightChars="-20"/>
              <w:jc w:val="center"/>
              <w:rPr>
                <w:rFonts w:ascii="方正仿宋简体" w:hAnsi="宋体" w:eastAsia="方正仿宋简体" w:cs="宋体"/>
                <w:b/>
                <w:sz w:val="24"/>
                <w:szCs w:val="24"/>
              </w:rPr>
            </w:pPr>
            <w:r>
              <w:rPr>
                <w:rFonts w:hint="eastAsia" w:ascii="方正仿宋简体" w:hAnsi="宋体" w:eastAsia="方正仿宋简体" w:cs="宋体"/>
                <w:b/>
                <w:sz w:val="24"/>
                <w:szCs w:val="24"/>
              </w:rPr>
              <w:t>-</w:t>
            </w:r>
          </w:p>
        </w:tc>
        <w:tc>
          <w:tcPr>
            <w:tcW w:w="863" w:type="dxa"/>
            <w:shd w:val="clear" w:color="auto" w:fill="FFFFFF" w:themeFill="background1"/>
            <w:vAlign w:val="center"/>
          </w:tcPr>
          <w:p>
            <w:pPr>
              <w:widowControl/>
              <w:spacing w:line="300" w:lineRule="exact"/>
              <w:ind w:left="-38" w:leftChars="-20" w:right="-38" w:rightChars="-20"/>
              <w:jc w:val="center"/>
              <w:rPr>
                <w:rFonts w:ascii="方正仿宋简体" w:hAnsi="宋体" w:eastAsia="方正仿宋简体" w:cs="宋体"/>
                <w:b/>
                <w:sz w:val="24"/>
                <w:szCs w:val="24"/>
              </w:rPr>
            </w:pPr>
            <w:r>
              <w:rPr>
                <w:rFonts w:hint="eastAsia" w:ascii="方正仿宋简体" w:hAnsi="宋体" w:eastAsia="方正仿宋简体" w:cs="宋体"/>
                <w:b/>
                <w:sz w:val="24"/>
                <w:szCs w:val="24"/>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901" w:hRule="atLeast"/>
          <w:jc w:val="center"/>
        </w:trPr>
        <w:tc>
          <w:tcPr>
            <w:tcW w:w="709" w:type="dxa"/>
            <w:shd w:val="clear" w:color="auto" w:fill="FFFFFF" w:themeFill="background1"/>
            <w:noWrap/>
            <w:vAlign w:val="center"/>
          </w:tcPr>
          <w:p>
            <w:pPr>
              <w:widowControl/>
              <w:spacing w:line="300" w:lineRule="exact"/>
              <w:ind w:left="-38" w:leftChars="-20" w:right="-38" w:rightChars="-20"/>
              <w:jc w:val="center"/>
              <w:rPr>
                <w:rFonts w:ascii="方正仿宋简体" w:hAnsi="宋体" w:eastAsia="方正仿宋简体" w:cs="宋体"/>
                <w:b/>
                <w:bCs/>
                <w:sz w:val="24"/>
                <w:szCs w:val="24"/>
              </w:rPr>
            </w:pPr>
            <w:r>
              <w:rPr>
                <w:rFonts w:hint="eastAsia" w:ascii="方正仿宋简体" w:hAnsi="宋体" w:eastAsia="方正仿宋简体" w:cs="宋体"/>
                <w:b/>
                <w:bCs/>
                <w:sz w:val="24"/>
                <w:szCs w:val="24"/>
              </w:rPr>
              <w:t>民生目标</w:t>
            </w:r>
          </w:p>
        </w:tc>
        <w:tc>
          <w:tcPr>
            <w:tcW w:w="3025" w:type="dxa"/>
            <w:gridSpan w:val="2"/>
            <w:shd w:val="clear" w:color="auto" w:fill="FFFFFF" w:themeFill="background1"/>
            <w:noWrap/>
            <w:vAlign w:val="center"/>
          </w:tcPr>
          <w:p>
            <w:pPr>
              <w:widowControl/>
              <w:spacing w:line="300" w:lineRule="exact"/>
              <w:ind w:left="-38" w:leftChars="-20" w:right="-38" w:rightChars="-20"/>
              <w:jc w:val="center"/>
              <w:rPr>
                <w:rFonts w:ascii="方正仿宋简体" w:hAnsi="宋体" w:eastAsia="方正仿宋简体" w:cs="宋体"/>
                <w:b/>
                <w:sz w:val="24"/>
                <w:szCs w:val="24"/>
              </w:rPr>
            </w:pPr>
            <w:r>
              <w:rPr>
                <w:rFonts w:hint="eastAsia" w:ascii="方正仿宋简体" w:hAnsi="宋体" w:eastAsia="方正仿宋简体" w:cs="宋体"/>
                <w:b/>
                <w:sz w:val="24"/>
                <w:szCs w:val="24"/>
              </w:rPr>
              <w:t>人均年生活用能</w:t>
            </w:r>
          </w:p>
        </w:tc>
        <w:tc>
          <w:tcPr>
            <w:tcW w:w="1209" w:type="dxa"/>
            <w:shd w:val="clear" w:color="auto" w:fill="FFFFFF" w:themeFill="background1"/>
            <w:noWrap/>
            <w:vAlign w:val="center"/>
          </w:tcPr>
          <w:p>
            <w:pPr>
              <w:widowControl/>
              <w:spacing w:line="300" w:lineRule="exact"/>
              <w:ind w:left="-38" w:leftChars="-20" w:right="-38" w:rightChars="-20"/>
              <w:jc w:val="center"/>
              <w:rPr>
                <w:rFonts w:ascii="方正仿宋简体" w:hAnsi="宋体" w:eastAsia="方正仿宋简体" w:cs="宋体"/>
                <w:b/>
                <w:sz w:val="24"/>
                <w:szCs w:val="24"/>
              </w:rPr>
            </w:pPr>
            <w:r>
              <w:rPr>
                <w:rFonts w:hint="eastAsia" w:ascii="方正仿宋简体" w:hAnsi="宋体" w:eastAsia="方正仿宋简体" w:cs="宋体"/>
                <w:b/>
                <w:sz w:val="24"/>
                <w:szCs w:val="24"/>
              </w:rPr>
              <w:t>千克</w:t>
            </w:r>
          </w:p>
          <w:p>
            <w:pPr>
              <w:widowControl/>
              <w:spacing w:line="300" w:lineRule="exact"/>
              <w:ind w:left="-38" w:leftChars="-20" w:right="-38" w:rightChars="-20"/>
              <w:jc w:val="center"/>
              <w:rPr>
                <w:rFonts w:ascii="方正仿宋简体" w:hAnsi="宋体" w:eastAsia="方正仿宋简体" w:cs="宋体"/>
                <w:b/>
                <w:sz w:val="24"/>
                <w:szCs w:val="24"/>
              </w:rPr>
            </w:pPr>
            <w:r>
              <w:rPr>
                <w:rFonts w:hint="eastAsia" w:ascii="方正仿宋简体" w:hAnsi="宋体" w:eastAsia="方正仿宋简体" w:cs="宋体"/>
                <w:b/>
                <w:sz w:val="24"/>
                <w:szCs w:val="24"/>
              </w:rPr>
              <w:t>标准煤</w:t>
            </w:r>
          </w:p>
        </w:tc>
        <w:tc>
          <w:tcPr>
            <w:tcW w:w="992" w:type="dxa"/>
            <w:shd w:val="clear" w:color="auto" w:fill="FFFFFF" w:themeFill="background1"/>
            <w:noWrap/>
            <w:vAlign w:val="center"/>
          </w:tcPr>
          <w:p>
            <w:pPr>
              <w:widowControl/>
              <w:spacing w:line="300" w:lineRule="exact"/>
              <w:ind w:left="-38" w:leftChars="-20" w:right="-38" w:rightChars="-20"/>
              <w:jc w:val="center"/>
              <w:rPr>
                <w:rFonts w:ascii="方正仿宋简体" w:hAnsi="宋体" w:eastAsia="方正仿宋简体" w:cs="宋体"/>
                <w:b/>
                <w:sz w:val="24"/>
                <w:szCs w:val="24"/>
              </w:rPr>
            </w:pPr>
            <w:r>
              <w:rPr>
                <w:rFonts w:hint="eastAsia" w:ascii="方正仿宋简体" w:hAnsi="宋体" w:eastAsia="方正仿宋简体" w:cs="宋体"/>
                <w:b/>
                <w:sz w:val="24"/>
                <w:szCs w:val="24"/>
              </w:rPr>
              <w:t>343*</w:t>
            </w:r>
          </w:p>
        </w:tc>
        <w:tc>
          <w:tcPr>
            <w:tcW w:w="1134" w:type="dxa"/>
            <w:shd w:val="clear" w:color="auto" w:fill="FFFFFF" w:themeFill="background1"/>
            <w:noWrap/>
            <w:vAlign w:val="center"/>
          </w:tcPr>
          <w:p>
            <w:pPr>
              <w:widowControl/>
              <w:spacing w:line="300" w:lineRule="exact"/>
              <w:ind w:left="-38" w:leftChars="-20" w:right="-38" w:rightChars="-20"/>
              <w:jc w:val="center"/>
              <w:rPr>
                <w:rFonts w:ascii="方正仿宋简体" w:hAnsi="宋体" w:eastAsia="方正仿宋简体" w:cs="宋体"/>
                <w:b/>
                <w:sz w:val="24"/>
                <w:szCs w:val="24"/>
              </w:rPr>
            </w:pPr>
            <w:r>
              <w:rPr>
                <w:rFonts w:hint="eastAsia" w:ascii="方正仿宋简体" w:hAnsi="宋体" w:eastAsia="方正仿宋简体" w:cs="宋体"/>
                <w:b/>
                <w:sz w:val="24"/>
                <w:szCs w:val="24"/>
              </w:rPr>
              <w:t>420</w:t>
            </w:r>
          </w:p>
        </w:tc>
        <w:tc>
          <w:tcPr>
            <w:tcW w:w="858" w:type="dxa"/>
            <w:shd w:val="clear" w:color="auto" w:fill="FFFFFF" w:themeFill="background1"/>
            <w:vAlign w:val="center"/>
          </w:tcPr>
          <w:p>
            <w:pPr>
              <w:widowControl/>
              <w:spacing w:line="300" w:lineRule="exact"/>
              <w:ind w:left="-38" w:leftChars="-20" w:right="-38" w:rightChars="-20"/>
              <w:jc w:val="center"/>
              <w:rPr>
                <w:rFonts w:ascii="方正仿宋简体" w:hAnsi="宋体" w:eastAsia="方正仿宋简体" w:cs="宋体"/>
                <w:b/>
                <w:sz w:val="24"/>
                <w:szCs w:val="24"/>
              </w:rPr>
            </w:pPr>
            <w:r>
              <w:rPr>
                <w:rFonts w:hint="eastAsia" w:ascii="方正仿宋简体" w:hAnsi="宋体" w:eastAsia="方正仿宋简体" w:cs="宋体"/>
                <w:b/>
                <w:sz w:val="24"/>
                <w:szCs w:val="24"/>
              </w:rPr>
              <w:t>4%</w:t>
            </w:r>
          </w:p>
        </w:tc>
        <w:tc>
          <w:tcPr>
            <w:tcW w:w="863" w:type="dxa"/>
            <w:shd w:val="clear" w:color="auto" w:fill="FFFFFF" w:themeFill="background1"/>
            <w:vAlign w:val="center"/>
          </w:tcPr>
          <w:p>
            <w:pPr>
              <w:widowControl/>
              <w:spacing w:line="300" w:lineRule="exact"/>
              <w:ind w:left="-38" w:leftChars="-20" w:right="-38" w:rightChars="-20"/>
              <w:jc w:val="center"/>
              <w:rPr>
                <w:rFonts w:ascii="方正仿宋简体" w:hAnsi="宋体" w:eastAsia="方正仿宋简体" w:cs="宋体"/>
                <w:b/>
                <w:sz w:val="24"/>
                <w:szCs w:val="24"/>
              </w:rPr>
            </w:pPr>
            <w:r>
              <w:rPr>
                <w:rFonts w:hint="eastAsia" w:ascii="方正仿宋简体" w:hAnsi="宋体" w:eastAsia="方正仿宋简体" w:cs="宋体"/>
                <w:b/>
                <w:sz w:val="24"/>
                <w:szCs w:val="24"/>
              </w:rPr>
              <w:t>预期性</w:t>
            </w:r>
          </w:p>
        </w:tc>
      </w:tr>
    </w:tbl>
    <w:p>
      <w:pPr>
        <w:spacing w:line="400" w:lineRule="exact"/>
        <w:ind w:right="-96" w:rightChars="-50"/>
        <w:rPr>
          <w:rFonts w:ascii="方正仿宋简体" w:hAnsi="文星仿宋" w:eastAsia="方正仿宋简体" w:cs="方正仿宋简体"/>
          <w:b/>
          <w:color w:val="000000"/>
          <w:sz w:val="24"/>
          <w:szCs w:val="24"/>
        </w:rPr>
      </w:pPr>
      <w:r>
        <w:rPr>
          <w:rFonts w:hint="eastAsia" w:ascii="方正黑体简体" w:hAnsi="文星仿宋" w:eastAsia="方正黑体简体" w:cs="方正仿宋简体"/>
          <w:b/>
          <w:color w:val="000000"/>
          <w:sz w:val="24"/>
          <w:szCs w:val="24"/>
        </w:rPr>
        <w:t>注：</w:t>
      </w:r>
      <w:r>
        <w:rPr>
          <w:rFonts w:hint="eastAsia" w:ascii="方正仿宋简体" w:hAnsi="文星仿宋" w:eastAsia="方正仿宋简体" w:cs="方正仿宋简体"/>
          <w:b/>
          <w:color w:val="000000"/>
          <w:sz w:val="24"/>
          <w:szCs w:val="24"/>
        </w:rPr>
        <w:t>1. [ ]内为累计值；2. 标*为2020年预估数；3. 能源消费总量、煤炭消费总量、单位地区生产总值能耗降低率、单位地区生产总值二氧化碳排放降低率等目标以省下达指标为准。</w:t>
      </w:r>
    </w:p>
    <w:p>
      <w:pPr>
        <w:spacing w:line="570" w:lineRule="exact"/>
        <w:rPr>
          <w:rFonts w:ascii="方正仿宋简体" w:hAnsi="文星仿宋" w:eastAsia="方正仿宋简体" w:cs="方正仿宋简体"/>
          <w:b/>
          <w:color w:val="000000"/>
          <w:sz w:val="32"/>
          <w:szCs w:val="32"/>
        </w:rPr>
      </w:pPr>
    </w:p>
    <w:p>
      <w:pPr>
        <w:spacing w:line="570" w:lineRule="exact"/>
        <w:jc w:val="center"/>
        <w:rPr>
          <w:rFonts w:ascii="方正小标宋简体" w:hAnsi="文星仿宋" w:eastAsia="方正小标宋简体" w:cs="方正仿宋简体"/>
          <w:b/>
          <w:color w:val="000000"/>
          <w:sz w:val="32"/>
          <w:szCs w:val="32"/>
        </w:rPr>
      </w:pPr>
      <w:r>
        <w:rPr>
          <w:rFonts w:hint="eastAsia" w:ascii="方正小标宋简体" w:hAnsi="文星仿宋" w:eastAsia="方正小标宋简体" w:cs="方正仿宋简体"/>
          <w:b/>
          <w:color w:val="000000"/>
          <w:sz w:val="32"/>
          <w:szCs w:val="32"/>
        </w:rPr>
        <w:t>第二章  重点任务</w:t>
      </w:r>
    </w:p>
    <w:p>
      <w:pPr>
        <w:spacing w:line="570" w:lineRule="exact"/>
        <w:ind w:firstLine="624" w:firstLineChars="200"/>
        <w:rPr>
          <w:rFonts w:ascii="方正仿宋简体" w:hAnsi="文星仿宋" w:eastAsia="方正仿宋简体" w:cs="方正仿宋简体"/>
          <w:b/>
          <w:color w:val="000000"/>
          <w:sz w:val="32"/>
          <w:szCs w:val="32"/>
        </w:rPr>
      </w:pPr>
    </w:p>
    <w:p>
      <w:pPr>
        <w:spacing w:line="570" w:lineRule="exact"/>
        <w:ind w:firstLine="624" w:firstLineChars="200"/>
        <w:rPr>
          <w:rFonts w:ascii="方正黑体简体" w:hAnsi="文星仿宋" w:eastAsia="方正黑体简体" w:cs="方正仿宋简体"/>
          <w:b/>
          <w:color w:val="000000"/>
          <w:sz w:val="32"/>
          <w:szCs w:val="32"/>
        </w:rPr>
      </w:pPr>
      <w:r>
        <w:rPr>
          <w:rFonts w:hint="eastAsia" w:ascii="方正黑体简体" w:hAnsi="文星仿宋" w:eastAsia="方正黑体简体" w:cs="方正仿宋简体"/>
          <w:b/>
          <w:color w:val="000000"/>
          <w:sz w:val="32"/>
          <w:szCs w:val="32"/>
        </w:rPr>
        <w:t>一、推动煤炭产业优化升级，构筑现代化煤炭经济新格局</w:t>
      </w:r>
    </w:p>
    <w:p>
      <w:pPr>
        <w:spacing w:line="570" w:lineRule="exact"/>
        <w:ind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以深化供给侧结构性改革为主线，智能化、绿色化为发展方向，煤炭企业新旧动能转换为重点，优化存量，扩大优质增量，发挥“压舱石”作用，当好动能转换“排头兵”，打造“示范者”工程。到2025年，基本形成现代化煤炭全产业链发展的新格局。</w:t>
      </w:r>
    </w:p>
    <w:p>
      <w:pPr>
        <w:spacing w:line="570" w:lineRule="exact"/>
        <w:ind w:firstLine="624" w:firstLineChars="200"/>
        <w:rPr>
          <w:rFonts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（一）稳定煤炭供应能力</w:t>
      </w:r>
    </w:p>
    <w:p>
      <w:pPr>
        <w:spacing w:line="570" w:lineRule="exact"/>
        <w:ind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1. 优化煤炭开发布局。继续贯彻全省“稳定西部”的煤炭开发战略，坚持以“稳产挖潜，实现绿色可持续开采”为核心，科学优化煤炭产能布局；加快退出安全无保障、资源枯竭、长期亏损三类煤矿，根据安全论证结果，对采深超千米冲击地压煤矿采取限产、停产、关闭等处置措施；结合南四湖省级自然保护区内矿业权的退出，核减新安、金源等煤矿生产能力。支持优质产能合规释放，适时推动小孟井田等优质资源联合开发，稳妥有序推动压煤村庄搬迁，释放地下优质资源；按照产能置换原则，鼓励煤矿通过智能化改造方式扩能；加快存量产能挖潜提效，积极推进有条件矿井技术改造。加强区域合作，支持煤炭企业“走出去”，重点打造以新陕蒙等地为核心的“外部济宁煤炭基地”。到2025年，全市煤炭优质产能占比达到80%以上，保持全省领先水平；煤炭产量稳定在5100万吨左右，进一步巩固鲁西煤炭基地主产区地位。</w:t>
      </w:r>
    </w:p>
    <w:tbl>
      <w:tblPr>
        <w:tblStyle w:val="5"/>
        <w:tblW w:w="8751" w:type="dxa"/>
        <w:jc w:val="center"/>
        <w:tblBorders>
          <w:top w:val="single" w:color="000000" w:sz="4" w:space="0"/>
          <w:left w:val="single" w:color="000000" w:sz="4" w:space="0"/>
          <w:bottom w:val="single" w:color="000000" w:sz="4" w:space="0"/>
          <w:right w:val="single" w:color="000000" w:sz="4" w:space="0"/>
          <w:insideH w:val="single" w:color="auto" w:sz="4" w:space="0"/>
          <w:insideV w:val="single" w:color="auto" w:sz="4" w:space="0"/>
        </w:tblBorders>
        <w:shd w:val="clear" w:color="auto" w:fill="FFFFFF" w:themeFill="background1"/>
        <w:tblLayout w:type="fixed"/>
        <w:tblCellMar>
          <w:top w:w="0" w:type="dxa"/>
          <w:left w:w="108" w:type="dxa"/>
          <w:bottom w:w="0" w:type="dxa"/>
          <w:right w:w="108" w:type="dxa"/>
        </w:tblCellMar>
      </w:tblPr>
      <w:tblGrid>
        <w:gridCol w:w="1528"/>
        <w:gridCol w:w="7223"/>
      </w:tblGrid>
      <w:tr>
        <w:tblPrEx>
          <w:tblBorders>
            <w:top w:val="single" w:color="000000" w:sz="4" w:space="0"/>
            <w:left w:val="single" w:color="000000" w:sz="4" w:space="0"/>
            <w:bottom w:val="single" w:color="000000" w:sz="4" w:space="0"/>
            <w:right w:val="single" w:color="000000"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751" w:type="dxa"/>
            <w:gridSpan w:val="2"/>
            <w:shd w:val="clear" w:color="auto" w:fill="FFFFFF" w:themeFill="background1"/>
            <w:vAlign w:val="center"/>
          </w:tcPr>
          <w:p>
            <w:pPr>
              <w:adjustRightInd w:val="0"/>
              <w:spacing w:line="320" w:lineRule="exact"/>
              <w:jc w:val="center"/>
              <w:textAlignment w:val="center"/>
              <w:rPr>
                <w:rFonts w:ascii="方正黑体简体" w:hAnsi="黑体" w:eastAsia="方正黑体简体"/>
                <w:b/>
                <w:bCs/>
                <w:sz w:val="28"/>
                <w:szCs w:val="28"/>
              </w:rPr>
            </w:pPr>
            <w:bookmarkStart w:id="3" w:name="OLE_LINK23"/>
            <w:bookmarkStart w:id="4" w:name="OLE_LINK22"/>
            <w:r>
              <w:rPr>
                <w:rFonts w:hint="eastAsia" w:ascii="方正黑体简体" w:hAnsi="黑体" w:eastAsia="方正黑体简体" w:cs="黑体"/>
                <w:b/>
                <w:bCs/>
                <w:sz w:val="28"/>
                <w:szCs w:val="28"/>
              </w:rPr>
              <w:t>专栏2 “煤炭压舱石工程”重点建设项目</w:t>
            </w:r>
            <w:bookmarkEnd w:id="3"/>
            <w:bookmarkEnd w:id="4"/>
          </w:p>
        </w:tc>
      </w:tr>
      <w:tr>
        <w:tblPrEx>
          <w:tblBorders>
            <w:top w:val="single" w:color="000000" w:sz="4" w:space="0"/>
            <w:left w:val="single" w:color="000000" w:sz="4" w:space="0"/>
            <w:bottom w:val="single" w:color="000000" w:sz="4" w:space="0"/>
            <w:right w:val="single" w:color="000000" w:sz="4" w:space="0"/>
            <w:insideH w:val="single" w:color="auto" w:sz="4" w:space="0"/>
            <w:insideV w:val="single" w:color="auto" w:sz="4" w:space="0"/>
          </w:tblBorders>
          <w:shd w:val="clear" w:color="auto" w:fill="FFFFFF" w:themeFill="background1"/>
        </w:tblPrEx>
        <w:trPr>
          <w:trHeight w:val="520" w:hRule="atLeast"/>
          <w:jc w:val="center"/>
        </w:trPr>
        <w:tc>
          <w:tcPr>
            <w:tcW w:w="1528" w:type="dxa"/>
            <w:shd w:val="clear" w:color="auto" w:fill="FFFFFF" w:themeFill="background1"/>
            <w:vAlign w:val="center"/>
          </w:tcPr>
          <w:p>
            <w:pPr>
              <w:autoSpaceDE w:val="0"/>
              <w:autoSpaceDN w:val="0"/>
              <w:adjustRightInd w:val="0"/>
              <w:spacing w:line="320" w:lineRule="exact"/>
              <w:jc w:val="center"/>
              <w:rPr>
                <w:rFonts w:ascii="方正仿宋简体" w:hAnsi="黑体" w:eastAsia="方正仿宋简体"/>
                <w:b/>
                <w:sz w:val="24"/>
                <w:szCs w:val="24"/>
                <w:lang w:val="zh-CN"/>
              </w:rPr>
            </w:pPr>
            <w:r>
              <w:rPr>
                <w:rFonts w:hint="eastAsia" w:ascii="方正仿宋简体" w:hAnsi="黑体" w:eastAsia="方正仿宋简体"/>
                <w:b/>
                <w:sz w:val="24"/>
                <w:szCs w:val="24"/>
                <w:lang w:val="zh-CN"/>
              </w:rPr>
              <w:t>续建项目</w:t>
            </w:r>
          </w:p>
        </w:tc>
        <w:tc>
          <w:tcPr>
            <w:tcW w:w="7223" w:type="dxa"/>
            <w:shd w:val="clear" w:color="auto" w:fill="FFFFFF" w:themeFill="background1"/>
            <w:vAlign w:val="center"/>
          </w:tcPr>
          <w:p>
            <w:pPr>
              <w:autoSpaceDE w:val="0"/>
              <w:autoSpaceDN w:val="0"/>
              <w:adjustRightInd w:val="0"/>
              <w:spacing w:line="320" w:lineRule="exact"/>
              <w:rPr>
                <w:rFonts w:ascii="方正仿宋简体" w:hAnsi="宋体" w:eastAsia="方正仿宋简体"/>
                <w:b/>
                <w:sz w:val="24"/>
                <w:szCs w:val="24"/>
                <w:lang w:val="zh-CN"/>
              </w:rPr>
            </w:pPr>
            <w:r>
              <w:rPr>
                <w:rFonts w:hint="eastAsia" w:ascii="方正仿宋简体" w:hAnsi="宋体" w:eastAsia="方正仿宋简体"/>
                <w:b/>
                <w:sz w:val="24"/>
                <w:szCs w:val="24"/>
                <w:lang w:val="zh-CN"/>
              </w:rPr>
              <w:t>建成永胜矿井。</w:t>
            </w:r>
          </w:p>
        </w:tc>
      </w:tr>
      <w:tr>
        <w:tblPrEx>
          <w:tblBorders>
            <w:top w:val="single" w:color="000000" w:sz="4" w:space="0"/>
            <w:left w:val="single" w:color="000000" w:sz="4" w:space="0"/>
            <w:bottom w:val="single" w:color="000000" w:sz="4" w:space="0"/>
            <w:right w:val="single" w:color="000000"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700" w:hRule="atLeast"/>
          <w:jc w:val="center"/>
        </w:trPr>
        <w:tc>
          <w:tcPr>
            <w:tcW w:w="1528" w:type="dxa"/>
            <w:shd w:val="clear" w:color="auto" w:fill="FFFFFF" w:themeFill="background1"/>
            <w:vAlign w:val="center"/>
          </w:tcPr>
          <w:p>
            <w:pPr>
              <w:autoSpaceDE w:val="0"/>
              <w:autoSpaceDN w:val="0"/>
              <w:adjustRightInd w:val="0"/>
              <w:spacing w:line="320" w:lineRule="exact"/>
              <w:jc w:val="center"/>
              <w:rPr>
                <w:rFonts w:ascii="方正仿宋简体" w:hAnsi="黑体" w:eastAsia="方正仿宋简体"/>
                <w:b/>
                <w:sz w:val="24"/>
                <w:szCs w:val="24"/>
                <w:lang w:val="zh-CN"/>
              </w:rPr>
            </w:pPr>
            <w:r>
              <w:rPr>
                <w:rFonts w:hint="eastAsia" w:ascii="方正仿宋简体" w:hAnsi="黑体" w:eastAsia="方正仿宋简体"/>
                <w:b/>
                <w:sz w:val="24"/>
                <w:szCs w:val="24"/>
                <w:lang w:val="zh-CN"/>
              </w:rPr>
              <w:t>储备项目</w:t>
            </w:r>
          </w:p>
        </w:tc>
        <w:tc>
          <w:tcPr>
            <w:tcW w:w="7223" w:type="dxa"/>
            <w:shd w:val="clear" w:color="auto" w:fill="FFFFFF" w:themeFill="background1"/>
            <w:vAlign w:val="center"/>
          </w:tcPr>
          <w:p>
            <w:pPr>
              <w:autoSpaceDE w:val="0"/>
              <w:autoSpaceDN w:val="0"/>
              <w:adjustRightInd w:val="0"/>
              <w:spacing w:line="320" w:lineRule="exact"/>
              <w:rPr>
                <w:rFonts w:ascii="方正仿宋简体" w:hAnsi="宋体" w:eastAsia="方正仿宋简体"/>
                <w:b/>
                <w:sz w:val="24"/>
                <w:szCs w:val="24"/>
                <w:lang w:val="zh-CN"/>
              </w:rPr>
            </w:pPr>
            <w:r>
              <w:rPr>
                <w:rFonts w:hint="eastAsia" w:ascii="方正仿宋简体" w:hAnsi="宋体" w:eastAsia="方正仿宋简体"/>
                <w:b/>
                <w:sz w:val="24"/>
                <w:szCs w:val="24"/>
                <w:lang w:val="zh-CN"/>
              </w:rPr>
              <w:t>储备小孟资源开发项目。</w:t>
            </w:r>
          </w:p>
        </w:tc>
      </w:tr>
    </w:tbl>
    <w:p>
      <w:pPr>
        <w:numPr>
          <w:ilvl w:val="0"/>
          <w:numId w:val="1"/>
        </w:numPr>
        <w:spacing w:line="590" w:lineRule="exact"/>
        <w:ind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完善物流通道网络。发挥我市煤炭交易、物流优势，整合资源搭建煤炭交易平台，推动现代化煤炭市场交易体系建设；大力推动公转铁、公转水工作，充分利用京杭运河“黄金水道”，加速推动路港通达，打通铁水联运“最后一公里”，增强煤炭运输能力；着力构建“一平台、一河、两横两纵”的煤炭物流新发展格局。到2025年，依托运河煤炭交易平台、山东京杭多式联运等项目，打造区域性煤炭综合运输体系枢纽和现代化大型煤炭交易集散地。</w:t>
      </w:r>
    </w:p>
    <w:p>
      <w:pPr>
        <w:numPr>
          <w:ilvl w:val="0"/>
          <w:numId w:val="1"/>
        </w:numPr>
        <w:spacing w:line="590" w:lineRule="exact"/>
        <w:ind w:firstLine="624" w:firstLineChars="200"/>
        <w:rPr>
          <w:rFonts w:ascii="方正仿宋简体" w:hAnsi="文星仿宋" w:eastAsia="方正仿宋简体" w:cs="方正仿宋简体"/>
          <w:b/>
          <w:color w:val="000000"/>
          <w:spacing w:val="-4"/>
          <w:sz w:val="32"/>
          <w:szCs w:val="32"/>
        </w:rPr>
      </w:pPr>
      <w:r>
        <w:rPr>
          <w:rFonts w:hint="eastAsia" w:ascii="方正仿宋简体" w:hAnsi="文星仿宋" w:eastAsia="方正仿宋简体" w:cs="方正仿宋简体"/>
          <w:b/>
          <w:color w:val="000000"/>
          <w:sz w:val="32"/>
          <w:szCs w:val="32"/>
        </w:rPr>
        <w:t>提高煤炭储备能力。</w:t>
      </w:r>
      <w:r>
        <w:rPr>
          <w:rFonts w:hint="eastAsia" w:ascii="方正仿宋简体" w:hAnsi="文星仿宋" w:eastAsia="方正仿宋简体" w:cs="方正仿宋简体"/>
          <w:b/>
          <w:color w:val="000000"/>
          <w:spacing w:val="-4"/>
          <w:sz w:val="32"/>
          <w:szCs w:val="32"/>
        </w:rPr>
        <w:t>坚持政府推动、市场化运作、动静结合、应急保障原则，加快构建我市煤炭供应保障长效机制。重点推进梁山港省级煤炭应急储备基地建设，提升政府可调度煤炭应急储备能力；发挥我市煤矿、港口和交通枢纽优势，重点在任城区、邹城市等地建设一批煤炭物流园区，提升社会煤炭储备能力；依托我市煤矿与燃煤电厂储煤设施场地，有效补充我市煤炭保供能力。到2025年，基本形成以应急储备基地为主、社会化物流园区库存为辅、煤矿与电厂自备库存为补充的煤炭应急保障体系。</w:t>
      </w:r>
    </w:p>
    <w:tbl>
      <w:tblPr>
        <w:tblStyle w:val="5"/>
        <w:tblW w:w="8732" w:type="dxa"/>
        <w:jc w:val="center"/>
        <w:tblBorders>
          <w:top w:val="single" w:color="000000" w:sz="4" w:space="0"/>
          <w:left w:val="single" w:color="000000" w:sz="4" w:space="0"/>
          <w:bottom w:val="single" w:color="auto" w:sz="4" w:space="0"/>
          <w:right w:val="single" w:color="000000" w:sz="4" w:space="0"/>
          <w:insideH w:val="single" w:color="auto" w:sz="4" w:space="0"/>
          <w:insideV w:val="single" w:color="auto" w:sz="4" w:space="0"/>
        </w:tblBorders>
        <w:shd w:val="clear" w:color="auto" w:fill="FFFFFF" w:themeFill="background1"/>
        <w:tblLayout w:type="fixed"/>
        <w:tblCellMar>
          <w:top w:w="0" w:type="dxa"/>
          <w:left w:w="108" w:type="dxa"/>
          <w:bottom w:w="0" w:type="dxa"/>
          <w:right w:w="108" w:type="dxa"/>
        </w:tblCellMar>
      </w:tblPr>
      <w:tblGrid>
        <w:gridCol w:w="2295"/>
        <w:gridCol w:w="6437"/>
      </w:tblGrid>
      <w:tr>
        <w:tblPrEx>
          <w:tblBorders>
            <w:top w:val="single" w:color="000000" w:sz="4" w:space="0"/>
            <w:left w:val="single" w:color="000000" w:sz="4" w:space="0"/>
            <w:bottom w:val="single" w:color="auto" w:sz="4" w:space="0"/>
            <w:right w:val="single" w:color="000000" w:sz="4" w:space="0"/>
            <w:insideH w:val="single" w:color="auto" w:sz="4" w:space="0"/>
            <w:insideV w:val="single" w:color="auto" w:sz="4" w:space="0"/>
          </w:tblBorders>
        </w:tblPrEx>
        <w:trPr>
          <w:trHeight w:val="524" w:hRule="atLeast"/>
          <w:jc w:val="center"/>
        </w:trPr>
        <w:tc>
          <w:tcPr>
            <w:tcW w:w="8732" w:type="dxa"/>
            <w:gridSpan w:val="2"/>
            <w:shd w:val="clear" w:color="auto" w:fill="FFFFFF" w:themeFill="background1"/>
            <w:vAlign w:val="center"/>
          </w:tcPr>
          <w:p>
            <w:pPr>
              <w:adjustRightInd w:val="0"/>
              <w:spacing w:line="300" w:lineRule="exact"/>
              <w:jc w:val="center"/>
              <w:textAlignment w:val="center"/>
              <w:rPr>
                <w:rFonts w:ascii="方正黑体简体" w:hAnsi="黑体" w:eastAsia="方正黑体简体"/>
                <w:b/>
                <w:bCs/>
                <w:sz w:val="28"/>
                <w:szCs w:val="28"/>
              </w:rPr>
            </w:pPr>
            <w:r>
              <w:rPr>
                <w:rFonts w:hint="eastAsia" w:ascii="方正黑体简体" w:hAnsi="黑体" w:eastAsia="方正黑体简体" w:cs="黑体"/>
                <w:b/>
                <w:bCs/>
                <w:sz w:val="28"/>
                <w:szCs w:val="28"/>
              </w:rPr>
              <w:t>专栏3 “煤炭应急保障工程”重点建设项目</w:t>
            </w:r>
          </w:p>
        </w:tc>
      </w:tr>
      <w:tr>
        <w:tblPrEx>
          <w:tblBorders>
            <w:top w:val="single" w:color="000000" w:sz="4" w:space="0"/>
            <w:left w:val="single" w:color="000000" w:sz="4" w:space="0"/>
            <w:bottom w:val="single" w:color="auto" w:sz="4" w:space="0"/>
            <w:right w:val="single" w:color="000000" w:sz="4" w:space="0"/>
            <w:insideH w:val="single" w:color="auto" w:sz="4" w:space="0"/>
            <w:insideV w:val="single" w:color="auto" w:sz="4" w:space="0"/>
          </w:tblBorders>
          <w:shd w:val="clear" w:color="auto" w:fill="FFFFFF" w:themeFill="background1"/>
        </w:tblPrEx>
        <w:trPr>
          <w:trHeight w:val="650" w:hRule="atLeast"/>
          <w:jc w:val="center"/>
        </w:trPr>
        <w:tc>
          <w:tcPr>
            <w:tcW w:w="2295" w:type="dxa"/>
            <w:shd w:val="clear" w:color="auto" w:fill="FFFFFF" w:themeFill="background1"/>
            <w:vAlign w:val="center"/>
          </w:tcPr>
          <w:p>
            <w:pPr>
              <w:autoSpaceDE w:val="0"/>
              <w:autoSpaceDN w:val="0"/>
              <w:adjustRightInd w:val="0"/>
              <w:spacing w:line="300" w:lineRule="exact"/>
              <w:jc w:val="center"/>
              <w:rPr>
                <w:rFonts w:ascii="方正仿宋简体" w:hAnsi="黑体" w:eastAsia="方正仿宋简体"/>
                <w:b/>
                <w:sz w:val="24"/>
                <w:szCs w:val="24"/>
                <w:lang w:val="zh-CN"/>
              </w:rPr>
            </w:pPr>
            <w:r>
              <w:rPr>
                <w:rFonts w:hint="eastAsia" w:ascii="方正仿宋简体" w:hAnsi="黑体" w:eastAsia="方正仿宋简体"/>
                <w:b/>
                <w:sz w:val="24"/>
                <w:szCs w:val="24"/>
                <w:lang w:val="zh-CN"/>
              </w:rPr>
              <w:t>交易</w:t>
            </w:r>
            <w:r>
              <w:rPr>
                <w:rFonts w:hint="eastAsia" w:ascii="方正仿宋简体" w:hAnsi="宋体" w:eastAsia="方正仿宋简体"/>
                <w:b/>
                <w:sz w:val="24"/>
                <w:szCs w:val="24"/>
                <w:lang w:val="zh-CN"/>
              </w:rPr>
              <w:t>平台</w:t>
            </w:r>
          </w:p>
        </w:tc>
        <w:tc>
          <w:tcPr>
            <w:tcW w:w="6437" w:type="dxa"/>
            <w:shd w:val="clear" w:color="auto" w:fill="FFFFFF" w:themeFill="background1"/>
            <w:vAlign w:val="center"/>
          </w:tcPr>
          <w:p>
            <w:pPr>
              <w:autoSpaceDE w:val="0"/>
              <w:autoSpaceDN w:val="0"/>
              <w:adjustRightInd w:val="0"/>
              <w:spacing w:line="300" w:lineRule="exact"/>
              <w:rPr>
                <w:rFonts w:ascii="方正仿宋简体" w:hAnsi="宋体" w:eastAsia="方正仿宋简体"/>
                <w:b/>
                <w:sz w:val="24"/>
                <w:szCs w:val="24"/>
                <w:lang w:val="zh-CN"/>
              </w:rPr>
            </w:pPr>
            <w:r>
              <w:rPr>
                <w:rFonts w:hint="eastAsia" w:ascii="方正仿宋简体" w:hAnsi="宋体" w:eastAsia="方正仿宋简体"/>
                <w:b/>
                <w:sz w:val="24"/>
                <w:szCs w:val="24"/>
                <w:lang w:val="zh-CN"/>
              </w:rPr>
              <w:t>建成运河煤炭交易平台（暂定名）。</w:t>
            </w:r>
          </w:p>
        </w:tc>
      </w:tr>
      <w:tr>
        <w:tblPrEx>
          <w:tblBorders>
            <w:top w:val="single" w:color="000000" w:sz="4" w:space="0"/>
            <w:left w:val="single" w:color="000000" w:sz="4" w:space="0"/>
            <w:bottom w:val="single" w:color="auto" w:sz="4" w:space="0"/>
            <w:right w:val="single" w:color="000000" w:sz="4" w:space="0"/>
            <w:insideH w:val="single" w:color="auto" w:sz="4" w:space="0"/>
            <w:insideV w:val="single" w:color="auto" w:sz="4" w:space="0"/>
          </w:tblBorders>
          <w:shd w:val="clear" w:color="auto" w:fill="FFFFFF" w:themeFill="background1"/>
        </w:tblPrEx>
        <w:trPr>
          <w:trHeight w:val="635" w:hRule="atLeast"/>
          <w:jc w:val="center"/>
        </w:trPr>
        <w:tc>
          <w:tcPr>
            <w:tcW w:w="2295" w:type="dxa"/>
            <w:shd w:val="clear" w:color="auto" w:fill="FFFFFF" w:themeFill="background1"/>
            <w:vAlign w:val="center"/>
          </w:tcPr>
          <w:p>
            <w:pPr>
              <w:autoSpaceDE w:val="0"/>
              <w:autoSpaceDN w:val="0"/>
              <w:adjustRightInd w:val="0"/>
              <w:spacing w:line="300" w:lineRule="exact"/>
              <w:jc w:val="center"/>
              <w:rPr>
                <w:rFonts w:ascii="方正仿宋简体" w:hAnsi="黑体" w:eastAsia="方正仿宋简体"/>
                <w:b/>
                <w:sz w:val="24"/>
                <w:szCs w:val="24"/>
                <w:lang w:val="zh-CN"/>
              </w:rPr>
            </w:pPr>
            <w:r>
              <w:rPr>
                <w:rFonts w:hint="eastAsia" w:ascii="方正仿宋简体" w:hAnsi="宋体" w:eastAsia="方正仿宋简体"/>
                <w:b/>
                <w:sz w:val="24"/>
                <w:szCs w:val="24"/>
                <w:lang w:val="zh-CN"/>
              </w:rPr>
              <w:t>储备</w:t>
            </w:r>
            <w:r>
              <w:rPr>
                <w:rFonts w:hint="eastAsia" w:ascii="方正仿宋简体" w:hAnsi="黑体" w:eastAsia="方正仿宋简体"/>
                <w:b/>
                <w:sz w:val="24"/>
                <w:szCs w:val="24"/>
                <w:lang w:val="zh-CN"/>
              </w:rPr>
              <w:t>基地</w:t>
            </w:r>
          </w:p>
        </w:tc>
        <w:tc>
          <w:tcPr>
            <w:tcW w:w="6437" w:type="dxa"/>
            <w:shd w:val="clear" w:color="auto" w:fill="FFFFFF" w:themeFill="background1"/>
            <w:vAlign w:val="center"/>
          </w:tcPr>
          <w:p>
            <w:pPr>
              <w:autoSpaceDE w:val="0"/>
              <w:autoSpaceDN w:val="0"/>
              <w:adjustRightInd w:val="0"/>
              <w:spacing w:line="300" w:lineRule="exact"/>
              <w:rPr>
                <w:rFonts w:ascii="方正仿宋简体" w:hAnsi="宋体" w:eastAsia="方正仿宋简体"/>
                <w:b/>
                <w:sz w:val="24"/>
                <w:szCs w:val="24"/>
                <w:lang w:val="zh-CN"/>
              </w:rPr>
            </w:pPr>
            <w:r>
              <w:rPr>
                <w:rFonts w:hint="eastAsia" w:ascii="方正仿宋简体" w:hAnsi="宋体" w:eastAsia="方正仿宋简体"/>
                <w:b/>
                <w:sz w:val="24"/>
                <w:szCs w:val="24"/>
                <w:lang w:val="zh-CN"/>
              </w:rPr>
              <w:t>建成梁山（梁山港）省级煤炭应急储备基地。</w:t>
            </w:r>
          </w:p>
        </w:tc>
      </w:tr>
    </w:tbl>
    <w:p>
      <w:pPr>
        <w:spacing w:line="590" w:lineRule="exact"/>
        <w:ind w:firstLine="624" w:firstLineChars="200"/>
        <w:rPr>
          <w:rFonts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（二）提高煤矿智能化水平</w:t>
      </w:r>
    </w:p>
    <w:p>
      <w:pPr>
        <w:spacing w:line="590" w:lineRule="exact"/>
        <w:ind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1. 加快煤炭智能化技术创新。坚持“科技兴安”战略，以推进新旧动能转换、发展智能化产业为统领，对具备条件的生产煤矿加快智能化改造，在采掘、机运、通风、安全监测、洗选等生产经营管理环节，进行智能优化提升，推进固定岗位的无人值守和危险岗位的机器人作业。紧跟国际国内技术前沿，实施煤矿智能化标准提升工程。加速推进“大云物智移”等现代信息技术与煤炭工业深度融合，加大科技创新力度，实现煤炭工业由生产机械化、自动化向智能化生产、智慧化运行转变。普及采掘综合机械化，大力推广应用开拓掘进远程控制、智能截割、N00工法、连采连充、盾构机等先进技术装备，集中攻克5G矿用、智能防灾、智能传感器等一批关键核心技术，重点突破煤矿机器人研发与应用，实现煤炭智能开采技术创新突破。</w:t>
      </w:r>
    </w:p>
    <w:p>
      <w:pPr>
        <w:spacing w:line="590" w:lineRule="exact"/>
        <w:ind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2. 全面推进煤矿智能化建设。按照“三步走”思路，全面推进煤矿智能化建设，实现煤矿开拓、采掘、运输、通风、洗选等全过程智能化。到2025年，全市煤矿完成智能化改造，截割、移架、推溜、转运、供液、洗选等重点岗位基本实现机器人作业，智能化开采产量达到90%以上，形成完整配套的智能化生产、管理体系，打造一批国家示范矿井，争创国家智能化煤矿示范城市。</w:t>
      </w:r>
    </w:p>
    <w:tbl>
      <w:tblPr>
        <w:tblStyle w:val="5"/>
        <w:tblW w:w="8688" w:type="dxa"/>
        <w:jc w:val="center"/>
        <w:tblBorders>
          <w:top w:val="single" w:color="000000" w:sz="4" w:space="0"/>
          <w:left w:val="single" w:color="000000" w:sz="4" w:space="0"/>
          <w:bottom w:val="single" w:color="000000" w:sz="4" w:space="0"/>
          <w:right w:val="single" w:color="000000" w:sz="4" w:space="0"/>
          <w:insideH w:val="single" w:color="auto" w:sz="4" w:space="0"/>
          <w:insideV w:val="single" w:color="auto" w:sz="4" w:space="0"/>
        </w:tblBorders>
        <w:shd w:val="clear" w:color="auto" w:fill="FFFFFF" w:themeFill="background1"/>
        <w:tblLayout w:type="fixed"/>
        <w:tblCellMar>
          <w:top w:w="0" w:type="dxa"/>
          <w:left w:w="108" w:type="dxa"/>
          <w:bottom w:w="0" w:type="dxa"/>
          <w:right w:w="108" w:type="dxa"/>
        </w:tblCellMar>
      </w:tblPr>
      <w:tblGrid>
        <w:gridCol w:w="2592"/>
        <w:gridCol w:w="6096"/>
      </w:tblGrid>
      <w:tr>
        <w:tblPrEx>
          <w:tblBorders>
            <w:top w:val="single" w:color="000000" w:sz="4" w:space="0"/>
            <w:left w:val="single" w:color="000000" w:sz="4" w:space="0"/>
            <w:bottom w:val="single" w:color="000000" w:sz="4" w:space="0"/>
            <w:right w:val="single" w:color="000000" w:sz="4" w:space="0"/>
            <w:insideH w:val="single" w:color="auto" w:sz="4" w:space="0"/>
            <w:insideV w:val="single" w:color="auto" w:sz="4" w:space="0"/>
          </w:tblBorders>
        </w:tblPrEx>
        <w:trPr>
          <w:trHeight w:val="567" w:hRule="atLeast"/>
          <w:jc w:val="center"/>
        </w:trPr>
        <w:tc>
          <w:tcPr>
            <w:tcW w:w="8688" w:type="dxa"/>
            <w:gridSpan w:val="2"/>
            <w:shd w:val="clear" w:color="auto" w:fill="FFFFFF" w:themeFill="background1"/>
            <w:vAlign w:val="center"/>
          </w:tcPr>
          <w:p>
            <w:pPr>
              <w:adjustRightInd w:val="0"/>
              <w:spacing w:line="400" w:lineRule="exact"/>
              <w:jc w:val="center"/>
              <w:textAlignment w:val="center"/>
              <w:rPr>
                <w:rFonts w:ascii="方正黑体简体" w:hAnsi="黑体" w:eastAsia="方正黑体简体" w:cs="黑体"/>
                <w:b/>
                <w:bCs/>
                <w:sz w:val="28"/>
                <w:szCs w:val="28"/>
              </w:rPr>
            </w:pPr>
            <w:r>
              <w:rPr>
                <w:rFonts w:hint="eastAsia" w:ascii="方正黑体简体" w:hAnsi="黑体" w:eastAsia="方正黑体简体" w:cs="黑体"/>
                <w:b/>
                <w:bCs/>
                <w:sz w:val="28"/>
                <w:szCs w:val="28"/>
              </w:rPr>
              <w:t>专栏4 “国家智能化煤矿示范工程”重点建设项目</w:t>
            </w:r>
          </w:p>
        </w:tc>
      </w:tr>
      <w:tr>
        <w:tblPrEx>
          <w:tblBorders>
            <w:top w:val="single" w:color="000000" w:sz="4" w:space="0"/>
            <w:left w:val="single" w:color="000000" w:sz="4" w:space="0"/>
            <w:bottom w:val="single" w:color="000000" w:sz="4" w:space="0"/>
            <w:right w:val="single" w:color="000000" w:sz="4" w:space="0"/>
            <w:insideH w:val="single" w:color="auto" w:sz="4" w:space="0"/>
            <w:insideV w:val="single" w:color="auto" w:sz="4" w:space="0"/>
          </w:tblBorders>
          <w:shd w:val="clear" w:color="auto" w:fill="FFFFFF" w:themeFill="background1"/>
        </w:tblPrEx>
        <w:trPr>
          <w:trHeight w:val="671" w:hRule="atLeast"/>
          <w:jc w:val="center"/>
        </w:trPr>
        <w:tc>
          <w:tcPr>
            <w:tcW w:w="2592" w:type="dxa"/>
            <w:shd w:val="clear" w:color="auto" w:fill="FFFFFF" w:themeFill="background1"/>
            <w:vAlign w:val="center"/>
          </w:tcPr>
          <w:p>
            <w:pPr>
              <w:autoSpaceDE w:val="0"/>
              <w:autoSpaceDN w:val="0"/>
              <w:adjustRightInd w:val="0"/>
              <w:spacing w:line="400" w:lineRule="exact"/>
              <w:jc w:val="center"/>
              <w:rPr>
                <w:rFonts w:ascii="方正仿宋简体" w:hAnsi="黑体" w:eastAsia="方正仿宋简体"/>
                <w:b/>
                <w:sz w:val="24"/>
                <w:szCs w:val="24"/>
                <w:lang w:val="zh-CN"/>
              </w:rPr>
            </w:pPr>
            <w:r>
              <w:rPr>
                <w:rFonts w:hint="eastAsia" w:ascii="方正仿宋简体" w:hAnsi="宋体" w:eastAsia="方正仿宋简体"/>
                <w:b/>
                <w:sz w:val="24"/>
                <w:szCs w:val="24"/>
                <w:lang w:val="zh-CN"/>
              </w:rPr>
              <w:t>首批建成项目</w:t>
            </w:r>
          </w:p>
        </w:tc>
        <w:tc>
          <w:tcPr>
            <w:tcW w:w="6096" w:type="dxa"/>
            <w:shd w:val="clear" w:color="auto" w:fill="FFFFFF" w:themeFill="background1"/>
            <w:vAlign w:val="center"/>
          </w:tcPr>
          <w:p>
            <w:pPr>
              <w:autoSpaceDE w:val="0"/>
              <w:autoSpaceDN w:val="0"/>
              <w:adjustRightInd w:val="0"/>
              <w:spacing w:line="400" w:lineRule="exact"/>
              <w:rPr>
                <w:rFonts w:ascii="方正仿宋简体" w:hAnsi="宋体" w:eastAsia="方正仿宋简体"/>
                <w:b/>
                <w:sz w:val="24"/>
                <w:szCs w:val="24"/>
                <w:lang w:val="zh-CN"/>
              </w:rPr>
            </w:pPr>
            <w:r>
              <w:rPr>
                <w:rFonts w:hint="eastAsia" w:ascii="方正仿宋简体" w:hAnsi="宋体" w:eastAsia="方正仿宋简体"/>
                <w:b/>
                <w:sz w:val="24"/>
                <w:szCs w:val="24"/>
                <w:lang w:val="zh-CN"/>
              </w:rPr>
              <w:t>东滩、鲍店、付村等煤矿。</w:t>
            </w:r>
          </w:p>
        </w:tc>
      </w:tr>
      <w:tr>
        <w:tblPrEx>
          <w:tblBorders>
            <w:top w:val="single" w:color="000000" w:sz="4" w:space="0"/>
            <w:left w:val="single" w:color="000000" w:sz="4" w:space="0"/>
            <w:bottom w:val="single" w:color="000000" w:sz="4" w:space="0"/>
            <w:right w:val="single" w:color="000000" w:sz="4" w:space="0"/>
            <w:insideH w:val="single" w:color="auto" w:sz="4" w:space="0"/>
            <w:insideV w:val="single" w:color="auto" w:sz="4" w:space="0"/>
          </w:tblBorders>
          <w:shd w:val="clear" w:color="auto" w:fill="FFFFFF" w:themeFill="background1"/>
        </w:tblPrEx>
        <w:trPr>
          <w:trHeight w:val="560" w:hRule="atLeast"/>
          <w:jc w:val="center"/>
        </w:trPr>
        <w:tc>
          <w:tcPr>
            <w:tcW w:w="2592" w:type="dxa"/>
            <w:shd w:val="clear" w:color="auto" w:fill="FFFFFF" w:themeFill="background1"/>
            <w:vAlign w:val="center"/>
          </w:tcPr>
          <w:p>
            <w:pPr>
              <w:autoSpaceDE w:val="0"/>
              <w:autoSpaceDN w:val="0"/>
              <w:adjustRightInd w:val="0"/>
              <w:spacing w:line="400" w:lineRule="exact"/>
              <w:jc w:val="center"/>
              <w:rPr>
                <w:rFonts w:ascii="方正仿宋简体" w:hAnsi="黑体" w:eastAsia="方正仿宋简体"/>
                <w:b/>
                <w:sz w:val="24"/>
                <w:szCs w:val="24"/>
                <w:lang w:val="zh-CN"/>
              </w:rPr>
            </w:pPr>
            <w:r>
              <w:rPr>
                <w:rFonts w:hint="eastAsia" w:ascii="方正仿宋简体" w:hAnsi="宋体" w:eastAsia="方正仿宋简体"/>
                <w:b/>
                <w:sz w:val="24"/>
                <w:szCs w:val="24"/>
                <w:lang w:val="zh-CN"/>
              </w:rPr>
              <w:t>争创</w:t>
            </w:r>
            <w:r>
              <w:rPr>
                <w:rFonts w:hint="eastAsia" w:ascii="方正仿宋简体" w:hAnsi="黑体" w:eastAsia="方正仿宋简体"/>
                <w:b/>
                <w:sz w:val="24"/>
                <w:szCs w:val="24"/>
                <w:lang w:val="zh-CN"/>
              </w:rPr>
              <w:t>项目</w:t>
            </w:r>
          </w:p>
        </w:tc>
        <w:tc>
          <w:tcPr>
            <w:tcW w:w="6096" w:type="dxa"/>
            <w:shd w:val="clear" w:color="auto" w:fill="FFFFFF" w:themeFill="background1"/>
            <w:vAlign w:val="center"/>
          </w:tcPr>
          <w:p>
            <w:pPr>
              <w:autoSpaceDE w:val="0"/>
              <w:autoSpaceDN w:val="0"/>
              <w:adjustRightInd w:val="0"/>
              <w:spacing w:line="400" w:lineRule="exact"/>
              <w:rPr>
                <w:rFonts w:ascii="方正仿宋简体" w:hAnsi="宋体" w:eastAsia="方正仿宋简体"/>
                <w:b/>
                <w:sz w:val="24"/>
                <w:szCs w:val="24"/>
                <w:lang w:val="zh-CN"/>
              </w:rPr>
            </w:pPr>
            <w:r>
              <w:rPr>
                <w:rFonts w:hint="eastAsia" w:ascii="方正仿宋简体" w:hAnsi="宋体" w:eastAsia="方正仿宋简体"/>
                <w:b/>
                <w:sz w:val="24"/>
                <w:szCs w:val="24"/>
                <w:lang w:val="zh-CN"/>
              </w:rPr>
              <w:t>济宁三号、鹿洼等煤矿。</w:t>
            </w:r>
          </w:p>
        </w:tc>
      </w:tr>
    </w:tbl>
    <w:p>
      <w:pPr>
        <w:spacing w:line="590" w:lineRule="exact"/>
        <w:ind w:firstLine="624" w:firstLineChars="200"/>
        <w:rPr>
          <w:rFonts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（三）提升煤炭绿色发展能力</w:t>
      </w:r>
    </w:p>
    <w:p>
      <w:pPr>
        <w:spacing w:line="590" w:lineRule="exact"/>
        <w:ind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1. 加快煤炭绿色生产方式变革。以“三下一上”压煤地区和环境敏感地区为重点，坚持“采煤不见煤”“矸石不升井”的原则，大力推广充填开采、保水式开采、防尘降尘等绿色开采技术，减少开采沉陷、地下水破坏等生态问题，确保新增塌陷地面积年均减少10%。加大洗选煤和配煤技术推广力度，鼓励实施原煤洗选，适宜企业开展井下选煤厂建设和运营示范。到2025年，原煤入选率达到85%以上。</w:t>
      </w:r>
    </w:p>
    <w:p>
      <w:pPr>
        <w:spacing w:line="590" w:lineRule="exact"/>
        <w:ind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2. 深化矿区循环经济发展。按照“3R”发展原则，加大支持煤炭企业以与煤共伴生资源和煤矿废弃物循环再利用为重点，突出产业循环组合、产品循环生产、资源循环利用，大力发展煤炭资源综合利用产业；大力推广矿井水低温余热提取、高含盐矿井水综合治理、乏风废热提取等资源综合利用项目，提高产品附加值和资源综合利用率，加快矿区循环经济发展。</w:t>
      </w:r>
    </w:p>
    <w:p>
      <w:pPr>
        <w:spacing w:line="590" w:lineRule="exact"/>
        <w:ind w:firstLine="624" w:firstLineChars="200"/>
        <w:rPr>
          <w:rFonts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（四）培育煤炭企业新动能</w:t>
      </w:r>
    </w:p>
    <w:p>
      <w:pPr>
        <w:spacing w:line="590" w:lineRule="exact"/>
        <w:ind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以新旧动能转换为统领，按照“建链、补链、强链”要求，大力推动由单一资源开采向资源深度开发、产业多元发展转型，着力打造煤炭企业转型升级“示范者”工程。大力发展煤炭延伸链条，加快推动煤机装备制造智能化、高端化，成套装备自动化、信息化，打造集科技研发、产品生产、设计应用和煤机维修等服务于一体的煤机装备制造基地；重点推动智能化装备、工业机器人等装备制造业发展，逐步建成国内重要的装备制造产业基地，打造煤矿智能化成套装备“示范者”工程。积极培育新兴产业，重点培育新型互联网信息服务企业，加快物矿网及小微创客等网上综合服务平台的完善，打造大数据信息平台“示范者”工程。坚持“现代物流”战略，以煤炭物流为基础，加速5G、区块链技术等信息技术融合，打造智慧物流“示范者”工程。以煤炭化工为基础，加速延长产业链，发展高端化工新材料，打造新材料“示范者”工程。到2025年，煤炭产业中非煤产业营业收入比重达到80%以上。</w:t>
      </w:r>
    </w:p>
    <w:tbl>
      <w:tblPr>
        <w:tblStyle w:val="5"/>
        <w:tblW w:w="8787" w:type="dxa"/>
        <w:jc w:val="center"/>
        <w:tblBorders>
          <w:top w:val="single" w:color="000000" w:sz="4" w:space="0"/>
          <w:left w:val="single" w:color="000000" w:sz="4" w:space="0"/>
          <w:bottom w:val="single" w:color="auto" w:sz="4" w:space="0"/>
          <w:right w:val="single" w:color="000000" w:sz="4" w:space="0"/>
          <w:insideH w:val="single" w:color="auto" w:sz="4" w:space="0"/>
          <w:insideV w:val="single" w:color="auto" w:sz="4" w:space="0"/>
        </w:tblBorders>
        <w:shd w:val="clear" w:color="auto" w:fill="FFFFFF" w:themeFill="background1"/>
        <w:tblLayout w:type="fixed"/>
        <w:tblCellMar>
          <w:top w:w="0" w:type="dxa"/>
          <w:left w:w="108" w:type="dxa"/>
          <w:bottom w:w="0" w:type="dxa"/>
          <w:right w:w="108" w:type="dxa"/>
        </w:tblCellMar>
      </w:tblPr>
      <w:tblGrid>
        <w:gridCol w:w="2223"/>
        <w:gridCol w:w="6564"/>
      </w:tblGrid>
      <w:tr>
        <w:tblPrEx>
          <w:tblBorders>
            <w:top w:val="single" w:color="000000" w:sz="4" w:space="0"/>
            <w:left w:val="single" w:color="000000" w:sz="4" w:space="0"/>
            <w:bottom w:val="single" w:color="auto" w:sz="4" w:space="0"/>
            <w:right w:val="single" w:color="000000" w:sz="4" w:space="0"/>
            <w:insideH w:val="single" w:color="auto" w:sz="4" w:space="0"/>
            <w:insideV w:val="single" w:color="auto" w:sz="4" w:space="0"/>
          </w:tblBorders>
        </w:tblPrEx>
        <w:trPr>
          <w:trHeight w:val="567" w:hRule="atLeast"/>
          <w:jc w:val="center"/>
        </w:trPr>
        <w:tc>
          <w:tcPr>
            <w:tcW w:w="8787" w:type="dxa"/>
            <w:gridSpan w:val="2"/>
            <w:shd w:val="clear" w:color="auto" w:fill="FFFFFF" w:themeFill="background1"/>
            <w:vAlign w:val="center"/>
          </w:tcPr>
          <w:p>
            <w:pPr>
              <w:adjustRightInd w:val="0"/>
              <w:spacing w:line="340" w:lineRule="exact"/>
              <w:jc w:val="center"/>
              <w:textAlignment w:val="center"/>
              <w:rPr>
                <w:rFonts w:ascii="方正黑体简体" w:hAnsi="黑体" w:eastAsia="方正黑体简体" w:cs="黑体"/>
                <w:b/>
                <w:bCs/>
                <w:sz w:val="28"/>
                <w:szCs w:val="28"/>
              </w:rPr>
            </w:pPr>
            <w:r>
              <w:rPr>
                <w:rFonts w:hint="eastAsia" w:ascii="方正黑体简体" w:hAnsi="黑体" w:eastAsia="方正黑体简体" w:cs="黑体"/>
                <w:b/>
                <w:bCs/>
                <w:sz w:val="28"/>
                <w:szCs w:val="28"/>
              </w:rPr>
              <w:t>专栏5 煤炭企业新旧动能转换“示范者”工程重点项目</w:t>
            </w:r>
          </w:p>
        </w:tc>
      </w:tr>
      <w:tr>
        <w:tblPrEx>
          <w:tblBorders>
            <w:top w:val="single" w:color="000000" w:sz="4" w:space="0"/>
            <w:left w:val="single" w:color="000000" w:sz="4" w:space="0"/>
            <w:bottom w:val="single" w:color="auto" w:sz="4" w:space="0"/>
            <w:right w:val="single" w:color="000000" w:sz="4" w:space="0"/>
            <w:insideH w:val="single" w:color="auto" w:sz="4" w:space="0"/>
            <w:insideV w:val="single" w:color="auto" w:sz="4" w:space="0"/>
          </w:tblBorders>
          <w:shd w:val="clear" w:color="auto" w:fill="FFFFFF" w:themeFill="background1"/>
        </w:tblPrEx>
        <w:trPr>
          <w:trHeight w:val="934" w:hRule="atLeast"/>
          <w:jc w:val="center"/>
        </w:trPr>
        <w:tc>
          <w:tcPr>
            <w:tcW w:w="2223" w:type="dxa"/>
            <w:shd w:val="clear" w:color="auto" w:fill="FFFFFF" w:themeFill="background1"/>
            <w:vAlign w:val="center"/>
          </w:tcPr>
          <w:p>
            <w:pPr>
              <w:autoSpaceDE w:val="0"/>
              <w:autoSpaceDN w:val="0"/>
              <w:adjustRightInd w:val="0"/>
              <w:spacing w:line="340" w:lineRule="exact"/>
              <w:jc w:val="center"/>
              <w:rPr>
                <w:rFonts w:ascii="方正仿宋简体" w:hAnsi="黑体" w:eastAsia="方正仿宋简体"/>
                <w:b/>
                <w:sz w:val="24"/>
                <w:szCs w:val="24"/>
                <w:lang w:val="zh-CN"/>
              </w:rPr>
            </w:pPr>
            <w:r>
              <w:rPr>
                <w:rFonts w:hint="eastAsia" w:ascii="方正仿宋简体" w:hAnsi="黑体" w:eastAsia="方正仿宋简体"/>
                <w:b/>
                <w:sz w:val="24"/>
                <w:szCs w:val="24"/>
                <w:lang w:val="zh-CN"/>
              </w:rPr>
              <w:t>智能化成套装备</w:t>
            </w:r>
          </w:p>
          <w:p>
            <w:pPr>
              <w:autoSpaceDE w:val="0"/>
              <w:autoSpaceDN w:val="0"/>
              <w:adjustRightInd w:val="0"/>
              <w:spacing w:line="340" w:lineRule="exact"/>
              <w:jc w:val="center"/>
              <w:rPr>
                <w:rFonts w:ascii="方正仿宋简体" w:hAnsi="黑体" w:eastAsia="方正仿宋简体"/>
                <w:b/>
                <w:sz w:val="24"/>
                <w:szCs w:val="24"/>
                <w:lang w:val="zh-CN"/>
              </w:rPr>
            </w:pPr>
            <w:r>
              <w:rPr>
                <w:rFonts w:hint="eastAsia" w:ascii="方正仿宋简体" w:hAnsi="黑体" w:eastAsia="方正仿宋简体"/>
                <w:b/>
                <w:sz w:val="24"/>
                <w:szCs w:val="24"/>
                <w:lang w:val="zh-CN"/>
              </w:rPr>
              <w:t>“示范者”工程</w:t>
            </w:r>
          </w:p>
        </w:tc>
        <w:tc>
          <w:tcPr>
            <w:tcW w:w="6564" w:type="dxa"/>
            <w:shd w:val="clear" w:color="auto" w:fill="FFFFFF" w:themeFill="background1"/>
            <w:vAlign w:val="center"/>
          </w:tcPr>
          <w:p>
            <w:pPr>
              <w:autoSpaceDE w:val="0"/>
              <w:autoSpaceDN w:val="0"/>
              <w:adjustRightInd w:val="0"/>
              <w:spacing w:line="340" w:lineRule="exact"/>
              <w:rPr>
                <w:rFonts w:ascii="方正仿宋简体" w:hAnsi="宋体" w:eastAsia="方正仿宋简体"/>
                <w:b/>
                <w:sz w:val="24"/>
                <w:szCs w:val="24"/>
                <w:lang w:val="zh-CN"/>
              </w:rPr>
            </w:pPr>
            <w:r>
              <w:rPr>
                <w:rFonts w:hint="eastAsia" w:ascii="方正仿宋简体" w:hAnsi="仿宋" w:eastAsia="方正仿宋简体"/>
                <w:b/>
                <w:sz w:val="24"/>
                <w:szCs w:val="24"/>
                <w:lang w:val="zh-CN"/>
              </w:rPr>
              <w:t>兖矿东华重工</w:t>
            </w:r>
            <w:r>
              <w:rPr>
                <w:rFonts w:hint="eastAsia" w:ascii="方正仿宋简体" w:hAnsi="宋体" w:eastAsia="方正仿宋简体"/>
                <w:b/>
                <w:sz w:val="24"/>
                <w:szCs w:val="24"/>
                <w:lang w:val="zh-CN"/>
              </w:rPr>
              <w:t>高端</w:t>
            </w:r>
            <w:r>
              <w:rPr>
                <w:rFonts w:hint="eastAsia" w:ascii="方正仿宋简体" w:hAnsi="仿宋" w:eastAsia="方正仿宋简体"/>
                <w:b/>
                <w:sz w:val="24"/>
                <w:szCs w:val="24"/>
                <w:lang w:val="zh-CN"/>
              </w:rPr>
              <w:t>煤机装备升级改造项目、济宁能源高端精密金属零件制造项目。</w:t>
            </w:r>
          </w:p>
        </w:tc>
      </w:tr>
      <w:tr>
        <w:tblPrEx>
          <w:tblBorders>
            <w:top w:val="single" w:color="000000" w:sz="4" w:space="0"/>
            <w:left w:val="single" w:color="000000" w:sz="4" w:space="0"/>
            <w:bottom w:val="single" w:color="auto" w:sz="4" w:space="0"/>
            <w:right w:val="single" w:color="000000" w:sz="4" w:space="0"/>
            <w:insideH w:val="single" w:color="auto" w:sz="4" w:space="0"/>
            <w:insideV w:val="single" w:color="auto" w:sz="4" w:space="0"/>
          </w:tblBorders>
          <w:shd w:val="clear" w:color="auto" w:fill="FFFFFF" w:themeFill="background1"/>
        </w:tblPrEx>
        <w:trPr>
          <w:trHeight w:val="975" w:hRule="atLeast"/>
          <w:jc w:val="center"/>
        </w:trPr>
        <w:tc>
          <w:tcPr>
            <w:tcW w:w="2223" w:type="dxa"/>
            <w:shd w:val="clear" w:color="auto" w:fill="FFFFFF" w:themeFill="background1"/>
            <w:vAlign w:val="center"/>
          </w:tcPr>
          <w:p>
            <w:pPr>
              <w:autoSpaceDE w:val="0"/>
              <w:autoSpaceDN w:val="0"/>
              <w:adjustRightInd w:val="0"/>
              <w:spacing w:line="340" w:lineRule="exact"/>
              <w:jc w:val="center"/>
              <w:rPr>
                <w:rFonts w:ascii="方正仿宋简体" w:hAnsi="宋体" w:eastAsia="方正仿宋简体"/>
                <w:b/>
                <w:sz w:val="24"/>
                <w:szCs w:val="24"/>
                <w:lang w:val="zh-CN"/>
              </w:rPr>
            </w:pPr>
            <w:r>
              <w:rPr>
                <w:rFonts w:hint="eastAsia" w:ascii="方正仿宋简体" w:hAnsi="黑体" w:eastAsia="方正仿宋简体"/>
                <w:b/>
                <w:sz w:val="24"/>
                <w:szCs w:val="24"/>
                <w:lang w:val="zh-CN"/>
              </w:rPr>
              <w:t>大数据信息</w:t>
            </w:r>
            <w:r>
              <w:rPr>
                <w:rFonts w:hint="eastAsia" w:ascii="方正仿宋简体" w:hAnsi="宋体" w:eastAsia="方正仿宋简体"/>
                <w:b/>
                <w:sz w:val="24"/>
                <w:szCs w:val="24"/>
                <w:lang w:val="zh-CN"/>
              </w:rPr>
              <w:t>平台</w:t>
            </w:r>
          </w:p>
          <w:p>
            <w:pPr>
              <w:autoSpaceDE w:val="0"/>
              <w:autoSpaceDN w:val="0"/>
              <w:adjustRightInd w:val="0"/>
              <w:spacing w:line="340" w:lineRule="exact"/>
              <w:jc w:val="center"/>
              <w:rPr>
                <w:rFonts w:ascii="方正仿宋简体" w:hAnsi="宋体" w:eastAsia="方正仿宋简体"/>
                <w:b/>
                <w:sz w:val="24"/>
                <w:szCs w:val="24"/>
                <w:lang w:val="zh-CN"/>
              </w:rPr>
            </w:pPr>
            <w:r>
              <w:rPr>
                <w:rFonts w:hint="eastAsia" w:ascii="方正仿宋简体" w:hAnsi="黑体" w:eastAsia="方正仿宋简体"/>
                <w:b/>
                <w:sz w:val="24"/>
                <w:szCs w:val="24"/>
                <w:lang w:val="zh-CN"/>
              </w:rPr>
              <w:t>“示范者”工程</w:t>
            </w:r>
          </w:p>
        </w:tc>
        <w:tc>
          <w:tcPr>
            <w:tcW w:w="6564" w:type="dxa"/>
            <w:shd w:val="clear" w:color="auto" w:fill="FFFFFF" w:themeFill="background1"/>
            <w:vAlign w:val="center"/>
          </w:tcPr>
          <w:p>
            <w:pPr>
              <w:autoSpaceDE w:val="0"/>
              <w:autoSpaceDN w:val="0"/>
              <w:adjustRightInd w:val="0"/>
              <w:spacing w:line="340" w:lineRule="exact"/>
              <w:rPr>
                <w:rFonts w:ascii="方正仿宋简体" w:hAnsi="宋体" w:eastAsia="方正仿宋简体"/>
                <w:b/>
                <w:sz w:val="24"/>
                <w:szCs w:val="24"/>
                <w:lang w:val="zh-CN"/>
              </w:rPr>
            </w:pPr>
            <w:r>
              <w:rPr>
                <w:rFonts w:hint="eastAsia" w:ascii="方正仿宋简体" w:hAnsi="宋体" w:eastAsia="方正仿宋简体"/>
                <w:b/>
                <w:sz w:val="24"/>
                <w:szCs w:val="24"/>
                <w:lang w:val="zh-CN"/>
              </w:rPr>
              <w:t>山东能源“北斗+”产业群、矿用5G等、济宁能源矿用设备数字化智造工厂改造项目。</w:t>
            </w:r>
          </w:p>
        </w:tc>
      </w:tr>
      <w:tr>
        <w:tblPrEx>
          <w:tblBorders>
            <w:top w:val="single" w:color="000000" w:sz="4" w:space="0"/>
            <w:left w:val="single" w:color="000000" w:sz="4" w:space="0"/>
            <w:bottom w:val="single" w:color="auto" w:sz="4" w:space="0"/>
            <w:right w:val="single" w:color="000000" w:sz="4" w:space="0"/>
            <w:insideH w:val="single" w:color="auto" w:sz="4" w:space="0"/>
            <w:insideV w:val="single" w:color="auto" w:sz="4" w:space="0"/>
          </w:tblBorders>
          <w:shd w:val="clear" w:color="auto" w:fill="FFFFFF" w:themeFill="background1"/>
        </w:tblPrEx>
        <w:trPr>
          <w:trHeight w:val="1542" w:hRule="atLeast"/>
          <w:jc w:val="center"/>
        </w:trPr>
        <w:tc>
          <w:tcPr>
            <w:tcW w:w="2223" w:type="dxa"/>
            <w:shd w:val="clear" w:color="auto" w:fill="FFFFFF" w:themeFill="background1"/>
            <w:vAlign w:val="center"/>
          </w:tcPr>
          <w:p>
            <w:pPr>
              <w:autoSpaceDE w:val="0"/>
              <w:autoSpaceDN w:val="0"/>
              <w:adjustRightInd w:val="0"/>
              <w:spacing w:line="340" w:lineRule="exact"/>
              <w:jc w:val="center"/>
              <w:rPr>
                <w:rFonts w:ascii="方正仿宋简体" w:hAnsi="黑体" w:eastAsia="方正仿宋简体"/>
                <w:b/>
                <w:sz w:val="24"/>
                <w:szCs w:val="24"/>
                <w:lang w:val="zh-CN"/>
              </w:rPr>
            </w:pPr>
            <w:r>
              <w:rPr>
                <w:rFonts w:hint="eastAsia" w:ascii="方正仿宋简体" w:hAnsi="黑体" w:eastAsia="方正仿宋简体"/>
                <w:b/>
                <w:sz w:val="24"/>
                <w:szCs w:val="24"/>
                <w:lang w:val="zh-CN"/>
              </w:rPr>
              <w:t>智慧物流</w:t>
            </w:r>
          </w:p>
          <w:p>
            <w:pPr>
              <w:autoSpaceDE w:val="0"/>
              <w:autoSpaceDN w:val="0"/>
              <w:adjustRightInd w:val="0"/>
              <w:spacing w:line="340" w:lineRule="exact"/>
              <w:jc w:val="center"/>
              <w:rPr>
                <w:rFonts w:ascii="方正仿宋简体" w:hAnsi="宋体" w:eastAsia="方正仿宋简体"/>
                <w:b/>
                <w:sz w:val="24"/>
                <w:szCs w:val="24"/>
                <w:lang w:val="zh-CN"/>
              </w:rPr>
            </w:pPr>
            <w:r>
              <w:rPr>
                <w:rFonts w:hint="eastAsia" w:ascii="方正仿宋简体" w:hAnsi="宋体" w:eastAsia="方正仿宋简体"/>
                <w:b/>
                <w:sz w:val="24"/>
                <w:szCs w:val="24"/>
                <w:lang w:val="zh-CN"/>
              </w:rPr>
              <w:t>“示范者”</w:t>
            </w:r>
            <w:r>
              <w:rPr>
                <w:rFonts w:hint="eastAsia" w:ascii="方正仿宋简体" w:hAnsi="黑体" w:eastAsia="方正仿宋简体"/>
                <w:b/>
                <w:sz w:val="24"/>
                <w:szCs w:val="24"/>
                <w:lang w:val="zh-CN"/>
              </w:rPr>
              <w:t>工程</w:t>
            </w:r>
          </w:p>
        </w:tc>
        <w:tc>
          <w:tcPr>
            <w:tcW w:w="6564" w:type="dxa"/>
            <w:shd w:val="clear" w:color="auto" w:fill="FFFFFF" w:themeFill="background1"/>
            <w:vAlign w:val="center"/>
          </w:tcPr>
          <w:p>
            <w:pPr>
              <w:autoSpaceDE w:val="0"/>
              <w:autoSpaceDN w:val="0"/>
              <w:adjustRightInd w:val="0"/>
              <w:spacing w:line="340" w:lineRule="exact"/>
              <w:rPr>
                <w:rFonts w:ascii="方正仿宋简体" w:hAnsi="宋体" w:eastAsia="方正仿宋简体"/>
                <w:b/>
                <w:sz w:val="24"/>
                <w:szCs w:val="24"/>
                <w:lang w:val="zh-CN"/>
              </w:rPr>
            </w:pPr>
            <w:r>
              <w:rPr>
                <w:rFonts w:hint="eastAsia" w:ascii="方正仿宋简体" w:hAnsi="宋体" w:eastAsia="方正仿宋简体"/>
                <w:b/>
                <w:sz w:val="24"/>
                <w:szCs w:val="24"/>
                <w:lang w:val="zh-CN"/>
              </w:rPr>
              <w:t>济宁港航智慧大数据运营平台项目、山东京杭多式联运项目（梁山港）、山东京杭集装箱多式联运产业园区（龙拱港）项目、济宁港主城港区跃进沟作业区物流园区、太平港港口提升改造EPC项目。</w:t>
            </w:r>
          </w:p>
        </w:tc>
      </w:tr>
      <w:tr>
        <w:tblPrEx>
          <w:tblBorders>
            <w:top w:val="single" w:color="000000" w:sz="4" w:space="0"/>
            <w:left w:val="single" w:color="000000" w:sz="4" w:space="0"/>
            <w:bottom w:val="single" w:color="auto" w:sz="4" w:space="0"/>
            <w:right w:val="single" w:color="000000" w:sz="4" w:space="0"/>
            <w:insideH w:val="single" w:color="auto" w:sz="4" w:space="0"/>
            <w:insideV w:val="single" w:color="auto" w:sz="4" w:space="0"/>
          </w:tblBorders>
          <w:shd w:val="clear" w:color="auto" w:fill="FFFFFF" w:themeFill="background1"/>
        </w:tblPrEx>
        <w:trPr>
          <w:trHeight w:val="856" w:hRule="atLeast"/>
          <w:jc w:val="center"/>
        </w:trPr>
        <w:tc>
          <w:tcPr>
            <w:tcW w:w="2223" w:type="dxa"/>
            <w:shd w:val="clear" w:color="auto" w:fill="FFFFFF" w:themeFill="background1"/>
            <w:vAlign w:val="center"/>
          </w:tcPr>
          <w:p>
            <w:pPr>
              <w:autoSpaceDE w:val="0"/>
              <w:autoSpaceDN w:val="0"/>
              <w:adjustRightInd w:val="0"/>
              <w:spacing w:line="340" w:lineRule="exact"/>
              <w:jc w:val="center"/>
              <w:rPr>
                <w:rFonts w:ascii="方正仿宋简体" w:hAnsi="黑体" w:eastAsia="方正仿宋简体"/>
                <w:b/>
                <w:sz w:val="24"/>
                <w:szCs w:val="24"/>
                <w:lang w:val="zh-CN"/>
              </w:rPr>
            </w:pPr>
            <w:r>
              <w:rPr>
                <w:rFonts w:hint="eastAsia" w:ascii="方正仿宋简体" w:hAnsi="黑体" w:eastAsia="方正仿宋简体"/>
                <w:b/>
                <w:sz w:val="24"/>
                <w:szCs w:val="24"/>
                <w:lang w:val="zh-CN"/>
              </w:rPr>
              <w:t>新材料</w:t>
            </w:r>
          </w:p>
          <w:p>
            <w:pPr>
              <w:autoSpaceDE w:val="0"/>
              <w:autoSpaceDN w:val="0"/>
              <w:adjustRightInd w:val="0"/>
              <w:spacing w:line="340" w:lineRule="exact"/>
              <w:jc w:val="center"/>
              <w:rPr>
                <w:rFonts w:ascii="方正仿宋简体" w:hAnsi="宋体" w:eastAsia="方正仿宋简体"/>
                <w:b/>
                <w:sz w:val="24"/>
                <w:szCs w:val="24"/>
                <w:lang w:val="zh-CN"/>
              </w:rPr>
            </w:pPr>
            <w:r>
              <w:rPr>
                <w:rFonts w:hint="eastAsia" w:ascii="方正仿宋简体" w:hAnsi="黑体" w:eastAsia="方正仿宋简体"/>
                <w:b/>
                <w:sz w:val="24"/>
                <w:szCs w:val="24"/>
                <w:lang w:val="zh-CN"/>
              </w:rPr>
              <w:t>“示范者”工程</w:t>
            </w:r>
          </w:p>
        </w:tc>
        <w:tc>
          <w:tcPr>
            <w:tcW w:w="6564" w:type="dxa"/>
            <w:shd w:val="clear" w:color="auto" w:fill="FFFFFF" w:themeFill="background1"/>
            <w:vAlign w:val="center"/>
          </w:tcPr>
          <w:p>
            <w:pPr>
              <w:autoSpaceDE w:val="0"/>
              <w:autoSpaceDN w:val="0"/>
              <w:adjustRightInd w:val="0"/>
              <w:spacing w:line="340" w:lineRule="exact"/>
              <w:rPr>
                <w:rFonts w:ascii="方正仿宋简体" w:hAnsi="宋体" w:eastAsia="方正仿宋简体"/>
                <w:b/>
                <w:sz w:val="24"/>
                <w:szCs w:val="24"/>
                <w:lang w:val="zh-CN"/>
              </w:rPr>
            </w:pPr>
            <w:r>
              <w:rPr>
                <w:rFonts w:hint="eastAsia" w:ascii="方正仿宋简体" w:hAnsi="宋体" w:eastAsia="方正仿宋简体"/>
                <w:b/>
                <w:sz w:val="24"/>
                <w:szCs w:val="24"/>
                <w:lang w:val="zh-CN"/>
              </w:rPr>
              <w:t>山东能源淄矿集团OLED光电新材料研发项目、鲁泰控股石墨烯研发中心项目。</w:t>
            </w:r>
          </w:p>
        </w:tc>
      </w:tr>
    </w:tbl>
    <w:p>
      <w:pPr>
        <w:spacing w:line="590" w:lineRule="exact"/>
        <w:ind w:firstLine="624" w:firstLineChars="200"/>
        <w:rPr>
          <w:rFonts w:ascii="方正黑体简体" w:hAnsi="文星仿宋" w:eastAsia="方正黑体简体" w:cs="方正仿宋简体"/>
          <w:b/>
          <w:color w:val="000000"/>
          <w:sz w:val="32"/>
          <w:szCs w:val="32"/>
        </w:rPr>
      </w:pPr>
      <w:r>
        <w:rPr>
          <w:rFonts w:hint="eastAsia" w:ascii="方正黑体简体" w:hAnsi="文星仿宋" w:eastAsia="方正黑体简体" w:cs="方正仿宋简体"/>
          <w:b/>
          <w:color w:val="000000"/>
          <w:sz w:val="32"/>
          <w:szCs w:val="32"/>
        </w:rPr>
        <w:t>二、推进电力系统优化升级，构建灵活高效电力新体系</w:t>
      </w:r>
    </w:p>
    <w:p>
      <w:pPr>
        <w:spacing w:line="590" w:lineRule="exact"/>
        <w:ind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围绕优化煤电结构、发展热电联产和清洁能源发电，大力优化调整电源结构；以优化电网整体架构为重点，奋力打造坚强智能电网；坚持重点领域先行，着力完善充电基础设施体系；实行负荷侧、电源侧、电网侧多措并举，全力提升电力系统灵活性。到2025年，基本形成一套灵活、高效的电力新体系。</w:t>
      </w:r>
    </w:p>
    <w:p>
      <w:pPr>
        <w:spacing w:line="590" w:lineRule="exact"/>
        <w:ind w:firstLine="624" w:firstLineChars="200"/>
        <w:rPr>
          <w:rFonts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（一）优化调整电源结构</w:t>
      </w:r>
    </w:p>
    <w:p>
      <w:pPr>
        <w:spacing w:line="590" w:lineRule="exact"/>
        <w:ind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1. 优化提升煤电结构。坚持“减容量、减煤量替代、以热定电、能耗达标、环保优先”的原则选项目，加快推进鲁西发电、华源热电等已核准项目建设，适时推动华能济宁电厂迁建工作。按照“打破利益格局，整合淘汰低效产能，先行解决‘煤电围城’”的原则，在确保电力、热力接续稳定供应的前提下，大力推进单机容量30万千瓦以下煤电机组关停整合。完成30万千瓦及以上热电联产电厂供热半径15公里范围内的燃煤锅炉和落后燃煤小热电机组（含自备电厂）关停整合；全面关停淘汰中温中压及以下参数或未达到供电煤耗标准、超低排放标准的低效燃煤机组，确因热力接续无法关停的机组实施技术改造。到2025年，煤电装机容量稳定在1000万千瓦左右，30万千瓦及以上装机占比达到90%左右。</w:t>
      </w:r>
    </w:p>
    <w:p>
      <w:pPr>
        <w:spacing w:line="590" w:lineRule="exact"/>
        <w:ind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2. 因地制宜发展热电联产。按照“统一规划、充分利用、优先改造、分步实施、科学合理”的基本原则，加快规范全市供热格局，打破县（市、区）孤立供热模式，实施分区供热；鼓励大机组长距离供热，优先释放大容量热电联产机组余热供暖能力，保证落实其规划供热区域及热负荷匹配，作为城镇集中供热的基础主力热源。适度发展以集中供热为前提的采暖型热电联产项目，鼓励工业园区发展大中型背压式热电联产项目，实现电、热、冷、汽等能源生产协调发展。</w:t>
      </w:r>
    </w:p>
    <w:p>
      <w:pPr>
        <w:spacing w:line="590" w:lineRule="exact"/>
        <w:ind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3. 全面实施热电机组改造升级。大力实施60万千瓦及以下亚临界、超临界机组汽机、锅炉本体及辅机系统等综合性节能改造和运行优化；鼓励次高温次高压机组改造为高温高压及以上参数机组；</w:t>
      </w:r>
      <w:r>
        <w:rPr>
          <w:rFonts w:hint="eastAsia" w:ascii="方正仿宋简体" w:hAnsi="文星仿宋" w:eastAsia="方正仿宋简体" w:cs="方正仿宋简体"/>
          <w:b/>
          <w:color w:val="000000"/>
          <w:spacing w:val="-6"/>
          <w:sz w:val="32"/>
          <w:szCs w:val="32"/>
        </w:rPr>
        <w:t>鼓励现有抽凝机组改造为背压机组，支持全厂全背压方式运行。鼓励位于主城区的机组采取深度减排或近零排放措施，进一步降低烟气中烟尘、二氧化硫、氮氧化物排放浓度及排放量。到2025年，煤电机组平均供电煤</w:t>
      </w:r>
      <w:r>
        <w:rPr>
          <w:rFonts w:hint="eastAsia" w:ascii="方正仿宋简体" w:hAnsi="文星仿宋" w:eastAsia="方正仿宋简体" w:cs="方正仿宋简体"/>
          <w:b/>
          <w:color w:val="000000"/>
          <w:sz w:val="32"/>
          <w:szCs w:val="32"/>
        </w:rPr>
        <w:t>耗力争低于300g标准煤/千瓦时。</w:t>
      </w:r>
    </w:p>
    <w:p>
      <w:pPr>
        <w:spacing w:line="590" w:lineRule="exact"/>
        <w:ind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4. 持续推进清洁能源发电。适时适度发展天然气发电，根据电网调峰需要和天然气供需情况，在气源保障好的管道沿线、用热负荷中心地区研究论证建设集中式热电联产天然气发电可行性；适时发展基于天然气发电的冷、热、电三联供分布式能源，实现能源梯级利用。大力发展可再生能源发电，结合地区资源优势，积极推进多种形式可再生能源综合利用，支持“风光储”等一体化发展，探索论证抽水蓄能项目。</w:t>
      </w:r>
    </w:p>
    <w:tbl>
      <w:tblPr>
        <w:tblStyle w:val="5"/>
        <w:tblW w:w="8636" w:type="dxa"/>
        <w:jc w:val="center"/>
        <w:tblBorders>
          <w:top w:val="single" w:color="000000" w:sz="4" w:space="0"/>
          <w:left w:val="single" w:color="000000" w:sz="4" w:space="0"/>
          <w:bottom w:val="single" w:color="000000" w:sz="4" w:space="0"/>
          <w:right w:val="single" w:color="000000" w:sz="4" w:space="0"/>
          <w:insideH w:val="single" w:color="auto" w:sz="4" w:space="0"/>
          <w:insideV w:val="single" w:color="auto" w:sz="4" w:space="0"/>
        </w:tblBorders>
        <w:shd w:val="clear" w:color="auto" w:fill="FFFFFF" w:themeFill="background1"/>
        <w:tblLayout w:type="fixed"/>
        <w:tblCellMar>
          <w:top w:w="0" w:type="dxa"/>
          <w:left w:w="108" w:type="dxa"/>
          <w:bottom w:w="0" w:type="dxa"/>
          <w:right w:w="108" w:type="dxa"/>
        </w:tblCellMar>
      </w:tblPr>
      <w:tblGrid>
        <w:gridCol w:w="1982"/>
        <w:gridCol w:w="6654"/>
      </w:tblGrid>
      <w:tr>
        <w:tblPrEx>
          <w:tblBorders>
            <w:top w:val="single" w:color="000000" w:sz="4" w:space="0"/>
            <w:left w:val="single" w:color="000000" w:sz="4" w:space="0"/>
            <w:bottom w:val="single" w:color="000000" w:sz="4" w:space="0"/>
            <w:right w:val="single" w:color="000000"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36" w:type="dxa"/>
            <w:gridSpan w:val="2"/>
            <w:shd w:val="clear" w:color="auto" w:fill="FFFFFF" w:themeFill="background1"/>
            <w:vAlign w:val="center"/>
          </w:tcPr>
          <w:p>
            <w:pPr>
              <w:adjustRightInd w:val="0"/>
              <w:spacing w:line="340" w:lineRule="exact"/>
              <w:jc w:val="center"/>
              <w:textAlignment w:val="center"/>
              <w:rPr>
                <w:rFonts w:ascii="方正黑体简体" w:hAnsi="黑体" w:eastAsia="方正黑体简体"/>
                <w:b/>
                <w:bCs/>
                <w:sz w:val="28"/>
                <w:szCs w:val="28"/>
              </w:rPr>
            </w:pPr>
            <w:r>
              <w:rPr>
                <w:rFonts w:hint="eastAsia" w:ascii="方正黑体简体" w:hAnsi="黑体" w:eastAsia="方正黑体简体" w:cs="黑体"/>
                <w:b/>
                <w:bCs/>
                <w:sz w:val="28"/>
                <w:szCs w:val="28"/>
              </w:rPr>
              <w:t>专栏6 “天然气发电工程”规划建设项目</w:t>
            </w:r>
          </w:p>
        </w:tc>
      </w:tr>
      <w:tr>
        <w:tblPrEx>
          <w:tblBorders>
            <w:top w:val="single" w:color="000000" w:sz="4" w:space="0"/>
            <w:left w:val="single" w:color="000000" w:sz="4" w:space="0"/>
            <w:bottom w:val="single" w:color="000000" w:sz="4" w:space="0"/>
            <w:right w:val="single" w:color="000000"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658" w:hRule="atLeast"/>
          <w:jc w:val="center"/>
        </w:trPr>
        <w:tc>
          <w:tcPr>
            <w:tcW w:w="1982" w:type="dxa"/>
            <w:shd w:val="clear" w:color="auto" w:fill="FFFFFF" w:themeFill="background1"/>
            <w:vAlign w:val="center"/>
          </w:tcPr>
          <w:p>
            <w:pPr>
              <w:autoSpaceDE w:val="0"/>
              <w:autoSpaceDN w:val="0"/>
              <w:adjustRightInd w:val="0"/>
              <w:spacing w:line="340" w:lineRule="exact"/>
              <w:jc w:val="center"/>
              <w:rPr>
                <w:rFonts w:ascii="方正仿宋简体" w:hAnsi="黑体" w:eastAsia="方正仿宋简体"/>
                <w:b/>
                <w:sz w:val="24"/>
                <w:szCs w:val="24"/>
                <w:lang w:val="zh-CN"/>
              </w:rPr>
            </w:pPr>
            <w:r>
              <w:rPr>
                <w:rFonts w:hint="eastAsia" w:ascii="方正仿宋简体" w:hAnsi="黑体" w:eastAsia="方正仿宋简体"/>
                <w:b/>
                <w:sz w:val="24"/>
                <w:szCs w:val="24"/>
                <w:lang w:val="zh-CN"/>
              </w:rPr>
              <w:t>燃</w:t>
            </w:r>
            <w:r>
              <w:rPr>
                <w:rFonts w:hint="eastAsia" w:ascii="方正仿宋简体" w:hAnsi="宋体" w:eastAsia="方正仿宋简体"/>
                <w:b/>
                <w:sz w:val="24"/>
                <w:szCs w:val="24"/>
                <w:lang w:val="zh-CN"/>
              </w:rPr>
              <w:t>机工</w:t>
            </w:r>
            <w:r>
              <w:rPr>
                <w:rFonts w:hint="eastAsia" w:ascii="方正仿宋简体" w:hAnsi="黑体" w:eastAsia="方正仿宋简体"/>
                <w:b/>
                <w:sz w:val="24"/>
                <w:szCs w:val="24"/>
                <w:lang w:val="zh-CN"/>
              </w:rPr>
              <w:t>程</w:t>
            </w:r>
          </w:p>
        </w:tc>
        <w:tc>
          <w:tcPr>
            <w:tcW w:w="6654" w:type="dxa"/>
            <w:shd w:val="clear" w:color="auto" w:fill="FFFFFF" w:themeFill="background1"/>
            <w:vAlign w:val="center"/>
          </w:tcPr>
          <w:p>
            <w:pPr>
              <w:autoSpaceDE w:val="0"/>
              <w:autoSpaceDN w:val="0"/>
              <w:adjustRightInd w:val="0"/>
              <w:spacing w:line="340" w:lineRule="exact"/>
              <w:rPr>
                <w:rFonts w:ascii="方正仿宋简体" w:hAnsi="宋体" w:eastAsia="方正仿宋简体"/>
                <w:b/>
                <w:sz w:val="24"/>
                <w:szCs w:val="24"/>
                <w:lang w:val="zh-CN"/>
              </w:rPr>
            </w:pPr>
            <w:r>
              <w:rPr>
                <w:rFonts w:hint="eastAsia" w:ascii="方正仿宋简体" w:hAnsi="宋体" w:eastAsia="方正仿宋简体"/>
                <w:b/>
                <w:sz w:val="24"/>
                <w:szCs w:val="24"/>
                <w:lang w:val="zh-CN"/>
              </w:rPr>
              <w:t>探索推进华能嘉祥、华能曲阜等天然气热电联产项目。</w:t>
            </w:r>
          </w:p>
        </w:tc>
      </w:tr>
      <w:tr>
        <w:tblPrEx>
          <w:tblBorders>
            <w:top w:val="single" w:color="000000" w:sz="4" w:space="0"/>
            <w:left w:val="single" w:color="000000" w:sz="4" w:space="0"/>
            <w:bottom w:val="single" w:color="000000" w:sz="4" w:space="0"/>
            <w:right w:val="single" w:color="000000"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981" w:hRule="atLeast"/>
          <w:jc w:val="center"/>
        </w:trPr>
        <w:tc>
          <w:tcPr>
            <w:tcW w:w="1982" w:type="dxa"/>
            <w:shd w:val="clear" w:color="auto" w:fill="FFFFFF" w:themeFill="background1"/>
            <w:vAlign w:val="center"/>
          </w:tcPr>
          <w:p>
            <w:pPr>
              <w:autoSpaceDE w:val="0"/>
              <w:autoSpaceDN w:val="0"/>
              <w:adjustRightInd w:val="0"/>
              <w:spacing w:line="340" w:lineRule="exact"/>
              <w:jc w:val="center"/>
              <w:rPr>
                <w:rFonts w:ascii="方正仿宋简体" w:hAnsi="黑体" w:eastAsia="方正仿宋简体"/>
                <w:b/>
                <w:sz w:val="24"/>
                <w:szCs w:val="24"/>
                <w:lang w:val="zh-CN"/>
              </w:rPr>
            </w:pPr>
            <w:r>
              <w:rPr>
                <w:rFonts w:hint="eastAsia" w:ascii="方正仿宋简体" w:hAnsi="宋体" w:eastAsia="方正仿宋简体"/>
                <w:b/>
                <w:sz w:val="24"/>
                <w:szCs w:val="24"/>
                <w:lang w:val="zh-CN"/>
              </w:rPr>
              <w:t>分布式能源项目</w:t>
            </w:r>
          </w:p>
        </w:tc>
        <w:tc>
          <w:tcPr>
            <w:tcW w:w="6654" w:type="dxa"/>
            <w:shd w:val="clear" w:color="auto" w:fill="FFFFFF" w:themeFill="background1"/>
            <w:vAlign w:val="center"/>
          </w:tcPr>
          <w:p>
            <w:pPr>
              <w:autoSpaceDE w:val="0"/>
              <w:autoSpaceDN w:val="0"/>
              <w:adjustRightInd w:val="0"/>
              <w:spacing w:line="340" w:lineRule="exact"/>
              <w:rPr>
                <w:rFonts w:ascii="方正仿宋简体" w:hAnsi="宋体" w:eastAsia="方正仿宋简体"/>
                <w:b/>
                <w:sz w:val="24"/>
                <w:szCs w:val="24"/>
                <w:highlight w:val="red"/>
                <w:lang w:val="zh-CN"/>
              </w:rPr>
            </w:pPr>
            <w:r>
              <w:rPr>
                <w:rFonts w:hint="eastAsia" w:ascii="方正仿宋简体" w:hAnsi="宋体" w:eastAsia="方正仿宋简体"/>
                <w:b/>
                <w:sz w:val="24"/>
                <w:szCs w:val="24"/>
                <w:lang w:val="zh-CN"/>
              </w:rPr>
              <w:t>研究推动在鱼台县、兖州区、汶上县、济宁高新区、金乡县、嘉祥县、曲阜市、梁山县、任城区等地开发建设天然气分布式能源项目。</w:t>
            </w:r>
          </w:p>
        </w:tc>
      </w:tr>
    </w:tbl>
    <w:p>
      <w:pPr>
        <w:spacing w:line="590" w:lineRule="exact"/>
        <w:ind w:firstLine="624" w:firstLineChars="200"/>
        <w:rPr>
          <w:rFonts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（二）加快坚强智能电网建设</w:t>
      </w:r>
    </w:p>
    <w:p>
      <w:pPr>
        <w:spacing w:line="590" w:lineRule="exact"/>
        <w:ind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1. 大力优化主网架结构。持续优化500千伏主网架，新建500千伏麟祥（济宁西）站、梁山站，扩建500千伏汶上站、儒林站，新建1000千伏泉城—微山湖、500千伏金多—曹州特高压、梁山—泰安西换流站境内线路；到2025年，济宁电网新增500千伏变电容量4000兆伏安，新增500千伏线路长度约122公里，500千伏电网更加坚强。实施220千伏电网“差异化”建设，规划园区、经济开发区等经济快速增长地区，坚持电网适度超前原则，提前布点；进一步改善220千伏电网结构，解决电网现有薄弱环节、安全隐患，提高供电能力及可靠性；大力实施济宁北牵引站等电铁配套相关工程，满足电气化铁路建设需求；到2025年，新建、扩建220千伏变电站21座，新增220千伏变电容量约5340兆伏安，新建、改造220千伏线路长度约908公里，着力打造“东西开环、两片区、多支撑”的坚强智能化网架结构。</w:t>
      </w:r>
    </w:p>
    <w:p>
      <w:pPr>
        <w:spacing w:line="590" w:lineRule="exact"/>
        <w:ind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2. 进一步完善配电网。继续推进解决110千伏、35千伏部分网架薄弱以及单进线单主变问题，满足负荷较快增长的供电需求；到2025年，新建、扩建110千伏变电站44座，改造9座，新增变电容量约4673兆伏安，新建110千伏线路长度约1285公里；新建35千伏线路长度约69公里。</w:t>
      </w:r>
    </w:p>
    <w:p>
      <w:pPr>
        <w:spacing w:line="590" w:lineRule="exact"/>
        <w:ind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3. 加强新型农村电网建设。加快建设与现代化农业、美丽宜居乡村、农村产业融合相适应的新型农村电网，逐步形成10千伏电网架空多分段适度联络结构，全面满足“三农”发展和小康社会需要；积极构建“功能区、供电网格、供电单元”三级网络，打破乡镇行政边界束缚，对全市村镇供电区域进行合理的供区网格划分。到2025年，新建10千伏配变6324台，改造789台，新增配变容量约2012兆伏安，新建10千伏线路约4509公里，改造10千伏线路约1225公里。</w:t>
      </w:r>
    </w:p>
    <w:p>
      <w:pPr>
        <w:spacing w:line="590" w:lineRule="exact"/>
        <w:ind w:firstLine="624" w:firstLineChars="200"/>
        <w:rPr>
          <w:rFonts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（三）健全完善充电基础设施体系</w:t>
      </w:r>
    </w:p>
    <w:p>
      <w:pPr>
        <w:spacing w:line="590" w:lineRule="exact"/>
        <w:ind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按照重点领域先行的原则，结合发展实际和特点，充分利用有利条件，合理布局规划建设电动汽车充电基础设施。到2025年，全市电动汽车充电基础设施保有量达到1.6万个，建成充电服务示范居民小区20个左右。</w:t>
      </w:r>
    </w:p>
    <w:p>
      <w:pPr>
        <w:numPr>
          <w:ilvl w:val="0"/>
          <w:numId w:val="2"/>
        </w:numPr>
        <w:spacing w:line="590" w:lineRule="exact"/>
        <w:ind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加快推动主城区充电基础设施建设。在主城区，以居民区、办公场所、大型商场等停车场为重点规划建设充电桩；新建住宅小区应100%统一将充电基础设施供电线路敷设至专用固定停车位，或预留扩建敷设条件，与主体建筑同步设计、施工、验收；已建住宅小区应配建一定比例的公共充电基础设施，鼓励支持业主自建。按照直流快充为主的原则，在办公场所、大型商场等内部停车场合理配建充电桩，满足居民出行、工作中的补电需求。在城市公共停车场配建大功率直流桩，满足社会车辆快速补电需求；新建各类公共停车场，按15%的车位比例配建充电桩。</w:t>
      </w:r>
    </w:p>
    <w:p>
      <w:pPr>
        <w:numPr>
          <w:ilvl w:val="0"/>
          <w:numId w:val="2"/>
        </w:numPr>
        <w:spacing w:line="590" w:lineRule="exact"/>
        <w:ind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加速工企、园区充电基础设施建设。发挥工业资源优势，利用大型工业企业、新建工业园区、物流园区电网设施齐全、电压容量充足、停车场资源丰富等有利条件，按照交流慢充桩与直流快充桩相结合的原则配建电动汽车停车位和充电基础设施。</w:t>
      </w:r>
    </w:p>
    <w:p>
      <w:pPr>
        <w:numPr>
          <w:ilvl w:val="0"/>
          <w:numId w:val="2"/>
        </w:numPr>
        <w:spacing w:line="590" w:lineRule="exact"/>
        <w:ind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完善公共服务车辆配套充电基础设施建设。通勤车辆、环卫车辆、公交车等定点定线运行的电动汽车，优先考虑在停车场配建充电桩，在道路沿途有条件的区域建设快充桩，满足临时补电需求；物流车辆、出租车、巡逻车等非定点定线运行的电动汽车，主要依靠城市公共充电设施满足充电需求，同时利用内部停车场站资源，配建部分慢充桩作为补充。</w:t>
      </w:r>
    </w:p>
    <w:p>
      <w:pPr>
        <w:numPr>
          <w:ilvl w:val="0"/>
          <w:numId w:val="2"/>
        </w:numPr>
        <w:spacing w:line="590" w:lineRule="exact"/>
        <w:ind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加快旅游景区充电桩建设。按照直流快充桩为主、交流慢充桩为辅的原则，以曲阜三孔、汶上宝相寺、太白湖景区等景区公共停车场为重点，加快布局景区充电基础设施建设，创造便利的充电条件。4A级以上旅游景区设立电动汽车专用充电区域，充电桩占车位的比例不低于10%。</w:t>
      </w:r>
    </w:p>
    <w:p>
      <w:pPr>
        <w:spacing w:line="590" w:lineRule="exact"/>
        <w:ind w:firstLine="624" w:firstLineChars="200"/>
        <w:rPr>
          <w:rFonts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（四）提升电力系统灵活性</w:t>
      </w:r>
    </w:p>
    <w:p>
      <w:pPr>
        <w:spacing w:line="590" w:lineRule="exact"/>
        <w:ind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1. 增强发电机组灵活调节能力。坚持“一厂一策、一机一策”的原则，积极推动30万千瓦及以上煤电机组开展灵活性改造，加快开展灵活调峰机组示范，挖掘煤电调峰潜力；鼓励纯凝机组实施灵活性改造，稳燃工况最小技术出力达到30%；鼓励热电联产机组通过切缸、配套热水蓄热罐和各类蓄热锅炉等技术实施“热电解耦”改造，稳燃工况最小技术出力达到40%；进一步提高机组宽负荷运行效率，提升宽负荷运行经济性。“十四五”期间，全面完成直调公用煤电机组灵活性改造，有条件的可加大深调改造力度。</w:t>
      </w:r>
    </w:p>
    <w:p>
      <w:pPr>
        <w:spacing w:line="590" w:lineRule="exact"/>
        <w:ind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2. 大力推动响应能力提升。通过市场化手段激发需求侧响应积极性，引导电力需求侧资源自主响应调节，减少能源基础设施建设需求，提高能源系统经济性和运行效率；鼓励更多售电公司（负荷聚合商）、可调节负荷客户纳入市场主体范围，不断提高客户侧负荷响应能力，形成占年度最大用电负荷3%的需求侧机动调峰能力；积极推进电动汽车设施与智能电网间的能量和信息双向互动，提升需求响应水平。</w:t>
      </w:r>
    </w:p>
    <w:p>
      <w:pPr>
        <w:spacing w:line="590" w:lineRule="exact"/>
        <w:ind w:firstLine="624" w:firstLineChars="200"/>
        <w:rPr>
          <w:rFonts w:ascii="方正黑体简体" w:hAnsi="文星仿宋" w:eastAsia="方正黑体简体" w:cs="方正仿宋简体"/>
          <w:b/>
          <w:color w:val="000000"/>
          <w:sz w:val="32"/>
          <w:szCs w:val="32"/>
        </w:rPr>
      </w:pPr>
      <w:r>
        <w:rPr>
          <w:rFonts w:hint="eastAsia" w:ascii="方正黑体简体" w:hAnsi="文星仿宋" w:eastAsia="方正黑体简体" w:cs="方正仿宋简体"/>
          <w:b/>
          <w:color w:val="000000"/>
          <w:sz w:val="32"/>
          <w:szCs w:val="32"/>
        </w:rPr>
        <w:t>三、增强油气供应保障能力，打造现代油气输配体系</w:t>
      </w:r>
    </w:p>
    <w:p>
      <w:pPr>
        <w:spacing w:line="590" w:lineRule="exact"/>
        <w:ind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围绕完善管网输配系统建设，推动天然气管网互联互通，优化原油、成品油管道布局，健全石油、天然气产供储销体系，提升油气应急储备调峰能力，构建以国家油气通道为主干、省环网干线为支撑、城镇管网为补充的布局合理、外通内畅、安全高效的现代油气输配体系。</w:t>
      </w:r>
    </w:p>
    <w:p>
      <w:pPr>
        <w:spacing w:line="590" w:lineRule="exact"/>
        <w:ind w:firstLine="624" w:firstLineChars="200"/>
        <w:rPr>
          <w:rFonts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（一）健全油气管网输配系统</w:t>
      </w:r>
      <w:r>
        <w:rPr>
          <w:rFonts w:hint="eastAsia" w:ascii="方正楷体简体" w:hAnsi="文星仿宋" w:eastAsia="方正楷体简体" w:cs="方正仿宋简体"/>
          <w:b/>
          <w:color w:val="000000"/>
          <w:sz w:val="32"/>
          <w:szCs w:val="32"/>
        </w:rPr>
        <w:tab/>
      </w:r>
    </w:p>
    <w:p>
      <w:pPr>
        <w:spacing w:line="590" w:lineRule="exact"/>
        <w:ind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1. 构建“安全可靠、布局合理”的输油网络。加快推进日濮洛原油管线济宁段建成投用，以日东线等在役管道为重点，推进无人机、高点视频监控和伴行光缆等智能监测技术应用，提升智能化水平；推动鲁宁线等老旧管道改线前期工作，积极推进中石化济宁油库搬迁工程，完善配套输油管网建设，科学规划布局加油站点；鼓励社会资本参与油品储备设施建设，确保区域油品供应稳定安全。到2025年，石油长输管道达到600公里，油品供应能力达到100万吨/年左右。</w:t>
      </w:r>
    </w:p>
    <w:p>
      <w:pPr>
        <w:spacing w:line="620" w:lineRule="exact"/>
        <w:ind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2. 打造“多源衔接、层级清晰”的输气网络。大力推动中俄东线、山东天然气环网南干线、西干线济宁段及中俄东线济宁支线管网建设，积极做好南干线枣庄支线、鲁豫皖联络线济宁段建设工作，开创国家、省、市三级管网在济宁互联互通新局面。对中俄东线、南干线、西干线济宁段等新建管道，高标准推进智能化建设，推动实现全数字化移交、全智能化运营、全生命周期管理。加强与上游供气企业合作，吸引多元投资，充分利用现有管输气源，有序建设高压、次高压输配管网，补齐天然气互联互通和重点地区输送能力短板，完善天然气管网输配体系。到2025年，“四横四纵、多联通”的输气格局基本形成，天然气长输管道达到600公里以上，年供应能力超过14亿立方米。</w:t>
      </w:r>
    </w:p>
    <w:tbl>
      <w:tblPr>
        <w:tblStyle w:val="5"/>
        <w:tblW w:w="8649" w:type="dxa"/>
        <w:jc w:val="center"/>
        <w:tblBorders>
          <w:top w:val="single" w:color="000000" w:sz="4" w:space="0"/>
          <w:left w:val="single" w:color="000000" w:sz="4" w:space="0"/>
          <w:bottom w:val="single" w:color="000000" w:sz="4" w:space="0"/>
          <w:right w:val="single" w:color="000000" w:sz="4" w:space="0"/>
          <w:insideH w:val="single" w:color="auto" w:sz="4" w:space="0"/>
          <w:insideV w:val="single" w:color="auto" w:sz="4" w:space="0"/>
        </w:tblBorders>
        <w:shd w:val="clear" w:color="auto" w:fill="FFFFFF" w:themeFill="background1"/>
        <w:tblLayout w:type="fixed"/>
        <w:tblCellMar>
          <w:top w:w="0" w:type="dxa"/>
          <w:left w:w="108" w:type="dxa"/>
          <w:bottom w:w="0" w:type="dxa"/>
          <w:right w:w="108" w:type="dxa"/>
        </w:tblCellMar>
      </w:tblPr>
      <w:tblGrid>
        <w:gridCol w:w="1721"/>
        <w:gridCol w:w="6928"/>
      </w:tblGrid>
      <w:tr>
        <w:tblPrEx>
          <w:tblBorders>
            <w:top w:val="single" w:color="000000" w:sz="4" w:space="0"/>
            <w:left w:val="single" w:color="000000" w:sz="4" w:space="0"/>
            <w:bottom w:val="single" w:color="000000" w:sz="4" w:space="0"/>
            <w:right w:val="single" w:color="000000"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8649" w:type="dxa"/>
            <w:gridSpan w:val="2"/>
            <w:shd w:val="clear" w:color="auto" w:fill="FFFFFF" w:themeFill="background1"/>
            <w:vAlign w:val="center"/>
          </w:tcPr>
          <w:p>
            <w:pPr>
              <w:adjustRightInd w:val="0"/>
              <w:spacing w:line="320" w:lineRule="exact"/>
              <w:jc w:val="center"/>
              <w:textAlignment w:val="center"/>
              <w:rPr>
                <w:rFonts w:ascii="方正黑体简体" w:hAnsi="黑体" w:eastAsia="方正黑体简体"/>
                <w:b/>
                <w:bCs/>
                <w:sz w:val="28"/>
                <w:szCs w:val="28"/>
              </w:rPr>
            </w:pPr>
            <w:r>
              <w:rPr>
                <w:rFonts w:hint="eastAsia" w:ascii="方正黑体简体" w:hAnsi="黑体" w:eastAsia="方正黑体简体" w:cs="黑体"/>
                <w:b/>
                <w:bCs/>
                <w:sz w:val="28"/>
                <w:szCs w:val="28"/>
              </w:rPr>
              <w:t>专栏7 “油气长输管道工程”重点建设项目</w:t>
            </w:r>
          </w:p>
        </w:tc>
      </w:tr>
      <w:tr>
        <w:tblPrEx>
          <w:tblBorders>
            <w:top w:val="single" w:color="000000" w:sz="4" w:space="0"/>
            <w:left w:val="single" w:color="000000" w:sz="4" w:space="0"/>
            <w:bottom w:val="single" w:color="000000" w:sz="4" w:space="0"/>
            <w:right w:val="single" w:color="000000" w:sz="4" w:space="0"/>
            <w:insideH w:val="single" w:color="auto" w:sz="4" w:space="0"/>
            <w:insideV w:val="single" w:color="auto" w:sz="4" w:space="0"/>
          </w:tblBorders>
          <w:shd w:val="clear" w:color="auto" w:fill="FFFFFF" w:themeFill="background1"/>
        </w:tblPrEx>
        <w:trPr>
          <w:trHeight w:val="608" w:hRule="atLeast"/>
          <w:jc w:val="center"/>
        </w:trPr>
        <w:tc>
          <w:tcPr>
            <w:tcW w:w="1721" w:type="dxa"/>
            <w:shd w:val="clear" w:color="auto" w:fill="FFFFFF" w:themeFill="background1"/>
            <w:vAlign w:val="center"/>
          </w:tcPr>
          <w:p>
            <w:pPr>
              <w:autoSpaceDE w:val="0"/>
              <w:autoSpaceDN w:val="0"/>
              <w:adjustRightInd w:val="0"/>
              <w:spacing w:line="320" w:lineRule="exact"/>
              <w:jc w:val="center"/>
              <w:rPr>
                <w:rFonts w:ascii="方正仿宋简体" w:hAnsi="黑体" w:eastAsia="方正仿宋简体"/>
                <w:b/>
                <w:sz w:val="24"/>
                <w:szCs w:val="24"/>
                <w:lang w:val="zh-CN"/>
              </w:rPr>
            </w:pPr>
            <w:r>
              <w:rPr>
                <w:rFonts w:hint="eastAsia" w:ascii="方正仿宋简体" w:hAnsi="宋体" w:eastAsia="方正仿宋简体"/>
                <w:b/>
                <w:sz w:val="24"/>
                <w:szCs w:val="24"/>
                <w:lang w:val="zh-CN"/>
              </w:rPr>
              <w:t>原油管道</w:t>
            </w:r>
          </w:p>
        </w:tc>
        <w:tc>
          <w:tcPr>
            <w:tcW w:w="6928" w:type="dxa"/>
            <w:shd w:val="clear" w:color="auto" w:fill="FFFFFF" w:themeFill="background1"/>
            <w:vAlign w:val="center"/>
          </w:tcPr>
          <w:p>
            <w:pPr>
              <w:adjustRightInd w:val="0"/>
              <w:spacing w:line="320" w:lineRule="exact"/>
              <w:textAlignment w:val="center"/>
              <w:rPr>
                <w:rFonts w:ascii="方正仿宋简体" w:hAnsi="宋体" w:eastAsia="方正仿宋简体"/>
                <w:b/>
                <w:sz w:val="24"/>
                <w:szCs w:val="24"/>
                <w:lang w:val="zh-CN"/>
              </w:rPr>
            </w:pPr>
            <w:r>
              <w:rPr>
                <w:rFonts w:hint="eastAsia" w:ascii="方正仿宋简体" w:hAnsi="宋体" w:eastAsia="方正仿宋简体"/>
                <w:b/>
                <w:sz w:val="24"/>
                <w:szCs w:val="24"/>
                <w:lang w:val="zh-CN"/>
              </w:rPr>
              <w:t>建成日濮洛原油管道工程济宁段。</w:t>
            </w:r>
          </w:p>
        </w:tc>
      </w:tr>
      <w:tr>
        <w:tblPrEx>
          <w:tblBorders>
            <w:top w:val="single" w:color="000000" w:sz="4" w:space="0"/>
            <w:left w:val="single" w:color="000000" w:sz="4" w:space="0"/>
            <w:bottom w:val="single" w:color="000000" w:sz="4" w:space="0"/>
            <w:right w:val="single" w:color="000000"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831" w:hRule="atLeast"/>
          <w:jc w:val="center"/>
        </w:trPr>
        <w:tc>
          <w:tcPr>
            <w:tcW w:w="1721" w:type="dxa"/>
            <w:shd w:val="clear" w:color="auto" w:fill="FFFFFF" w:themeFill="background1"/>
            <w:vAlign w:val="center"/>
          </w:tcPr>
          <w:p>
            <w:pPr>
              <w:autoSpaceDE w:val="0"/>
              <w:autoSpaceDN w:val="0"/>
              <w:adjustRightInd w:val="0"/>
              <w:spacing w:line="320" w:lineRule="exact"/>
              <w:jc w:val="center"/>
              <w:rPr>
                <w:rFonts w:ascii="方正仿宋简体" w:hAnsi="黑体" w:eastAsia="方正仿宋简体"/>
                <w:b/>
                <w:sz w:val="24"/>
                <w:szCs w:val="24"/>
                <w:lang w:val="zh-CN"/>
              </w:rPr>
            </w:pPr>
            <w:r>
              <w:rPr>
                <w:rFonts w:hint="eastAsia" w:ascii="方正仿宋简体" w:hAnsi="宋体" w:eastAsia="方正仿宋简体"/>
                <w:b/>
                <w:sz w:val="24"/>
                <w:szCs w:val="24"/>
                <w:lang w:val="zh-CN"/>
              </w:rPr>
              <w:t>天然气干线</w:t>
            </w:r>
          </w:p>
        </w:tc>
        <w:tc>
          <w:tcPr>
            <w:tcW w:w="6928" w:type="dxa"/>
            <w:shd w:val="clear" w:color="auto" w:fill="FFFFFF" w:themeFill="background1"/>
            <w:vAlign w:val="center"/>
          </w:tcPr>
          <w:p>
            <w:pPr>
              <w:autoSpaceDE w:val="0"/>
              <w:autoSpaceDN w:val="0"/>
              <w:adjustRightInd w:val="0"/>
              <w:spacing w:line="320" w:lineRule="exact"/>
              <w:rPr>
                <w:rFonts w:ascii="方正仿宋简体" w:hAnsi="宋体" w:eastAsia="方正仿宋简体"/>
                <w:b/>
                <w:sz w:val="24"/>
                <w:szCs w:val="24"/>
                <w:lang w:val="zh-CN"/>
              </w:rPr>
            </w:pPr>
            <w:r>
              <w:rPr>
                <w:rFonts w:hint="eastAsia" w:ascii="方正仿宋简体" w:hAnsi="宋体" w:eastAsia="方正仿宋简体"/>
                <w:b/>
                <w:sz w:val="24"/>
                <w:szCs w:val="24"/>
                <w:lang w:val="zh-CN"/>
              </w:rPr>
              <w:t>建成中俄东线济宁段天然气管道工程、山东天然气环网南干线济宁段管道工程、山东天然气环网西干线济宁段管道工程。</w:t>
            </w:r>
          </w:p>
        </w:tc>
      </w:tr>
      <w:tr>
        <w:tblPrEx>
          <w:tblBorders>
            <w:top w:val="single" w:color="000000" w:sz="4" w:space="0"/>
            <w:left w:val="single" w:color="000000" w:sz="4" w:space="0"/>
            <w:bottom w:val="single" w:color="000000" w:sz="4" w:space="0"/>
            <w:right w:val="single" w:color="000000" w:sz="4" w:space="0"/>
            <w:insideH w:val="single" w:color="auto" w:sz="4" w:space="0"/>
            <w:insideV w:val="single" w:color="auto" w:sz="4" w:space="0"/>
          </w:tblBorders>
          <w:shd w:val="clear" w:color="auto" w:fill="FFFFFF" w:themeFill="background1"/>
        </w:tblPrEx>
        <w:trPr>
          <w:trHeight w:val="831" w:hRule="atLeast"/>
          <w:jc w:val="center"/>
        </w:trPr>
        <w:tc>
          <w:tcPr>
            <w:tcW w:w="1721" w:type="dxa"/>
            <w:shd w:val="clear" w:color="auto" w:fill="FFFFFF" w:themeFill="background1"/>
            <w:vAlign w:val="center"/>
          </w:tcPr>
          <w:p>
            <w:pPr>
              <w:autoSpaceDE w:val="0"/>
              <w:autoSpaceDN w:val="0"/>
              <w:adjustRightInd w:val="0"/>
              <w:spacing w:line="320" w:lineRule="exact"/>
              <w:jc w:val="center"/>
              <w:rPr>
                <w:rFonts w:ascii="方正仿宋简体" w:hAnsi="宋体" w:eastAsia="方正仿宋简体"/>
                <w:b/>
                <w:sz w:val="24"/>
                <w:szCs w:val="24"/>
                <w:lang w:val="zh-CN"/>
              </w:rPr>
            </w:pPr>
            <w:r>
              <w:rPr>
                <w:rFonts w:hint="eastAsia" w:ascii="方正仿宋简体" w:hAnsi="宋体" w:eastAsia="方正仿宋简体"/>
                <w:b/>
                <w:sz w:val="24"/>
                <w:szCs w:val="24"/>
                <w:lang w:val="zh-CN"/>
              </w:rPr>
              <w:t>天然气支线</w:t>
            </w:r>
          </w:p>
        </w:tc>
        <w:tc>
          <w:tcPr>
            <w:tcW w:w="6928" w:type="dxa"/>
            <w:shd w:val="clear" w:color="auto" w:fill="FFFFFF" w:themeFill="background1"/>
            <w:vAlign w:val="center"/>
          </w:tcPr>
          <w:p>
            <w:pPr>
              <w:autoSpaceDE w:val="0"/>
              <w:autoSpaceDN w:val="0"/>
              <w:adjustRightInd w:val="0"/>
              <w:spacing w:line="320" w:lineRule="exact"/>
              <w:rPr>
                <w:rFonts w:ascii="方正仿宋简体" w:hAnsi="宋体" w:eastAsia="方正仿宋简体"/>
                <w:b/>
                <w:sz w:val="24"/>
                <w:szCs w:val="24"/>
                <w:lang w:val="zh-CN"/>
              </w:rPr>
            </w:pPr>
            <w:r>
              <w:rPr>
                <w:rFonts w:hint="eastAsia" w:ascii="方正仿宋简体" w:hAnsi="宋体" w:eastAsia="方正仿宋简体"/>
                <w:b/>
                <w:sz w:val="24"/>
                <w:szCs w:val="24"/>
                <w:lang w:val="zh-CN"/>
              </w:rPr>
              <w:t>建成中俄东线济宁支线天然气管道工程。</w:t>
            </w:r>
          </w:p>
          <w:p>
            <w:pPr>
              <w:autoSpaceDE w:val="0"/>
              <w:autoSpaceDN w:val="0"/>
              <w:adjustRightInd w:val="0"/>
              <w:spacing w:line="320" w:lineRule="exact"/>
              <w:rPr>
                <w:rFonts w:ascii="方正仿宋简体" w:hAnsi="宋体" w:eastAsia="方正仿宋简体"/>
                <w:b/>
                <w:sz w:val="24"/>
                <w:szCs w:val="24"/>
                <w:lang w:val="zh-CN"/>
              </w:rPr>
            </w:pPr>
            <w:r>
              <w:rPr>
                <w:rFonts w:hint="eastAsia" w:ascii="方正仿宋简体" w:hAnsi="宋体" w:eastAsia="方正仿宋简体"/>
                <w:b/>
                <w:sz w:val="24"/>
                <w:szCs w:val="24"/>
                <w:lang w:val="zh-CN"/>
              </w:rPr>
              <w:t>开工山东天然气环网南干线枣庄支线济宁段管道工程。</w:t>
            </w:r>
          </w:p>
        </w:tc>
      </w:tr>
      <w:tr>
        <w:tblPrEx>
          <w:tblBorders>
            <w:top w:val="single" w:color="000000" w:sz="4" w:space="0"/>
            <w:left w:val="single" w:color="000000" w:sz="4" w:space="0"/>
            <w:bottom w:val="single" w:color="000000" w:sz="4" w:space="0"/>
            <w:right w:val="single" w:color="000000"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556" w:hRule="atLeast"/>
          <w:jc w:val="center"/>
        </w:trPr>
        <w:tc>
          <w:tcPr>
            <w:tcW w:w="1721" w:type="dxa"/>
            <w:shd w:val="clear" w:color="auto" w:fill="FFFFFF" w:themeFill="background1"/>
            <w:vAlign w:val="center"/>
          </w:tcPr>
          <w:p>
            <w:pPr>
              <w:autoSpaceDE w:val="0"/>
              <w:autoSpaceDN w:val="0"/>
              <w:adjustRightInd w:val="0"/>
              <w:spacing w:line="320" w:lineRule="exact"/>
              <w:jc w:val="center"/>
              <w:rPr>
                <w:rFonts w:ascii="方正仿宋简体" w:hAnsi="宋体" w:eastAsia="方正仿宋简体"/>
                <w:b/>
                <w:sz w:val="24"/>
                <w:szCs w:val="24"/>
                <w:lang w:val="zh-CN"/>
              </w:rPr>
            </w:pPr>
            <w:r>
              <w:rPr>
                <w:rFonts w:hint="eastAsia" w:ascii="方正仿宋简体" w:hAnsi="宋体" w:eastAsia="方正仿宋简体"/>
                <w:b/>
                <w:sz w:val="24"/>
                <w:szCs w:val="24"/>
                <w:lang w:val="zh-CN"/>
              </w:rPr>
              <w:t>联络线</w:t>
            </w:r>
          </w:p>
        </w:tc>
        <w:tc>
          <w:tcPr>
            <w:tcW w:w="6928" w:type="dxa"/>
            <w:shd w:val="clear" w:color="auto" w:fill="FFFFFF" w:themeFill="background1"/>
            <w:vAlign w:val="center"/>
          </w:tcPr>
          <w:p>
            <w:pPr>
              <w:autoSpaceDE w:val="0"/>
              <w:autoSpaceDN w:val="0"/>
              <w:adjustRightInd w:val="0"/>
              <w:spacing w:line="320" w:lineRule="exact"/>
              <w:rPr>
                <w:rFonts w:ascii="方正仿宋简体" w:hAnsi="宋体" w:eastAsia="方正仿宋简体"/>
                <w:b/>
                <w:sz w:val="24"/>
                <w:szCs w:val="24"/>
                <w:lang w:val="zh-CN"/>
              </w:rPr>
            </w:pPr>
            <w:r>
              <w:rPr>
                <w:rFonts w:hint="eastAsia" w:ascii="方正仿宋简体" w:hAnsi="宋体" w:eastAsia="方正仿宋简体"/>
                <w:b/>
                <w:sz w:val="24"/>
                <w:szCs w:val="24"/>
                <w:lang w:val="zh-CN"/>
              </w:rPr>
              <w:t>研究论证鲁豫皖联络线济宁段天然气管道工程。</w:t>
            </w:r>
          </w:p>
        </w:tc>
      </w:tr>
    </w:tbl>
    <w:p>
      <w:pPr>
        <w:spacing w:line="620" w:lineRule="exact"/>
        <w:ind w:firstLine="624"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（二）推动储气设施建设。</w:t>
      </w:r>
      <w:r>
        <w:rPr>
          <w:rFonts w:hint="eastAsia" w:ascii="方正仿宋简体" w:hAnsi="文星仿宋" w:eastAsia="方正仿宋简体" w:cs="方正仿宋简体"/>
          <w:b/>
          <w:color w:val="000000"/>
          <w:sz w:val="32"/>
          <w:szCs w:val="32"/>
        </w:rPr>
        <w:t>压实各主体储气责任，鼓励企业参与省统筹的储气设施建设，支持与上游供气企业合建储气设施，提高储气调峰能力。适时推动兖州LNG铁路物流园项目、济宁中石油昆仑能源有限公司盐穴储气库项目。</w:t>
      </w:r>
    </w:p>
    <w:p>
      <w:pPr>
        <w:spacing w:line="580" w:lineRule="exact"/>
        <w:ind w:firstLine="624"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（三）深化油气市场化改革。</w:t>
      </w:r>
      <w:r>
        <w:rPr>
          <w:rFonts w:hint="eastAsia" w:ascii="方正仿宋简体" w:hAnsi="文星仿宋" w:eastAsia="方正仿宋简体" w:cs="方正仿宋简体"/>
          <w:b/>
          <w:color w:val="000000"/>
          <w:sz w:val="32"/>
          <w:szCs w:val="32"/>
        </w:rPr>
        <w:t>依法依规推进市内油气管网、储气设施等油气基础设施公平开放，提升公平服务能力；充分发挥市场对资源配置的决定性作用，引导和鼓励社会资本参与油气基础设施建设和运营。推动形成上游油气资源多主体多渠道供应的市场格局，推进符合相关条件的天然气门站价格市场化形成。加快完善成品油、天然气市场监管工作机制。</w:t>
      </w:r>
    </w:p>
    <w:p>
      <w:pPr>
        <w:spacing w:line="600" w:lineRule="exact"/>
        <w:ind w:firstLine="624" w:firstLineChars="200"/>
        <w:rPr>
          <w:rFonts w:ascii="方正黑体简体" w:hAnsi="文星仿宋" w:eastAsia="方正黑体简体" w:cs="方正仿宋简体"/>
          <w:b/>
          <w:color w:val="000000"/>
          <w:sz w:val="32"/>
          <w:szCs w:val="32"/>
        </w:rPr>
      </w:pPr>
      <w:r>
        <w:rPr>
          <w:rFonts w:hint="eastAsia" w:ascii="方正黑体简体" w:hAnsi="文星仿宋" w:eastAsia="方正黑体简体" w:cs="方正仿宋简体"/>
          <w:b/>
          <w:color w:val="000000"/>
          <w:sz w:val="32"/>
          <w:szCs w:val="32"/>
        </w:rPr>
        <w:t>四、增加可再生能源利用规模，创建多元化示范基地</w:t>
      </w:r>
    </w:p>
    <w:p>
      <w:pPr>
        <w:spacing w:line="620" w:lineRule="exact"/>
        <w:ind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以太阳能、风能、生物质能等可再生能源开发利用为重点，结合乡村振兴战略，立足我市产业发展，以可再生能源+产业融合模式为方向，打造可再生能源多元化利用示范基地。到2025年，建成、在建可再生能源发电装机总量达到800万千瓦左右。</w:t>
      </w:r>
    </w:p>
    <w:p>
      <w:pPr>
        <w:spacing w:line="620" w:lineRule="exact"/>
        <w:ind w:firstLine="624" w:firstLineChars="200"/>
        <w:rPr>
          <w:rFonts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（一）提质升级发展“光伏+”工程</w:t>
      </w:r>
    </w:p>
    <w:p>
      <w:pPr>
        <w:spacing w:line="620" w:lineRule="exact"/>
        <w:ind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发挥国家级基地引领效应，以创新引领推动新技术、新模式、新业态发展，促进太阳能光伏提质升级，大力实施“光伏+”工程。到2025年，全市建成、在建光伏发电装机总量达到700万千瓦左右。</w:t>
      </w:r>
    </w:p>
    <w:p>
      <w:pPr>
        <w:spacing w:line="620" w:lineRule="exact"/>
        <w:ind w:firstLine="624" w:firstLineChars="200"/>
        <w:rPr>
          <w:rFonts w:ascii="方正仿宋简体" w:hAnsi="文星仿宋" w:eastAsia="方正仿宋简体" w:cs="方正仿宋简体"/>
          <w:b/>
          <w:color w:val="000000"/>
          <w:spacing w:val="-4"/>
          <w:sz w:val="32"/>
          <w:szCs w:val="32"/>
        </w:rPr>
      </w:pPr>
      <w:r>
        <w:rPr>
          <w:rFonts w:hint="eastAsia" w:ascii="方正仿宋简体" w:hAnsi="文星仿宋" w:eastAsia="方正仿宋简体" w:cs="方正仿宋简体"/>
          <w:b/>
          <w:color w:val="000000"/>
          <w:sz w:val="32"/>
          <w:szCs w:val="32"/>
        </w:rPr>
        <w:t>——集中式光伏。</w:t>
      </w:r>
      <w:r>
        <w:rPr>
          <w:rFonts w:hint="eastAsia" w:ascii="方正仿宋简体" w:hAnsi="文星仿宋" w:eastAsia="方正仿宋简体" w:cs="方正仿宋简体"/>
          <w:b/>
          <w:color w:val="000000"/>
          <w:spacing w:val="-4"/>
          <w:sz w:val="32"/>
          <w:szCs w:val="32"/>
        </w:rPr>
        <w:t>重点深耕“光伏+塌陷地治理”基地。聚焦光伏和生态修复融合发展，重点推进邹城市、微山县、鱼台县、曲阜市和嘉祥县等采煤沉陷区结合农业、渔业综合治理工程建设光伏电站，大力推动济宁市国家级采煤沉陷区光伏发电基地二期建设，鼓励新增塌陷地光伏+同步治理模式。积极推动“光伏+未利用地”融合发展模式。充分挖掘济宁市行政区域内未利用土地资源，结合生态修复、乡村振兴，采用“光伏+”多产业融合发展模式，开发一批集中式光伏项目。积极发展“光伏+工业用地”集中式发电。支持能源企业利用自有工业场地、园区，积极发展集中式光伏。</w:t>
      </w:r>
    </w:p>
    <w:p>
      <w:pPr>
        <w:spacing w:line="630" w:lineRule="exact"/>
        <w:ind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分布式光伏。大力支持“光伏+屋顶”分布式发电。依托各县（市、区）开发区和各类工业园区，合理利用工业厂房、商业企业、公共建筑、居民住宅等屋顶资源，积极发展分布式光伏，促进光伏发电就地生产、就地消纳；以嘉祥、鱼台、梁山、曲阜和邹城等县（市、区）为重点，进行整县式分布式光伏开发建设；在具备实施光伏条件的乡村地区，大力推广光伏工程带动乡村振兴模式；优先发展“自发自用”分布式光伏。</w:t>
      </w:r>
    </w:p>
    <w:tbl>
      <w:tblPr>
        <w:tblStyle w:val="5"/>
        <w:tblW w:w="8785" w:type="dxa"/>
        <w:jc w:val="center"/>
        <w:tblBorders>
          <w:top w:val="single" w:color="000000" w:sz="4" w:space="0"/>
          <w:left w:val="single" w:color="000000" w:sz="4" w:space="0"/>
          <w:bottom w:val="single" w:color="000000" w:sz="4" w:space="0"/>
          <w:right w:val="single" w:color="000000" w:sz="4" w:space="0"/>
          <w:insideH w:val="single" w:color="auto" w:sz="4" w:space="0"/>
          <w:insideV w:val="single" w:color="auto" w:sz="4" w:space="0"/>
        </w:tblBorders>
        <w:shd w:val="clear" w:color="auto" w:fill="FFFFFF" w:themeFill="background1"/>
        <w:tblLayout w:type="fixed"/>
        <w:tblCellMar>
          <w:top w:w="0" w:type="dxa"/>
          <w:left w:w="108" w:type="dxa"/>
          <w:bottom w:w="0" w:type="dxa"/>
          <w:right w:w="108" w:type="dxa"/>
        </w:tblCellMar>
      </w:tblPr>
      <w:tblGrid>
        <w:gridCol w:w="2008"/>
        <w:gridCol w:w="6777"/>
      </w:tblGrid>
      <w:tr>
        <w:tblPrEx>
          <w:tblBorders>
            <w:top w:val="single" w:color="000000" w:sz="4" w:space="0"/>
            <w:left w:val="single" w:color="000000" w:sz="4" w:space="0"/>
            <w:bottom w:val="single" w:color="000000" w:sz="4" w:space="0"/>
            <w:right w:val="single" w:color="000000"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8785" w:type="dxa"/>
            <w:gridSpan w:val="2"/>
            <w:shd w:val="clear" w:color="auto" w:fill="FFFFFF" w:themeFill="background1"/>
            <w:vAlign w:val="center"/>
          </w:tcPr>
          <w:p>
            <w:pPr>
              <w:adjustRightInd w:val="0"/>
              <w:spacing w:line="360" w:lineRule="exact"/>
              <w:jc w:val="center"/>
              <w:textAlignment w:val="center"/>
              <w:rPr>
                <w:rFonts w:ascii="方正黑体简体" w:hAnsi="黑体" w:eastAsia="方正黑体简体"/>
                <w:b/>
                <w:bCs/>
                <w:sz w:val="28"/>
                <w:szCs w:val="28"/>
              </w:rPr>
            </w:pPr>
            <w:r>
              <w:rPr>
                <w:rFonts w:hint="eastAsia" w:ascii="方正黑体简体" w:hAnsi="黑体" w:eastAsia="方正黑体简体" w:cs="黑体"/>
                <w:b/>
                <w:bCs/>
                <w:sz w:val="28"/>
                <w:szCs w:val="28"/>
              </w:rPr>
              <w:t>专栏8 “‘光伏+’工程”重点建设内容</w:t>
            </w:r>
          </w:p>
        </w:tc>
      </w:tr>
      <w:tr>
        <w:tblPrEx>
          <w:tblBorders>
            <w:top w:val="single" w:color="000000" w:sz="4" w:space="0"/>
            <w:left w:val="single" w:color="000000" w:sz="4" w:space="0"/>
            <w:bottom w:val="single" w:color="000000" w:sz="4" w:space="0"/>
            <w:right w:val="single" w:color="000000"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1486" w:hRule="atLeast"/>
          <w:jc w:val="center"/>
        </w:trPr>
        <w:tc>
          <w:tcPr>
            <w:tcW w:w="2008" w:type="dxa"/>
            <w:shd w:val="clear" w:color="auto" w:fill="FFFFFF" w:themeFill="background1"/>
            <w:vAlign w:val="center"/>
          </w:tcPr>
          <w:p>
            <w:pPr>
              <w:autoSpaceDE w:val="0"/>
              <w:autoSpaceDN w:val="0"/>
              <w:adjustRightInd w:val="0"/>
              <w:spacing w:line="360" w:lineRule="exact"/>
              <w:jc w:val="center"/>
              <w:rPr>
                <w:rFonts w:ascii="方正仿宋简体" w:hAnsi="黑体" w:eastAsia="方正仿宋简体"/>
                <w:b/>
                <w:sz w:val="24"/>
                <w:szCs w:val="24"/>
                <w:lang w:val="zh-CN"/>
              </w:rPr>
            </w:pPr>
            <w:r>
              <w:rPr>
                <w:rFonts w:hint="eastAsia" w:ascii="方正仿宋简体" w:hAnsi="宋体" w:eastAsia="方正仿宋简体"/>
                <w:b/>
                <w:sz w:val="24"/>
                <w:szCs w:val="24"/>
              </w:rPr>
              <w:t>光伏+塌陷地治理</w:t>
            </w:r>
          </w:p>
        </w:tc>
        <w:tc>
          <w:tcPr>
            <w:tcW w:w="6777" w:type="dxa"/>
            <w:shd w:val="clear" w:color="auto" w:fill="FFFFFF" w:themeFill="background1"/>
            <w:vAlign w:val="center"/>
          </w:tcPr>
          <w:p>
            <w:pPr>
              <w:autoSpaceDE w:val="0"/>
              <w:autoSpaceDN w:val="0"/>
              <w:adjustRightInd w:val="0"/>
              <w:spacing w:line="360" w:lineRule="exact"/>
              <w:rPr>
                <w:rFonts w:ascii="方正仿宋简体" w:hAnsi="宋体" w:eastAsia="方正仿宋简体"/>
                <w:b/>
                <w:sz w:val="24"/>
                <w:szCs w:val="24"/>
                <w:lang w:val="zh-CN"/>
              </w:rPr>
            </w:pPr>
            <w:r>
              <w:rPr>
                <w:rFonts w:hint="eastAsia" w:ascii="方正仿宋简体" w:hAnsi="宋体" w:eastAsia="方正仿宋简体"/>
                <w:b/>
                <w:sz w:val="24"/>
                <w:szCs w:val="24"/>
              </w:rPr>
              <w:t>济宁市国家级采煤沉陷区光伏发电基地二期项目。重点推进邹城市、微山县、鱼台县、曲阜市和嘉祥县等采煤沉陷区结合农业、渔业综合治理工程建设光伏电站，建设规模约3</w:t>
            </w:r>
            <w:r>
              <w:rPr>
                <w:rFonts w:hint="eastAsia" w:ascii="方正仿宋简体" w:hAnsi="宋体" w:eastAsia="方正仿宋简体"/>
                <w:b/>
                <w:sz w:val="24"/>
                <w:szCs w:val="24"/>
                <w:lang w:val="en"/>
              </w:rPr>
              <w:t>00</w:t>
            </w:r>
            <w:r>
              <w:rPr>
                <w:rFonts w:hint="eastAsia" w:ascii="方正仿宋简体" w:hAnsi="宋体" w:eastAsia="方正仿宋简体"/>
                <w:b/>
                <w:sz w:val="24"/>
                <w:szCs w:val="24"/>
              </w:rPr>
              <w:t>万千瓦。</w:t>
            </w:r>
          </w:p>
        </w:tc>
      </w:tr>
      <w:tr>
        <w:tblPrEx>
          <w:tblBorders>
            <w:top w:val="single" w:color="000000" w:sz="4" w:space="0"/>
            <w:left w:val="single" w:color="000000" w:sz="4" w:space="0"/>
            <w:bottom w:val="single" w:color="000000" w:sz="4" w:space="0"/>
            <w:right w:val="single" w:color="000000"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1022" w:hRule="atLeast"/>
          <w:jc w:val="center"/>
        </w:trPr>
        <w:tc>
          <w:tcPr>
            <w:tcW w:w="2008" w:type="dxa"/>
            <w:shd w:val="clear" w:color="auto" w:fill="FFFFFF" w:themeFill="background1"/>
            <w:vAlign w:val="center"/>
          </w:tcPr>
          <w:p>
            <w:pPr>
              <w:autoSpaceDE w:val="0"/>
              <w:autoSpaceDN w:val="0"/>
              <w:adjustRightInd w:val="0"/>
              <w:spacing w:line="360" w:lineRule="exact"/>
              <w:jc w:val="center"/>
              <w:rPr>
                <w:rFonts w:ascii="方正仿宋简体" w:hAnsi="黑体" w:eastAsia="方正仿宋简体"/>
                <w:b/>
                <w:sz w:val="24"/>
                <w:szCs w:val="24"/>
                <w:lang w:val="zh-CN"/>
              </w:rPr>
            </w:pPr>
            <w:r>
              <w:rPr>
                <w:rFonts w:hint="eastAsia" w:ascii="方正仿宋简体" w:hAnsi="宋体" w:eastAsia="方正仿宋简体"/>
                <w:b/>
                <w:sz w:val="24"/>
                <w:szCs w:val="24"/>
              </w:rPr>
              <w:t>光伏+</w:t>
            </w:r>
            <w:r>
              <w:rPr>
                <w:rFonts w:hint="eastAsia" w:ascii="方正仿宋简体" w:hAnsi="宋体" w:eastAsia="方正仿宋简体"/>
                <w:b/>
                <w:sz w:val="24"/>
                <w:szCs w:val="24"/>
                <w:lang w:val="zh-CN"/>
              </w:rPr>
              <w:t>未利用地</w:t>
            </w:r>
          </w:p>
        </w:tc>
        <w:tc>
          <w:tcPr>
            <w:tcW w:w="6777" w:type="dxa"/>
            <w:shd w:val="clear" w:color="auto" w:fill="FFFFFF" w:themeFill="background1"/>
            <w:vAlign w:val="center"/>
          </w:tcPr>
          <w:p>
            <w:pPr>
              <w:autoSpaceDE w:val="0"/>
              <w:autoSpaceDN w:val="0"/>
              <w:adjustRightInd w:val="0"/>
              <w:spacing w:line="360" w:lineRule="exact"/>
              <w:rPr>
                <w:rFonts w:ascii="方正仿宋简体" w:hAnsi="宋体" w:eastAsia="方正仿宋简体"/>
                <w:b/>
                <w:sz w:val="24"/>
                <w:szCs w:val="24"/>
              </w:rPr>
            </w:pPr>
            <w:r>
              <w:rPr>
                <w:rFonts w:hint="eastAsia" w:ascii="方正仿宋简体" w:hAnsi="宋体" w:eastAsia="方正仿宋简体"/>
                <w:b/>
                <w:sz w:val="24"/>
                <w:szCs w:val="24"/>
              </w:rPr>
              <w:t>重点利用市域内未利用土地，按照“光伏+”的多产业融合发展模式，开发集中式光伏项目，建设规模约</w:t>
            </w:r>
            <w:r>
              <w:rPr>
                <w:rFonts w:hint="eastAsia" w:ascii="方正仿宋简体" w:hAnsi="宋体" w:eastAsia="方正仿宋简体"/>
                <w:b/>
                <w:sz w:val="24"/>
                <w:szCs w:val="24"/>
                <w:lang w:val="en"/>
              </w:rPr>
              <w:t>15</w:t>
            </w:r>
            <w:r>
              <w:rPr>
                <w:rFonts w:hint="eastAsia" w:ascii="方正仿宋简体" w:hAnsi="宋体" w:eastAsia="方正仿宋简体"/>
                <w:b/>
                <w:sz w:val="24"/>
                <w:szCs w:val="24"/>
              </w:rPr>
              <w:t>万千瓦。</w:t>
            </w:r>
          </w:p>
        </w:tc>
      </w:tr>
      <w:tr>
        <w:tblPrEx>
          <w:tblBorders>
            <w:top w:val="single" w:color="000000" w:sz="4" w:space="0"/>
            <w:left w:val="single" w:color="000000" w:sz="4" w:space="0"/>
            <w:bottom w:val="single" w:color="000000" w:sz="4" w:space="0"/>
            <w:right w:val="single" w:color="000000"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1036" w:hRule="atLeast"/>
          <w:jc w:val="center"/>
        </w:trPr>
        <w:tc>
          <w:tcPr>
            <w:tcW w:w="2008" w:type="dxa"/>
            <w:shd w:val="clear" w:color="auto" w:fill="FFFFFF" w:themeFill="background1"/>
            <w:vAlign w:val="center"/>
          </w:tcPr>
          <w:p>
            <w:pPr>
              <w:autoSpaceDE w:val="0"/>
              <w:autoSpaceDN w:val="0"/>
              <w:adjustRightInd w:val="0"/>
              <w:spacing w:line="360" w:lineRule="exact"/>
              <w:jc w:val="center"/>
              <w:rPr>
                <w:rFonts w:ascii="方正仿宋简体" w:hAnsi="宋体" w:eastAsia="方正仿宋简体"/>
                <w:b/>
                <w:sz w:val="24"/>
                <w:szCs w:val="24"/>
                <w:lang w:val="zh-CN"/>
              </w:rPr>
            </w:pPr>
            <w:r>
              <w:rPr>
                <w:rFonts w:hint="eastAsia" w:ascii="方正仿宋简体" w:hAnsi="宋体" w:eastAsia="方正仿宋简体"/>
                <w:b/>
                <w:sz w:val="24"/>
                <w:szCs w:val="24"/>
              </w:rPr>
              <w:t>光伏+工业场地</w:t>
            </w:r>
          </w:p>
        </w:tc>
        <w:tc>
          <w:tcPr>
            <w:tcW w:w="6777" w:type="dxa"/>
            <w:shd w:val="clear" w:color="auto" w:fill="FFFFFF" w:themeFill="background1"/>
            <w:vAlign w:val="center"/>
          </w:tcPr>
          <w:p>
            <w:pPr>
              <w:autoSpaceDE w:val="0"/>
              <w:autoSpaceDN w:val="0"/>
              <w:adjustRightInd w:val="0"/>
              <w:spacing w:line="360" w:lineRule="exact"/>
              <w:rPr>
                <w:rFonts w:ascii="方正仿宋简体" w:hAnsi="宋体" w:eastAsia="方正仿宋简体"/>
                <w:b/>
                <w:sz w:val="24"/>
                <w:szCs w:val="24"/>
                <w:lang w:val="zh-CN"/>
              </w:rPr>
            </w:pPr>
            <w:r>
              <w:rPr>
                <w:rFonts w:hint="eastAsia" w:ascii="方正仿宋简体" w:hAnsi="宋体" w:eastAsia="方正仿宋简体"/>
                <w:b/>
                <w:sz w:val="24"/>
                <w:szCs w:val="24"/>
              </w:rPr>
              <w:t>重点推进邹县电厂等工业场地建设集中式光伏项目，建设规模约8万千瓦。</w:t>
            </w:r>
          </w:p>
        </w:tc>
      </w:tr>
      <w:tr>
        <w:tblPrEx>
          <w:tblBorders>
            <w:top w:val="single" w:color="000000" w:sz="4" w:space="0"/>
            <w:left w:val="single" w:color="000000" w:sz="4" w:space="0"/>
            <w:bottom w:val="single" w:color="000000" w:sz="4" w:space="0"/>
            <w:right w:val="single" w:color="000000"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1155" w:hRule="atLeast"/>
          <w:jc w:val="center"/>
        </w:trPr>
        <w:tc>
          <w:tcPr>
            <w:tcW w:w="2008" w:type="dxa"/>
            <w:shd w:val="clear" w:color="auto" w:fill="FFFFFF" w:themeFill="background1"/>
            <w:vAlign w:val="center"/>
          </w:tcPr>
          <w:p>
            <w:pPr>
              <w:autoSpaceDE w:val="0"/>
              <w:autoSpaceDN w:val="0"/>
              <w:adjustRightInd w:val="0"/>
              <w:spacing w:line="360" w:lineRule="exact"/>
              <w:jc w:val="center"/>
              <w:rPr>
                <w:rFonts w:ascii="方正仿宋简体" w:hAnsi="宋体" w:eastAsia="方正仿宋简体"/>
                <w:b/>
                <w:sz w:val="24"/>
                <w:szCs w:val="24"/>
              </w:rPr>
            </w:pPr>
            <w:r>
              <w:rPr>
                <w:rFonts w:hint="eastAsia" w:ascii="方正仿宋简体" w:hAnsi="宋体" w:eastAsia="方正仿宋简体"/>
                <w:b/>
                <w:sz w:val="24"/>
                <w:szCs w:val="24"/>
              </w:rPr>
              <w:t>光伏+屋顶分布式</w:t>
            </w:r>
          </w:p>
        </w:tc>
        <w:tc>
          <w:tcPr>
            <w:tcW w:w="6777" w:type="dxa"/>
            <w:shd w:val="clear" w:color="auto" w:fill="FFFFFF" w:themeFill="background1"/>
            <w:vAlign w:val="center"/>
          </w:tcPr>
          <w:p>
            <w:pPr>
              <w:autoSpaceDE w:val="0"/>
              <w:autoSpaceDN w:val="0"/>
              <w:adjustRightInd w:val="0"/>
              <w:spacing w:line="360" w:lineRule="exact"/>
              <w:rPr>
                <w:rFonts w:ascii="方正仿宋简体" w:hAnsi="宋体" w:eastAsia="方正仿宋简体"/>
                <w:b/>
                <w:sz w:val="24"/>
                <w:szCs w:val="24"/>
                <w:lang w:val="zh-CN"/>
              </w:rPr>
            </w:pPr>
            <w:r>
              <w:rPr>
                <w:rFonts w:hint="eastAsia" w:ascii="方正仿宋简体" w:hAnsi="宋体" w:eastAsia="方正仿宋简体"/>
                <w:b/>
                <w:sz w:val="24"/>
                <w:szCs w:val="24"/>
              </w:rPr>
              <w:t>重点在鱼台</w:t>
            </w:r>
            <w:r>
              <w:rPr>
                <w:rFonts w:hint="eastAsia" w:ascii="方正仿宋简体" w:hAnsi="宋体" w:eastAsia="方正仿宋简体"/>
                <w:b/>
                <w:sz w:val="24"/>
                <w:szCs w:val="24"/>
                <w:lang w:eastAsia="zh-CN"/>
              </w:rPr>
              <w:t>县</w:t>
            </w:r>
            <w:r>
              <w:rPr>
                <w:rFonts w:hint="eastAsia" w:ascii="方正仿宋简体" w:hAnsi="宋体" w:eastAsia="方正仿宋简体"/>
                <w:b/>
                <w:sz w:val="24"/>
                <w:szCs w:val="24"/>
              </w:rPr>
              <w:t>、泗水</w:t>
            </w:r>
            <w:r>
              <w:rPr>
                <w:rFonts w:hint="eastAsia" w:ascii="方正仿宋简体" w:hAnsi="宋体" w:eastAsia="方正仿宋简体"/>
                <w:b/>
                <w:sz w:val="24"/>
                <w:szCs w:val="24"/>
                <w:lang w:eastAsia="zh-CN"/>
              </w:rPr>
              <w:t>县</w:t>
            </w:r>
            <w:r>
              <w:rPr>
                <w:rFonts w:hint="eastAsia" w:ascii="方正仿宋简体" w:hAnsi="宋体" w:eastAsia="方正仿宋简体"/>
                <w:b/>
                <w:sz w:val="24"/>
                <w:szCs w:val="24"/>
              </w:rPr>
              <w:t>、梁山</w:t>
            </w:r>
            <w:r>
              <w:rPr>
                <w:rFonts w:hint="eastAsia" w:ascii="方正仿宋简体" w:hAnsi="宋体" w:eastAsia="方正仿宋简体"/>
                <w:b/>
                <w:sz w:val="24"/>
                <w:szCs w:val="24"/>
                <w:lang w:eastAsia="zh-CN"/>
              </w:rPr>
              <w:t>县</w:t>
            </w:r>
            <w:r>
              <w:rPr>
                <w:rFonts w:hint="eastAsia" w:ascii="方正仿宋简体" w:hAnsi="宋体" w:eastAsia="方正仿宋简体"/>
                <w:b/>
                <w:sz w:val="24"/>
                <w:szCs w:val="24"/>
              </w:rPr>
              <w:t>、邹城</w:t>
            </w:r>
            <w:r>
              <w:rPr>
                <w:rFonts w:hint="eastAsia" w:ascii="方正仿宋简体" w:hAnsi="宋体" w:eastAsia="方正仿宋简体"/>
                <w:b/>
                <w:sz w:val="24"/>
                <w:szCs w:val="24"/>
                <w:lang w:eastAsia="zh-CN"/>
              </w:rPr>
              <w:t>市</w:t>
            </w:r>
            <w:r>
              <w:rPr>
                <w:rFonts w:hint="eastAsia" w:ascii="方正仿宋简体" w:hAnsi="宋体" w:eastAsia="方正仿宋简体"/>
                <w:b/>
                <w:sz w:val="24"/>
                <w:szCs w:val="24"/>
              </w:rPr>
              <w:t>、微山</w:t>
            </w:r>
            <w:r>
              <w:rPr>
                <w:rFonts w:hint="eastAsia" w:ascii="方正仿宋简体" w:hAnsi="宋体" w:eastAsia="方正仿宋简体"/>
                <w:b/>
                <w:sz w:val="24"/>
                <w:szCs w:val="24"/>
                <w:lang w:eastAsia="zh-CN"/>
              </w:rPr>
              <w:t>县</w:t>
            </w:r>
            <w:r>
              <w:rPr>
                <w:rFonts w:hint="eastAsia" w:ascii="方正仿宋简体" w:hAnsi="宋体" w:eastAsia="方正仿宋简体"/>
                <w:b/>
                <w:sz w:val="24"/>
                <w:szCs w:val="24"/>
              </w:rPr>
              <w:t>、兖州</w:t>
            </w:r>
            <w:r>
              <w:rPr>
                <w:rFonts w:hint="eastAsia" w:ascii="方正仿宋简体" w:hAnsi="宋体" w:eastAsia="方正仿宋简体"/>
                <w:b/>
                <w:sz w:val="24"/>
                <w:szCs w:val="24"/>
                <w:lang w:eastAsia="zh-CN"/>
              </w:rPr>
              <w:t>区</w:t>
            </w:r>
            <w:r>
              <w:rPr>
                <w:rFonts w:hint="eastAsia" w:ascii="方正仿宋简体" w:hAnsi="宋体" w:eastAsia="方正仿宋简体"/>
                <w:b/>
                <w:sz w:val="24"/>
                <w:szCs w:val="24"/>
              </w:rPr>
              <w:t>、曲阜</w:t>
            </w:r>
            <w:r>
              <w:rPr>
                <w:rFonts w:hint="eastAsia" w:ascii="方正仿宋简体" w:hAnsi="宋体" w:eastAsia="方正仿宋简体"/>
                <w:b/>
                <w:sz w:val="24"/>
                <w:szCs w:val="24"/>
                <w:lang w:eastAsia="zh-CN"/>
              </w:rPr>
              <w:t>市</w:t>
            </w:r>
            <w:r>
              <w:rPr>
                <w:rFonts w:hint="eastAsia" w:ascii="方正仿宋简体" w:hAnsi="宋体" w:eastAsia="方正仿宋简体"/>
                <w:b/>
                <w:sz w:val="24"/>
                <w:szCs w:val="24"/>
              </w:rPr>
              <w:t>、嘉祥</w:t>
            </w:r>
            <w:r>
              <w:rPr>
                <w:rFonts w:hint="eastAsia" w:ascii="方正仿宋简体" w:hAnsi="宋体" w:eastAsia="方正仿宋简体"/>
                <w:b/>
                <w:sz w:val="24"/>
                <w:szCs w:val="24"/>
                <w:lang w:eastAsia="zh-CN"/>
              </w:rPr>
              <w:t>县</w:t>
            </w:r>
            <w:r>
              <w:rPr>
                <w:rFonts w:hint="eastAsia" w:ascii="方正仿宋简体" w:hAnsi="宋体" w:eastAsia="方正仿宋简体"/>
                <w:b/>
                <w:sz w:val="24"/>
                <w:szCs w:val="24"/>
              </w:rPr>
              <w:t>等地利用屋顶等资源建设分布式光伏项目，建设规模200万千瓦左右。</w:t>
            </w:r>
          </w:p>
        </w:tc>
      </w:tr>
    </w:tbl>
    <w:p>
      <w:pPr>
        <w:spacing w:line="650" w:lineRule="exact"/>
        <w:ind w:firstLine="624"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（二）集散有序推进风力发电。</w:t>
      </w:r>
      <w:r>
        <w:rPr>
          <w:rFonts w:hint="eastAsia" w:ascii="方正仿宋简体" w:hAnsi="文星仿宋" w:eastAsia="方正仿宋简体" w:cs="方正仿宋简体"/>
          <w:b/>
          <w:color w:val="000000"/>
          <w:sz w:val="32"/>
          <w:szCs w:val="32"/>
        </w:rPr>
        <w:t>加强陆地风能资源管理，依托邹城、泗水已建成风电站的经验，考虑生态红线、用地等因素，在邹城、泗水等山区适时推动集中式风电工程建设，探索在鱼台、泗水、邹城、微山、金乡、嘉祥等平原地区推进分布式风电项目，集散有序推进风力发电，逐步增加风电规模。到2025年，建成、在建风电装机总量力争达到95万千瓦左右。</w:t>
      </w:r>
    </w:p>
    <w:tbl>
      <w:tblPr>
        <w:tblStyle w:val="5"/>
        <w:tblW w:w="8723" w:type="dxa"/>
        <w:jc w:val="center"/>
        <w:tblBorders>
          <w:top w:val="single" w:color="000000" w:sz="4" w:space="0"/>
          <w:left w:val="single" w:color="000000" w:sz="4" w:space="0"/>
          <w:bottom w:val="single" w:color="auto" w:sz="4" w:space="0"/>
          <w:right w:val="single" w:color="000000" w:sz="4" w:space="0"/>
          <w:insideH w:val="single" w:color="auto" w:sz="4" w:space="0"/>
          <w:insideV w:val="single" w:color="auto" w:sz="4" w:space="0"/>
        </w:tblBorders>
        <w:shd w:val="clear" w:color="auto" w:fill="FFFFFF" w:themeFill="background1"/>
        <w:tblLayout w:type="fixed"/>
        <w:tblCellMar>
          <w:top w:w="0" w:type="dxa"/>
          <w:left w:w="108" w:type="dxa"/>
          <w:bottom w:w="0" w:type="dxa"/>
          <w:right w:w="108" w:type="dxa"/>
        </w:tblCellMar>
      </w:tblPr>
      <w:tblGrid>
        <w:gridCol w:w="1599"/>
        <w:gridCol w:w="7124"/>
      </w:tblGrid>
      <w:tr>
        <w:tblPrEx>
          <w:tblBorders>
            <w:top w:val="single" w:color="000000" w:sz="4" w:space="0"/>
            <w:left w:val="single" w:color="000000" w:sz="4" w:space="0"/>
            <w:bottom w:val="single" w:color="auto" w:sz="4" w:space="0"/>
            <w:right w:val="single" w:color="000000" w:sz="4" w:space="0"/>
            <w:insideH w:val="single" w:color="auto" w:sz="4" w:space="0"/>
            <w:insideV w:val="single" w:color="auto" w:sz="4" w:space="0"/>
          </w:tblBorders>
        </w:tblPrEx>
        <w:trPr>
          <w:trHeight w:val="567" w:hRule="atLeast"/>
          <w:jc w:val="center"/>
        </w:trPr>
        <w:tc>
          <w:tcPr>
            <w:tcW w:w="8723" w:type="dxa"/>
            <w:gridSpan w:val="2"/>
            <w:shd w:val="clear" w:color="auto" w:fill="FFFFFF" w:themeFill="background1"/>
            <w:vAlign w:val="center"/>
          </w:tcPr>
          <w:p>
            <w:pPr>
              <w:adjustRightInd w:val="0"/>
              <w:spacing w:line="360" w:lineRule="exact"/>
              <w:jc w:val="center"/>
              <w:textAlignment w:val="center"/>
              <w:rPr>
                <w:rFonts w:ascii="方正黑体简体" w:hAnsi="黑体" w:eastAsia="方正黑体简体"/>
                <w:b/>
                <w:bCs/>
                <w:sz w:val="28"/>
                <w:szCs w:val="28"/>
              </w:rPr>
            </w:pPr>
            <w:r>
              <w:rPr>
                <w:rFonts w:hint="eastAsia" w:ascii="方正黑体简体" w:hAnsi="黑体" w:eastAsia="方正黑体简体" w:cs="黑体"/>
                <w:b/>
                <w:bCs/>
                <w:sz w:val="28"/>
                <w:szCs w:val="28"/>
              </w:rPr>
              <w:t>专栏9 “风电集散并举工程”重点建设内容</w:t>
            </w:r>
          </w:p>
        </w:tc>
      </w:tr>
      <w:tr>
        <w:tblPrEx>
          <w:tblBorders>
            <w:top w:val="single" w:color="000000" w:sz="4" w:space="0"/>
            <w:left w:val="single" w:color="000000" w:sz="4" w:space="0"/>
            <w:bottom w:val="single" w:color="auto" w:sz="4" w:space="0"/>
            <w:right w:val="single" w:color="000000"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1664" w:hRule="atLeast"/>
          <w:jc w:val="center"/>
        </w:trPr>
        <w:tc>
          <w:tcPr>
            <w:tcW w:w="1599" w:type="dxa"/>
            <w:shd w:val="clear" w:color="auto" w:fill="FFFFFF" w:themeFill="background1"/>
            <w:vAlign w:val="center"/>
          </w:tcPr>
          <w:p>
            <w:pPr>
              <w:autoSpaceDE w:val="0"/>
              <w:autoSpaceDN w:val="0"/>
              <w:adjustRightInd w:val="0"/>
              <w:spacing w:line="360" w:lineRule="exact"/>
              <w:jc w:val="center"/>
              <w:rPr>
                <w:rFonts w:ascii="方正仿宋简体" w:hAnsi="黑体" w:eastAsia="方正仿宋简体"/>
                <w:b/>
                <w:sz w:val="24"/>
                <w:szCs w:val="24"/>
                <w:lang w:val="zh-CN"/>
              </w:rPr>
            </w:pPr>
            <w:r>
              <w:rPr>
                <w:rFonts w:hint="eastAsia" w:ascii="方正仿宋简体" w:hAnsi="宋体" w:eastAsia="方正仿宋简体"/>
                <w:b/>
                <w:sz w:val="24"/>
                <w:szCs w:val="24"/>
                <w:lang w:val="zh-CN"/>
              </w:rPr>
              <w:t>集中式风电</w:t>
            </w:r>
          </w:p>
        </w:tc>
        <w:tc>
          <w:tcPr>
            <w:tcW w:w="7124" w:type="dxa"/>
            <w:shd w:val="clear" w:color="auto" w:fill="FFFFFF" w:themeFill="background1"/>
            <w:vAlign w:val="center"/>
          </w:tcPr>
          <w:p>
            <w:pPr>
              <w:adjustRightInd w:val="0"/>
              <w:spacing w:line="360" w:lineRule="exact"/>
              <w:textAlignment w:val="center"/>
              <w:rPr>
                <w:rFonts w:ascii="方正仿宋简体" w:hAnsi="宋体" w:eastAsia="方正仿宋简体"/>
                <w:b/>
                <w:sz w:val="24"/>
                <w:szCs w:val="24"/>
                <w:lang w:val="zh-CN"/>
              </w:rPr>
            </w:pPr>
            <w:r>
              <w:rPr>
                <w:rFonts w:hint="eastAsia" w:ascii="方正仿宋简体" w:hAnsi="宋体" w:eastAsia="方正仿宋简体"/>
                <w:b/>
                <w:sz w:val="24"/>
                <w:szCs w:val="24"/>
                <w:lang w:val="zh-CN"/>
              </w:rPr>
              <w:t>适时推动邹城市、泗水县等地集中式风电项目，建设总规模约44.95万千瓦；</w:t>
            </w:r>
            <w:r>
              <w:rPr>
                <w:rFonts w:hint="eastAsia" w:ascii="方正仿宋简体" w:hAnsi="宋体" w:eastAsia="方正仿宋简体"/>
                <w:b/>
                <w:sz w:val="24"/>
                <w:szCs w:val="24"/>
              </w:rPr>
              <w:t>其中邹城市规划集中式风电项目1个，建设规模4.95万千瓦；泗水县规划集中式风电项目1个，建设规模10万千瓦；金乡县规划集中式风电项目2个，建设规模均为15万千瓦。</w:t>
            </w:r>
          </w:p>
        </w:tc>
      </w:tr>
      <w:tr>
        <w:tblPrEx>
          <w:tblBorders>
            <w:top w:val="single" w:color="000000" w:sz="4" w:space="0"/>
            <w:left w:val="single" w:color="000000" w:sz="4" w:space="0"/>
            <w:bottom w:val="single" w:color="auto" w:sz="4" w:space="0"/>
            <w:right w:val="single" w:color="000000"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1013" w:hRule="atLeast"/>
          <w:jc w:val="center"/>
        </w:trPr>
        <w:tc>
          <w:tcPr>
            <w:tcW w:w="1599" w:type="dxa"/>
            <w:shd w:val="clear" w:color="auto" w:fill="FFFFFF" w:themeFill="background1"/>
            <w:vAlign w:val="center"/>
          </w:tcPr>
          <w:p>
            <w:pPr>
              <w:autoSpaceDE w:val="0"/>
              <w:autoSpaceDN w:val="0"/>
              <w:adjustRightInd w:val="0"/>
              <w:spacing w:line="360" w:lineRule="exact"/>
              <w:jc w:val="center"/>
              <w:rPr>
                <w:rFonts w:ascii="方正仿宋简体" w:hAnsi="黑体" w:eastAsia="方正仿宋简体"/>
                <w:b/>
                <w:sz w:val="24"/>
                <w:szCs w:val="24"/>
                <w:lang w:val="zh-CN"/>
              </w:rPr>
            </w:pPr>
            <w:r>
              <w:rPr>
                <w:rFonts w:hint="eastAsia" w:ascii="方正仿宋简体" w:hAnsi="宋体" w:eastAsia="方正仿宋简体"/>
                <w:b/>
                <w:sz w:val="24"/>
                <w:szCs w:val="24"/>
                <w:lang w:val="zh-CN"/>
              </w:rPr>
              <w:t>分布式风电</w:t>
            </w:r>
          </w:p>
        </w:tc>
        <w:tc>
          <w:tcPr>
            <w:tcW w:w="7124" w:type="dxa"/>
            <w:shd w:val="clear" w:color="auto" w:fill="FFFFFF" w:themeFill="background1"/>
            <w:vAlign w:val="center"/>
          </w:tcPr>
          <w:p>
            <w:pPr>
              <w:autoSpaceDE w:val="0"/>
              <w:autoSpaceDN w:val="0"/>
              <w:adjustRightInd w:val="0"/>
              <w:spacing w:line="360" w:lineRule="exact"/>
              <w:rPr>
                <w:rFonts w:ascii="方正仿宋简体" w:hAnsi="宋体" w:eastAsia="方正仿宋简体"/>
                <w:b/>
                <w:sz w:val="24"/>
                <w:szCs w:val="24"/>
              </w:rPr>
            </w:pPr>
            <w:r>
              <w:rPr>
                <w:rFonts w:hint="eastAsia" w:ascii="方正仿宋简体" w:hAnsi="宋体" w:eastAsia="方正仿宋简体"/>
                <w:b/>
                <w:sz w:val="24"/>
                <w:szCs w:val="24"/>
                <w:lang w:val="zh-CN"/>
              </w:rPr>
              <w:t>探索在鱼台县、泗水县、邹城市、微山县、金乡县、嘉祥县等地建设分布式风电项目，建设总规模约25.6万千瓦</w:t>
            </w:r>
            <w:r>
              <w:rPr>
                <w:rFonts w:hint="eastAsia" w:ascii="方正仿宋简体" w:hAnsi="宋体" w:eastAsia="方正仿宋简体"/>
                <w:b/>
                <w:sz w:val="24"/>
                <w:szCs w:val="24"/>
              </w:rPr>
              <w:t>。</w:t>
            </w:r>
          </w:p>
        </w:tc>
      </w:tr>
    </w:tbl>
    <w:p>
      <w:pPr>
        <w:spacing w:line="590" w:lineRule="exact"/>
        <w:ind w:firstLine="624" w:firstLineChars="200"/>
        <w:rPr>
          <w:rFonts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（三）稳步持续发展生物质发电</w:t>
      </w:r>
    </w:p>
    <w:p>
      <w:pPr>
        <w:spacing w:line="590" w:lineRule="exact"/>
        <w:ind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因地制宜、合理布局生物质能开发利用，结合美丽乡村建设、煤炭消费压减，持续推动我市生物质绿色电力供应，打造生物质绿色电力供应工程。到2025年，建成、在建农林生物质、垃圾焚烧发电装机总量达到34万千瓦左右。</w:t>
      </w:r>
    </w:p>
    <w:p>
      <w:pPr>
        <w:numPr>
          <w:ilvl w:val="0"/>
          <w:numId w:val="3"/>
        </w:numPr>
        <w:spacing w:line="590" w:lineRule="exact"/>
        <w:ind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因地制宜发展生物质发电。按照规划先行、科学合理的原则，充分发挥农林生物质资源储量丰富、品种多样、布局灵活、适应性强等优势，因地制宜建设农林生物质发电项目；重点推进任城、泗水、嘉祥等地生物质项目建设，鼓励现有项目进行热电联产升级改造；在工业有机废水无害化处理集中地区和畜禽规模化养殖地区，支持建设沼气发电项目。</w:t>
      </w:r>
    </w:p>
    <w:p>
      <w:pPr>
        <w:numPr>
          <w:ilvl w:val="0"/>
          <w:numId w:val="3"/>
        </w:numPr>
        <w:spacing w:line="590" w:lineRule="exact"/>
        <w:ind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合理布局发展垃圾发电。统筹考虑生活垃圾产生量、“邻避”效应和辐射半径等，结合新型城镇化和垃圾分类处理，合理布局生活垃圾焚烧发电设施，重点推进兖州、曲阜等地垃圾发电项目建设。按照稳步推进、环境友好的原则，通过采用先进工艺和技术，促进垃圾发电和生态保护、社会稳定深度融合。</w:t>
      </w:r>
    </w:p>
    <w:tbl>
      <w:tblPr>
        <w:tblStyle w:val="5"/>
        <w:tblW w:w="8770" w:type="dxa"/>
        <w:jc w:val="center"/>
        <w:tblBorders>
          <w:top w:val="single" w:color="000000" w:sz="4" w:space="0"/>
          <w:left w:val="single" w:color="000000" w:sz="4" w:space="0"/>
          <w:bottom w:val="single" w:color="auto" w:sz="4" w:space="0"/>
          <w:right w:val="single" w:color="000000" w:sz="4" w:space="0"/>
          <w:insideH w:val="single" w:color="auto" w:sz="4" w:space="0"/>
          <w:insideV w:val="single" w:color="auto" w:sz="4" w:space="0"/>
        </w:tblBorders>
        <w:shd w:val="clear" w:color="auto" w:fill="FFFFFF" w:themeFill="background1"/>
        <w:tblLayout w:type="fixed"/>
        <w:tblCellMar>
          <w:top w:w="0" w:type="dxa"/>
          <w:left w:w="108" w:type="dxa"/>
          <w:bottom w:w="0" w:type="dxa"/>
          <w:right w:w="108" w:type="dxa"/>
        </w:tblCellMar>
      </w:tblPr>
      <w:tblGrid>
        <w:gridCol w:w="2168"/>
        <w:gridCol w:w="6602"/>
      </w:tblGrid>
      <w:tr>
        <w:tblPrEx>
          <w:tblBorders>
            <w:top w:val="single" w:color="000000" w:sz="4" w:space="0"/>
            <w:left w:val="single" w:color="000000" w:sz="4" w:space="0"/>
            <w:bottom w:val="single" w:color="auto" w:sz="4" w:space="0"/>
            <w:right w:val="single" w:color="000000"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770" w:type="dxa"/>
            <w:gridSpan w:val="2"/>
            <w:shd w:val="clear" w:color="auto" w:fill="FFFFFF" w:themeFill="background1"/>
            <w:vAlign w:val="center"/>
          </w:tcPr>
          <w:p>
            <w:pPr>
              <w:adjustRightInd w:val="0"/>
              <w:spacing w:line="360" w:lineRule="exact"/>
              <w:jc w:val="center"/>
              <w:textAlignment w:val="center"/>
              <w:rPr>
                <w:rFonts w:ascii="方正黑体简体" w:hAnsi="黑体" w:eastAsia="方正黑体简体"/>
                <w:b/>
                <w:bCs/>
                <w:sz w:val="28"/>
                <w:szCs w:val="28"/>
              </w:rPr>
            </w:pPr>
            <w:r>
              <w:rPr>
                <w:rFonts w:hint="eastAsia" w:ascii="方正黑体简体" w:hAnsi="黑体" w:eastAsia="方正黑体简体" w:cs="黑体"/>
                <w:b/>
                <w:bCs/>
                <w:sz w:val="28"/>
                <w:szCs w:val="28"/>
              </w:rPr>
              <w:t>专栏10 “生物质绿色电力供应工程”重点建设内容</w:t>
            </w:r>
          </w:p>
        </w:tc>
      </w:tr>
      <w:tr>
        <w:tblPrEx>
          <w:tblBorders>
            <w:top w:val="single" w:color="000000" w:sz="4" w:space="0"/>
            <w:left w:val="single" w:color="000000" w:sz="4" w:space="0"/>
            <w:bottom w:val="single" w:color="auto" w:sz="4" w:space="0"/>
            <w:right w:val="single" w:color="000000"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2243" w:hRule="atLeast"/>
          <w:jc w:val="center"/>
        </w:trPr>
        <w:tc>
          <w:tcPr>
            <w:tcW w:w="2168" w:type="dxa"/>
            <w:shd w:val="clear" w:color="auto" w:fill="FFFFFF" w:themeFill="background1"/>
            <w:vAlign w:val="center"/>
          </w:tcPr>
          <w:p>
            <w:pPr>
              <w:autoSpaceDE w:val="0"/>
              <w:autoSpaceDN w:val="0"/>
              <w:adjustRightInd w:val="0"/>
              <w:spacing w:line="360" w:lineRule="exact"/>
              <w:jc w:val="center"/>
              <w:rPr>
                <w:rFonts w:ascii="方正仿宋简体" w:hAnsi="黑体" w:eastAsia="方正仿宋简体"/>
                <w:b/>
                <w:sz w:val="24"/>
                <w:szCs w:val="24"/>
                <w:lang w:val="zh-CN"/>
              </w:rPr>
            </w:pPr>
            <w:r>
              <w:rPr>
                <w:rFonts w:hint="eastAsia" w:ascii="方正仿宋简体" w:hAnsi="宋体" w:eastAsia="方正仿宋简体"/>
                <w:b/>
                <w:sz w:val="24"/>
                <w:szCs w:val="24"/>
                <w:lang w:val="zh-CN"/>
              </w:rPr>
              <w:t>农林生物质发电</w:t>
            </w:r>
          </w:p>
        </w:tc>
        <w:tc>
          <w:tcPr>
            <w:tcW w:w="6602" w:type="dxa"/>
            <w:shd w:val="clear" w:color="auto" w:fill="FFFFFF" w:themeFill="background1"/>
            <w:vAlign w:val="center"/>
          </w:tcPr>
          <w:p>
            <w:pPr>
              <w:adjustRightInd w:val="0"/>
              <w:spacing w:line="360" w:lineRule="exact"/>
              <w:textAlignment w:val="center"/>
              <w:rPr>
                <w:rFonts w:ascii="方正仿宋简体" w:hAnsi="宋体" w:eastAsia="方正仿宋简体"/>
                <w:b/>
                <w:sz w:val="24"/>
                <w:szCs w:val="24"/>
                <w:lang w:val="zh-CN"/>
              </w:rPr>
            </w:pPr>
            <w:r>
              <w:rPr>
                <w:rFonts w:hint="eastAsia" w:ascii="方正仿宋简体" w:hAnsi="宋体" w:eastAsia="方正仿宋简体"/>
                <w:b/>
                <w:sz w:val="24"/>
                <w:szCs w:val="24"/>
                <w:lang w:val="zh-CN"/>
              </w:rPr>
              <w:t>建成华能泗水生物质发电项目，装机容量3.0万千瓦。</w:t>
            </w:r>
          </w:p>
          <w:p>
            <w:pPr>
              <w:autoSpaceDE w:val="0"/>
              <w:autoSpaceDN w:val="0"/>
              <w:adjustRightInd w:val="0"/>
              <w:spacing w:line="360" w:lineRule="exact"/>
              <w:rPr>
                <w:rFonts w:ascii="方正仿宋简体" w:hAnsi="宋体" w:eastAsia="方正仿宋简体"/>
                <w:b/>
                <w:sz w:val="24"/>
                <w:szCs w:val="24"/>
                <w:lang w:val="zh-CN"/>
              </w:rPr>
            </w:pPr>
            <w:r>
              <w:rPr>
                <w:rFonts w:hint="eastAsia" w:ascii="方正仿宋简体" w:hAnsi="宋体" w:eastAsia="方正仿宋简体"/>
                <w:b/>
                <w:sz w:val="24"/>
                <w:szCs w:val="24"/>
                <w:lang w:val="zh-CN"/>
              </w:rPr>
              <w:t>因地制宜在任城区、泗水县、嘉祥县等地重点建设农作物秸秆、林业废弃物为主的生物质发电项目，建设总规模5.8万千瓦；其中任城区规划农林生物质发电项目1个，建设规模2.4万千瓦；泗水县规划农林生物质分布式发电项目1个，建设规模0.4万千瓦；嘉祥县规划农林生物质发电项目1个，建设规模3万千瓦。</w:t>
            </w:r>
          </w:p>
        </w:tc>
      </w:tr>
      <w:tr>
        <w:tblPrEx>
          <w:tblBorders>
            <w:top w:val="single" w:color="000000" w:sz="4" w:space="0"/>
            <w:left w:val="single" w:color="000000" w:sz="4" w:space="0"/>
            <w:bottom w:val="single" w:color="auto" w:sz="4" w:space="0"/>
            <w:right w:val="single" w:color="000000"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2438" w:hRule="atLeast"/>
          <w:jc w:val="center"/>
        </w:trPr>
        <w:tc>
          <w:tcPr>
            <w:tcW w:w="2168" w:type="dxa"/>
            <w:shd w:val="clear" w:color="auto" w:fill="FFFFFF" w:themeFill="background1"/>
            <w:vAlign w:val="center"/>
          </w:tcPr>
          <w:p>
            <w:pPr>
              <w:autoSpaceDE w:val="0"/>
              <w:autoSpaceDN w:val="0"/>
              <w:adjustRightInd w:val="0"/>
              <w:spacing w:line="360" w:lineRule="exact"/>
              <w:jc w:val="center"/>
              <w:rPr>
                <w:rFonts w:ascii="方正仿宋简体" w:hAnsi="黑体" w:eastAsia="方正仿宋简体"/>
                <w:b/>
                <w:sz w:val="24"/>
                <w:szCs w:val="24"/>
                <w:lang w:val="zh-CN"/>
              </w:rPr>
            </w:pPr>
            <w:r>
              <w:rPr>
                <w:rFonts w:hint="eastAsia" w:ascii="方正仿宋简体" w:hAnsi="宋体" w:eastAsia="方正仿宋简体"/>
                <w:b/>
                <w:sz w:val="24"/>
                <w:szCs w:val="24"/>
                <w:lang w:val="zh-CN"/>
              </w:rPr>
              <w:t>生活垃圾焚烧发电</w:t>
            </w:r>
          </w:p>
        </w:tc>
        <w:tc>
          <w:tcPr>
            <w:tcW w:w="6602" w:type="dxa"/>
            <w:shd w:val="clear" w:color="auto" w:fill="FFFFFF" w:themeFill="background1"/>
            <w:vAlign w:val="center"/>
          </w:tcPr>
          <w:p>
            <w:pPr>
              <w:autoSpaceDE w:val="0"/>
              <w:autoSpaceDN w:val="0"/>
              <w:adjustRightInd w:val="0"/>
              <w:spacing w:line="360" w:lineRule="exact"/>
              <w:rPr>
                <w:rFonts w:ascii="方正仿宋简体" w:hAnsi="宋体" w:eastAsia="方正仿宋简体"/>
                <w:b/>
                <w:sz w:val="24"/>
                <w:szCs w:val="24"/>
              </w:rPr>
            </w:pPr>
            <w:r>
              <w:rPr>
                <w:rFonts w:hint="eastAsia" w:ascii="方正仿宋简体" w:hAnsi="宋体" w:eastAsia="方正仿宋简体"/>
                <w:b/>
                <w:sz w:val="24"/>
                <w:szCs w:val="24"/>
                <w:lang w:val="zh-CN"/>
              </w:rPr>
              <w:t>建成梁山县、微山县、汶上县垃圾发电项目，装机容量4.5万千瓦。根据全市已建生活垃圾焚烧发电项目情况，以邹城光大垃圾焚烧发电厂为示范，积极引进先进技术，重点推进曲阜市生活垃圾焚烧发电项目、兖州区生活垃圾焚烧发电PPP项目等垃圾发电项目建设，建设规模分别为1.2万千瓦、3.2万千瓦。</w:t>
            </w:r>
          </w:p>
        </w:tc>
      </w:tr>
    </w:tbl>
    <w:p>
      <w:pPr>
        <w:spacing w:line="590" w:lineRule="exact"/>
        <w:ind w:firstLine="624" w:firstLineChars="200"/>
        <w:rPr>
          <w:rFonts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（四）多元拓展可再生能源利用形式</w:t>
      </w:r>
    </w:p>
    <w:p>
      <w:pPr>
        <w:spacing w:line="590" w:lineRule="exact"/>
        <w:ind w:firstLine="608" w:firstLineChars="200"/>
        <w:rPr>
          <w:rFonts w:ascii="方正仿宋简体" w:hAnsi="文星仿宋" w:eastAsia="方正仿宋简体" w:cs="方正仿宋简体"/>
          <w:b/>
          <w:color w:val="000000"/>
          <w:spacing w:val="-4"/>
          <w:sz w:val="32"/>
          <w:szCs w:val="32"/>
        </w:rPr>
      </w:pPr>
      <w:r>
        <w:rPr>
          <w:rFonts w:hint="eastAsia" w:ascii="方正仿宋简体" w:hAnsi="文星仿宋" w:eastAsia="方正仿宋简体" w:cs="方正仿宋简体"/>
          <w:b/>
          <w:color w:val="000000"/>
          <w:spacing w:val="-4"/>
          <w:sz w:val="32"/>
          <w:szCs w:val="32"/>
        </w:rPr>
        <w:t>结合“双碳行动”，挖掘可再生能源绿色热力和绿色燃料等多品种绿色能源的供应潜力，打造可再生能源多元化利用示范基地。</w:t>
      </w:r>
    </w:p>
    <w:p>
      <w:pPr>
        <w:numPr>
          <w:ilvl w:val="0"/>
          <w:numId w:val="4"/>
        </w:numPr>
        <w:spacing w:line="590" w:lineRule="exact"/>
        <w:ind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促进光热多形式利用。依托我市已有的太阳能开发利用基础，推动太阳能热利用由生活热水向城市供热、制冷转变，实现太阳能热水、采暖、制冷系统的规模化应用，不断扩大太阳能采暖、制冷和工农业热利用规模；积极推进太阳能利用与常规能源体系相融合，推广“太阳能+空气源热泵供热”“太阳能+天然气”“太阳能+电能”等模式。</w:t>
      </w:r>
    </w:p>
    <w:p>
      <w:pPr>
        <w:numPr>
          <w:ilvl w:val="0"/>
          <w:numId w:val="4"/>
        </w:numPr>
        <w:spacing w:line="590" w:lineRule="exact"/>
        <w:ind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积极发展生物质热利用。按照就地收集、就地消费的原则，积极发展生物质能清洁供暖、供热，新建农林生物质发电项目全部按照热电联产集中取暖规划建设，鼓励垃圾发电项目实行热电联产；结合用热需求和技术经济可行性，鼓励具备条件的农林生物质项目进行热电联产改造；到2025年，生物质能供热面积力争达到400万平方米左右。</w:t>
      </w:r>
    </w:p>
    <w:p>
      <w:pPr>
        <w:numPr>
          <w:ilvl w:val="0"/>
          <w:numId w:val="4"/>
        </w:numPr>
        <w:spacing w:line="590" w:lineRule="exact"/>
        <w:ind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加快生物燃料示范和产业化发展。推进生物质燃气工程，按照就地收集原料、就地消费利用的原则，充分利用农作物秸秆、畜禽粪污、餐厨垃圾、农副产品加工废水废渣等各类有机废弃物资源，支持专业化企业建设生物质天然气试点工程，示范引领、有序推进，逐步建立健全生物质天然气专业化投资、建设、运营、管理和服务体系，加快推动生物质天然气产业化进程；坚持国外引进与国内开发相结合，集中力量突破多种原料混合高效发酵、干法厌氧发酵等厌氧技术，推广应用先进燃料预处理、净化提纯、智能监控等成套设备，加快生物质天然气技术进步；开拓生物质天然气在城镇居民炊事取暖、交通燃料、工业原料等领域的应用，形成多元化消费体系；充分利用农村生活垃圾及人畜粪便，继续发展户用沼气。推进生物质成型燃料工程，因地制宜发展生物质成型燃料，探索建立覆盖城乡的生物质资源收集、成型燃料生产加工、储运、销售、使用的产业体系；推广生物质成型燃料在工业供热和民用采暖等领域的应用。</w:t>
      </w:r>
    </w:p>
    <w:p>
      <w:pPr>
        <w:numPr>
          <w:ilvl w:val="0"/>
          <w:numId w:val="4"/>
        </w:numPr>
        <w:spacing w:line="590" w:lineRule="exact"/>
        <w:ind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规范推进地热能利用。加快推进地热能供热工程，结合济宁市地热资源开发利用矿业权设置，围绕大气污染防治任务和地方供热（制冷）需求，依托先进地热开采应用技术、地热高效梯级利用、尾水回灌技术，打造一批生态环保、节能减排的地热清洁供热（制冷）示范小镇。推动地热资源多元化综合利用工程，重点在生态湿地、特色小镇等区域，结合区域功能，打造一批建筑供暖、生态养殖、温室大棚、洗浴疗养等多元化梯级综合利用示范项目。加快推进地热能科技创新工程，依托山东省地热清洁能源勘查开发工程研究中心和地热能开发院士工作站以及热泵机组生产厂家、地热勘查施工单位等，加快推进地热能科技创新。推进地热能乡村振兴示范工程，推动地热能开发与种养殖等产业的深度融合，探索绿色环保、生态循环、节能高效的新型种养模式。</w:t>
      </w:r>
    </w:p>
    <w:tbl>
      <w:tblPr>
        <w:tblStyle w:val="5"/>
        <w:tblW w:w="8785" w:type="dxa"/>
        <w:jc w:val="center"/>
        <w:tblBorders>
          <w:top w:val="single" w:color="000000" w:sz="4" w:space="0"/>
          <w:left w:val="single" w:color="000000" w:sz="4" w:space="0"/>
          <w:bottom w:val="single" w:color="auto" w:sz="4" w:space="0"/>
          <w:right w:val="single" w:color="000000" w:sz="4" w:space="0"/>
          <w:insideH w:val="single" w:color="auto" w:sz="4" w:space="0"/>
          <w:insideV w:val="single" w:color="auto" w:sz="4" w:space="0"/>
        </w:tblBorders>
        <w:shd w:val="clear" w:color="auto" w:fill="FFFFFF" w:themeFill="background1"/>
        <w:tblLayout w:type="fixed"/>
        <w:tblCellMar>
          <w:top w:w="0" w:type="dxa"/>
          <w:left w:w="108" w:type="dxa"/>
          <w:bottom w:w="0" w:type="dxa"/>
          <w:right w:w="108" w:type="dxa"/>
        </w:tblCellMar>
      </w:tblPr>
      <w:tblGrid>
        <w:gridCol w:w="1800"/>
        <w:gridCol w:w="6985"/>
      </w:tblGrid>
      <w:tr>
        <w:tblPrEx>
          <w:tblBorders>
            <w:top w:val="single" w:color="000000" w:sz="4" w:space="0"/>
            <w:left w:val="single" w:color="000000" w:sz="4" w:space="0"/>
            <w:bottom w:val="single" w:color="auto" w:sz="4" w:space="0"/>
            <w:right w:val="single" w:color="000000"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8785" w:type="dxa"/>
            <w:gridSpan w:val="2"/>
            <w:shd w:val="clear" w:color="auto" w:fill="FFFFFF" w:themeFill="background1"/>
            <w:vAlign w:val="center"/>
          </w:tcPr>
          <w:p>
            <w:pPr>
              <w:adjustRightInd w:val="0"/>
              <w:spacing w:line="360" w:lineRule="exact"/>
              <w:jc w:val="center"/>
              <w:textAlignment w:val="center"/>
              <w:rPr>
                <w:rFonts w:ascii="方正黑体简体" w:hAnsi="黑体" w:eastAsia="方正黑体简体" w:cs="黑体"/>
                <w:b/>
                <w:bCs/>
                <w:sz w:val="28"/>
                <w:szCs w:val="28"/>
              </w:rPr>
            </w:pPr>
            <w:r>
              <w:rPr>
                <w:rFonts w:hint="eastAsia" w:ascii="方正黑体简体" w:hAnsi="黑体" w:eastAsia="方正黑体简体" w:cs="黑体"/>
                <w:b/>
                <w:bCs/>
                <w:sz w:val="28"/>
                <w:szCs w:val="28"/>
              </w:rPr>
              <w:t>专栏11 “多元利用示范工程”重点建设内容</w:t>
            </w:r>
          </w:p>
        </w:tc>
      </w:tr>
      <w:tr>
        <w:tblPrEx>
          <w:tblBorders>
            <w:top w:val="single" w:color="000000" w:sz="4" w:space="0"/>
            <w:left w:val="single" w:color="000000" w:sz="4" w:space="0"/>
            <w:bottom w:val="single" w:color="auto" w:sz="4" w:space="0"/>
            <w:right w:val="single" w:color="000000" w:sz="4" w:space="0"/>
            <w:insideH w:val="single" w:color="auto" w:sz="4" w:space="0"/>
            <w:insideV w:val="single" w:color="auto" w:sz="4" w:space="0"/>
          </w:tblBorders>
          <w:shd w:val="clear" w:color="auto" w:fill="FFFFFF" w:themeFill="background1"/>
        </w:tblPrEx>
        <w:trPr>
          <w:trHeight w:val="1530" w:hRule="atLeast"/>
          <w:jc w:val="center"/>
        </w:trPr>
        <w:tc>
          <w:tcPr>
            <w:tcW w:w="1800" w:type="dxa"/>
            <w:shd w:val="clear" w:color="auto" w:fill="FFFFFF" w:themeFill="background1"/>
            <w:vAlign w:val="center"/>
          </w:tcPr>
          <w:p>
            <w:pPr>
              <w:autoSpaceDE w:val="0"/>
              <w:autoSpaceDN w:val="0"/>
              <w:adjustRightInd w:val="0"/>
              <w:spacing w:line="360" w:lineRule="exact"/>
              <w:jc w:val="center"/>
              <w:rPr>
                <w:rFonts w:ascii="方正仿宋简体" w:hAnsi="宋体" w:eastAsia="方正仿宋简体"/>
                <w:b/>
                <w:sz w:val="24"/>
                <w:szCs w:val="24"/>
                <w:lang w:val="zh-CN"/>
              </w:rPr>
            </w:pPr>
            <w:r>
              <w:rPr>
                <w:rFonts w:hint="eastAsia" w:ascii="方正仿宋简体" w:hAnsi="宋体" w:eastAsia="方正仿宋简体"/>
                <w:b/>
                <w:sz w:val="24"/>
                <w:szCs w:val="24"/>
                <w:lang w:val="zh-CN"/>
              </w:rPr>
              <w:t>地热能供暖</w:t>
            </w:r>
          </w:p>
          <w:p>
            <w:pPr>
              <w:autoSpaceDE w:val="0"/>
              <w:autoSpaceDN w:val="0"/>
              <w:adjustRightInd w:val="0"/>
              <w:spacing w:line="360" w:lineRule="exact"/>
              <w:jc w:val="center"/>
              <w:rPr>
                <w:rFonts w:ascii="方正仿宋简体" w:hAnsi="宋体" w:eastAsia="方正仿宋简体"/>
                <w:b/>
                <w:sz w:val="24"/>
                <w:szCs w:val="24"/>
                <w:lang w:val="zh-CN"/>
              </w:rPr>
            </w:pPr>
            <w:r>
              <w:rPr>
                <w:rFonts w:hint="eastAsia" w:ascii="方正仿宋简体" w:hAnsi="宋体" w:eastAsia="方正仿宋简体"/>
                <w:b/>
                <w:sz w:val="24"/>
                <w:szCs w:val="24"/>
                <w:lang w:val="zh-CN"/>
              </w:rPr>
              <w:t>（制冷）示范</w:t>
            </w:r>
          </w:p>
          <w:p>
            <w:pPr>
              <w:autoSpaceDE w:val="0"/>
              <w:autoSpaceDN w:val="0"/>
              <w:adjustRightInd w:val="0"/>
              <w:spacing w:line="360" w:lineRule="exact"/>
              <w:jc w:val="center"/>
              <w:rPr>
                <w:rFonts w:ascii="方正仿宋简体" w:hAnsi="黑体" w:eastAsia="方正仿宋简体"/>
                <w:b/>
                <w:sz w:val="24"/>
                <w:szCs w:val="24"/>
                <w:lang w:val="zh-CN"/>
              </w:rPr>
            </w:pPr>
            <w:r>
              <w:rPr>
                <w:rFonts w:hint="eastAsia" w:ascii="方正仿宋简体" w:hAnsi="宋体" w:eastAsia="方正仿宋简体"/>
                <w:b/>
                <w:sz w:val="24"/>
                <w:szCs w:val="24"/>
                <w:lang w:val="zh-CN"/>
              </w:rPr>
              <w:t>小镇</w:t>
            </w:r>
          </w:p>
        </w:tc>
        <w:tc>
          <w:tcPr>
            <w:tcW w:w="6985" w:type="dxa"/>
            <w:shd w:val="clear" w:color="auto" w:fill="FFFFFF" w:themeFill="background1"/>
            <w:vAlign w:val="center"/>
          </w:tcPr>
          <w:p>
            <w:pPr>
              <w:autoSpaceDE w:val="0"/>
              <w:autoSpaceDN w:val="0"/>
              <w:adjustRightInd w:val="0"/>
              <w:spacing w:line="360" w:lineRule="exact"/>
              <w:rPr>
                <w:rFonts w:ascii="方正仿宋简体" w:hAnsi="宋体" w:eastAsia="方正仿宋简体"/>
                <w:b/>
                <w:sz w:val="24"/>
                <w:szCs w:val="24"/>
                <w:lang w:val="zh-CN"/>
              </w:rPr>
            </w:pPr>
            <w:r>
              <w:rPr>
                <w:rFonts w:hint="eastAsia" w:ascii="方正仿宋简体" w:hAnsi="宋体" w:eastAsia="方正仿宋简体"/>
                <w:b/>
                <w:sz w:val="24"/>
                <w:szCs w:val="24"/>
                <w:lang w:val="zh-CN"/>
              </w:rPr>
              <w:t>重点在鱼台县鱼城镇等具有一定工作基础的乡镇和新型农村社区开展地热供暖（制冷）示范项目建设，以先进地热开采应用技术为支撑，通过地热高效梯级利用、尾水回灌技术，打造一批生态环保、节能减排的地热清洁供热（制冷）示范小镇</w:t>
            </w:r>
            <w:r>
              <w:rPr>
                <w:rFonts w:hint="eastAsia" w:ascii="方正仿宋简体" w:hAnsi="宋体" w:eastAsia="方正仿宋简体"/>
                <w:b/>
                <w:sz w:val="24"/>
                <w:szCs w:val="24"/>
              </w:rPr>
              <w:t>。</w:t>
            </w:r>
          </w:p>
        </w:tc>
      </w:tr>
      <w:tr>
        <w:tblPrEx>
          <w:tblBorders>
            <w:top w:val="single" w:color="000000" w:sz="4" w:space="0"/>
            <w:left w:val="single" w:color="000000" w:sz="4" w:space="0"/>
            <w:bottom w:val="single" w:color="auto" w:sz="4" w:space="0"/>
            <w:right w:val="single" w:color="000000"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1405" w:hRule="atLeast"/>
          <w:jc w:val="center"/>
        </w:trPr>
        <w:tc>
          <w:tcPr>
            <w:tcW w:w="1800" w:type="dxa"/>
            <w:shd w:val="clear" w:color="auto" w:fill="FFFFFF" w:themeFill="background1"/>
            <w:vAlign w:val="center"/>
          </w:tcPr>
          <w:p>
            <w:pPr>
              <w:autoSpaceDE w:val="0"/>
              <w:autoSpaceDN w:val="0"/>
              <w:adjustRightInd w:val="0"/>
              <w:spacing w:line="360" w:lineRule="exact"/>
              <w:jc w:val="center"/>
              <w:rPr>
                <w:rFonts w:ascii="方正仿宋简体" w:hAnsi="宋体" w:eastAsia="方正仿宋简体"/>
                <w:b/>
                <w:sz w:val="24"/>
                <w:szCs w:val="24"/>
                <w:lang w:val="zh-CN"/>
              </w:rPr>
            </w:pPr>
            <w:r>
              <w:rPr>
                <w:rFonts w:hint="eastAsia" w:ascii="方正仿宋简体" w:hAnsi="宋体" w:eastAsia="方正仿宋简体"/>
                <w:b/>
                <w:sz w:val="24"/>
                <w:szCs w:val="24"/>
                <w:lang w:val="zh-CN"/>
              </w:rPr>
              <w:t>地热能多元</w:t>
            </w:r>
          </w:p>
          <w:p>
            <w:pPr>
              <w:autoSpaceDE w:val="0"/>
              <w:autoSpaceDN w:val="0"/>
              <w:adjustRightInd w:val="0"/>
              <w:spacing w:line="360" w:lineRule="exact"/>
              <w:jc w:val="center"/>
              <w:rPr>
                <w:rFonts w:ascii="方正仿宋简体" w:hAnsi="黑体" w:eastAsia="方正仿宋简体"/>
                <w:b/>
                <w:sz w:val="24"/>
                <w:szCs w:val="24"/>
                <w:lang w:val="zh-CN"/>
              </w:rPr>
            </w:pPr>
            <w:r>
              <w:rPr>
                <w:rFonts w:hint="eastAsia" w:ascii="方正仿宋简体" w:hAnsi="宋体" w:eastAsia="方正仿宋简体"/>
                <w:b/>
                <w:sz w:val="24"/>
                <w:szCs w:val="24"/>
                <w:lang w:val="zh-CN"/>
              </w:rPr>
              <w:t>利用示范小镇</w:t>
            </w:r>
          </w:p>
        </w:tc>
        <w:tc>
          <w:tcPr>
            <w:tcW w:w="6985" w:type="dxa"/>
            <w:shd w:val="clear" w:color="auto" w:fill="FFFFFF" w:themeFill="background1"/>
            <w:vAlign w:val="center"/>
          </w:tcPr>
          <w:p>
            <w:pPr>
              <w:autoSpaceDE w:val="0"/>
              <w:autoSpaceDN w:val="0"/>
              <w:adjustRightInd w:val="0"/>
              <w:spacing w:line="360" w:lineRule="exact"/>
              <w:rPr>
                <w:rFonts w:ascii="方正仿宋简体" w:hAnsi="宋体" w:eastAsia="方正仿宋简体"/>
                <w:b/>
                <w:sz w:val="24"/>
                <w:szCs w:val="24"/>
                <w:lang w:val="zh-CN"/>
              </w:rPr>
            </w:pPr>
            <w:r>
              <w:rPr>
                <w:rFonts w:hint="eastAsia" w:ascii="方正仿宋简体" w:hAnsi="宋体" w:eastAsia="方正仿宋简体"/>
                <w:b/>
                <w:sz w:val="24"/>
                <w:szCs w:val="24"/>
                <w:lang w:val="zh-CN"/>
              </w:rPr>
              <w:t>基于规划建设的蓝色运河小镇等区域，因地制宜进行地热资源勘查，探索建立建筑供暖、生态养殖、温室大棚、洗浴疗养等多元化梯级综合利用试点。</w:t>
            </w:r>
          </w:p>
        </w:tc>
      </w:tr>
    </w:tbl>
    <w:p>
      <w:pPr>
        <w:spacing w:line="590" w:lineRule="exact"/>
        <w:ind w:firstLine="624" w:firstLineChars="200"/>
        <w:rPr>
          <w:rFonts w:ascii="方正黑体简体" w:hAnsi="文星仿宋" w:eastAsia="方正黑体简体" w:cs="方正仿宋简体"/>
          <w:b/>
          <w:color w:val="000000"/>
          <w:sz w:val="32"/>
          <w:szCs w:val="32"/>
        </w:rPr>
      </w:pPr>
      <w:r>
        <w:rPr>
          <w:rFonts w:hint="eastAsia" w:ascii="方正黑体简体" w:hAnsi="文星仿宋" w:eastAsia="方正黑体简体" w:cs="方正仿宋简体"/>
          <w:b/>
          <w:color w:val="000000"/>
          <w:sz w:val="32"/>
          <w:szCs w:val="32"/>
        </w:rPr>
        <w:t>五、创新能源生产消费模式，培育新业态新模式示范区</w:t>
      </w:r>
    </w:p>
    <w:p>
      <w:pPr>
        <w:spacing w:line="590" w:lineRule="exact"/>
        <w:ind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深入贯彻落实国家、省创新驱动发展战略，实施新业态示范工程，依托“云大物移智链”等技术，加快“源—网—荷—储”友好互动系统建设，创新能源生产消费新模式。</w:t>
      </w:r>
    </w:p>
    <w:p>
      <w:pPr>
        <w:spacing w:line="590" w:lineRule="exact"/>
        <w:ind w:firstLine="624"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（一）打造综合智慧能源示范区。</w:t>
      </w:r>
      <w:r>
        <w:rPr>
          <w:rFonts w:hint="eastAsia" w:ascii="方正仿宋简体" w:hAnsi="文星仿宋" w:eastAsia="方正仿宋简体" w:cs="方正仿宋简体"/>
          <w:b/>
          <w:color w:val="000000"/>
          <w:sz w:val="32"/>
          <w:szCs w:val="32"/>
        </w:rPr>
        <w:t>以我市作为省级信息技术产业基地和制造业信息化示范城市为契机，加强光伏组件、动力电池、分布式能源、储能、智能微网、氢能等核心技术研发与融合；重点在经济开发区、产业园区、交通枢纽中心等区域，通过统筹规划、优化设计、系统集成，因地制宜实施一批以太阳能、风能、生物质能、地热能、分布式储能、可再生能源制氢等协同开发利用的综合智慧能源示范项目；扩大可再生能源在区域供电、供热、供冷、交通等各领域的应用，培育综合能源服务新模式与用户侧智慧用能新模式，逐步建立适应综合智慧能源发展的技术路径、商业模式和管理模式。利用采煤塌陷地、河流沿岸等资源，推动能源产业和生态农业、观光旅游等深度融合，重点在嘉祥县打造风光火储一体化、产业协同发展、多能互补的绿色智慧能源小镇，开创“综合智慧能源+”济宁模式。到2025年，建设2个左右综合智慧能源示范项目。</w:t>
      </w:r>
    </w:p>
    <w:p>
      <w:pPr>
        <w:spacing w:line="590" w:lineRule="exact"/>
        <w:ind w:firstLine="624"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（二）鼓励储能应用示范。</w:t>
      </w:r>
      <w:r>
        <w:rPr>
          <w:rFonts w:hint="eastAsia" w:ascii="方正仿宋简体" w:hAnsi="文星仿宋" w:eastAsia="方正仿宋简体" w:cs="方正仿宋简体"/>
          <w:b/>
          <w:color w:val="000000"/>
          <w:sz w:val="32"/>
          <w:szCs w:val="32"/>
        </w:rPr>
        <w:t>结合可再生能源发电、新能源微电网等项目开发与建设，加大储能发展力度，开展综合性储能技术应用示范，重点打造可再生能源与储能融合发展示范工程；在用户侧、电源侧和电网侧分类推进示范工程建设，加快智能输变电设备、动力电池、储能电站与系统等方面的研发、成果转化及产业化步伐。强化电化学储能安全管理，支持储能参与辅助服务市场和电力现货市场。“十四五”期间，以邹城市横河煤矿储能项目、华电邹城储能电站、微山储能调峰电站示范项目等为试点，加快推进储能应用示范。到2025年，建设50万千瓦左右的储能设施。</w:t>
      </w:r>
    </w:p>
    <w:p>
      <w:pPr>
        <w:spacing w:line="590" w:lineRule="exact"/>
        <w:ind w:firstLine="624"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（三）科学开展氢能示范。</w:t>
      </w:r>
      <w:r>
        <w:rPr>
          <w:rFonts w:hint="eastAsia" w:ascii="方正仿宋简体" w:hAnsi="文星仿宋" w:eastAsia="方正仿宋简体" w:cs="方正仿宋简体"/>
          <w:b/>
          <w:color w:val="000000"/>
          <w:sz w:val="32"/>
          <w:szCs w:val="32"/>
        </w:rPr>
        <w:t>按照“鲁氢经济带”链条城市定位，结合济宁市现有氢能产业基础和优势，培育壮大氢能产业。推动制氢、储氢产业集聚区形成规模。开展低碳工业副产氢综合利用示范，实现工业副产氢资源化应用，推动制氢技术实现从“蓝氢”向“绿氢”过渡，加速扩大制氢、储（运）氢、加氢及配套设施网络规模，推动氢能应用市场扩张。不断提升氢燃料电池技术研发和产业化能力，支持氢能燃料电池系统装备制造产业迅速发展、支持一批核心企业做大做强，打造氢燃料电池产业集聚基地。加快加氢站建设，推动氢能在商用车、乘用车、轨道交通、矿山机械、船舶、分布式能源、储能、通信基站等领域推广应用。到2025年，建设加氢站10座以上，氢燃料电池车累计推广1000辆；形成错位发展、配套协作、优势互补的氢能产业集群。</w:t>
      </w:r>
    </w:p>
    <w:tbl>
      <w:tblPr>
        <w:tblStyle w:val="5"/>
        <w:tblW w:w="8686" w:type="dxa"/>
        <w:jc w:val="center"/>
        <w:tblBorders>
          <w:top w:val="single" w:color="000000" w:sz="4" w:space="0"/>
          <w:left w:val="single" w:color="000000" w:sz="4" w:space="0"/>
          <w:bottom w:val="single" w:color="auto" w:sz="4" w:space="0"/>
          <w:right w:val="single" w:color="000000" w:sz="4" w:space="0"/>
          <w:insideH w:val="single" w:color="auto" w:sz="4" w:space="0"/>
          <w:insideV w:val="single" w:color="auto" w:sz="4" w:space="0"/>
        </w:tblBorders>
        <w:shd w:val="clear" w:color="auto" w:fill="FFFFFF" w:themeFill="background1"/>
        <w:tblLayout w:type="fixed"/>
        <w:tblCellMar>
          <w:top w:w="0" w:type="dxa"/>
          <w:left w:w="108" w:type="dxa"/>
          <w:bottom w:w="0" w:type="dxa"/>
          <w:right w:w="108" w:type="dxa"/>
        </w:tblCellMar>
      </w:tblPr>
      <w:tblGrid>
        <w:gridCol w:w="1791"/>
        <w:gridCol w:w="6895"/>
      </w:tblGrid>
      <w:tr>
        <w:tblPrEx>
          <w:tblBorders>
            <w:top w:val="single" w:color="000000" w:sz="4" w:space="0"/>
            <w:left w:val="single" w:color="000000" w:sz="4" w:space="0"/>
            <w:bottom w:val="single" w:color="auto" w:sz="4" w:space="0"/>
            <w:right w:val="single" w:color="000000"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86" w:type="dxa"/>
            <w:gridSpan w:val="2"/>
            <w:shd w:val="clear" w:color="auto" w:fill="FFFFFF" w:themeFill="background1"/>
            <w:vAlign w:val="center"/>
          </w:tcPr>
          <w:p>
            <w:pPr>
              <w:adjustRightInd w:val="0"/>
              <w:spacing w:line="380" w:lineRule="exact"/>
              <w:jc w:val="center"/>
              <w:textAlignment w:val="center"/>
              <w:rPr>
                <w:rFonts w:ascii="方正黑体简体" w:hAnsi="黑体" w:eastAsia="方正黑体简体" w:cs="黑体"/>
                <w:b/>
                <w:bCs/>
                <w:sz w:val="28"/>
                <w:szCs w:val="28"/>
              </w:rPr>
            </w:pPr>
            <w:r>
              <w:rPr>
                <w:rFonts w:hint="eastAsia" w:ascii="方正黑体简体" w:hAnsi="黑体" w:eastAsia="方正黑体简体" w:cs="黑体"/>
                <w:b/>
                <w:bCs/>
                <w:sz w:val="28"/>
                <w:szCs w:val="28"/>
              </w:rPr>
              <w:t>专栏12 “新业态示范工程”重点建设内容</w:t>
            </w:r>
          </w:p>
        </w:tc>
      </w:tr>
      <w:tr>
        <w:tblPrEx>
          <w:tblBorders>
            <w:top w:val="single" w:color="000000" w:sz="4" w:space="0"/>
            <w:left w:val="single" w:color="000000" w:sz="4" w:space="0"/>
            <w:bottom w:val="single" w:color="auto" w:sz="4" w:space="0"/>
            <w:right w:val="single" w:color="000000"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1432" w:hRule="atLeast"/>
          <w:jc w:val="center"/>
        </w:trPr>
        <w:tc>
          <w:tcPr>
            <w:tcW w:w="1791" w:type="dxa"/>
            <w:shd w:val="clear" w:color="auto" w:fill="FFFFFF" w:themeFill="background1"/>
            <w:vAlign w:val="center"/>
          </w:tcPr>
          <w:p>
            <w:pPr>
              <w:autoSpaceDE w:val="0"/>
              <w:autoSpaceDN w:val="0"/>
              <w:adjustRightInd w:val="0"/>
              <w:spacing w:line="380" w:lineRule="exact"/>
              <w:jc w:val="center"/>
              <w:rPr>
                <w:rFonts w:ascii="方正仿宋简体" w:hAnsi="黑体" w:eastAsia="方正仿宋简体"/>
                <w:b/>
                <w:sz w:val="24"/>
                <w:szCs w:val="24"/>
                <w:lang w:val="zh-CN"/>
              </w:rPr>
            </w:pPr>
            <w:r>
              <w:rPr>
                <w:rFonts w:hint="eastAsia" w:ascii="方正仿宋简体" w:hAnsi="宋体" w:eastAsia="方正仿宋简体"/>
                <w:b/>
                <w:sz w:val="24"/>
                <w:szCs w:val="24"/>
                <w:lang w:val="zh-CN"/>
              </w:rPr>
              <w:t>综合智慧能源</w:t>
            </w:r>
          </w:p>
        </w:tc>
        <w:tc>
          <w:tcPr>
            <w:tcW w:w="6895" w:type="dxa"/>
            <w:shd w:val="clear" w:color="auto" w:fill="FFFFFF" w:themeFill="background1"/>
            <w:vAlign w:val="center"/>
          </w:tcPr>
          <w:p>
            <w:pPr>
              <w:adjustRightInd w:val="0"/>
              <w:spacing w:line="380" w:lineRule="exact"/>
              <w:textAlignment w:val="center"/>
              <w:rPr>
                <w:rFonts w:ascii="方正仿宋简体" w:hAnsi="宋体" w:eastAsia="方正仿宋简体"/>
                <w:b/>
                <w:sz w:val="24"/>
                <w:szCs w:val="24"/>
                <w:lang w:val="zh-CN"/>
              </w:rPr>
            </w:pPr>
            <w:r>
              <w:rPr>
                <w:rFonts w:hint="eastAsia" w:ascii="方正仿宋简体" w:hAnsi="宋体" w:eastAsia="方正仿宋简体"/>
                <w:b/>
                <w:sz w:val="24"/>
                <w:szCs w:val="24"/>
                <w:lang w:val="zh-CN"/>
              </w:rPr>
              <w:t>重点开展济宁海螺智慧绿色能源示范园区、济宁新材料产业园区综合能源系统建设项目、华能嘉祥绿色智慧能源小镇项目等项目示范。</w:t>
            </w:r>
          </w:p>
        </w:tc>
      </w:tr>
      <w:tr>
        <w:tblPrEx>
          <w:tblBorders>
            <w:top w:val="single" w:color="000000" w:sz="4" w:space="0"/>
            <w:left w:val="single" w:color="000000" w:sz="4" w:space="0"/>
            <w:bottom w:val="single" w:color="auto" w:sz="4" w:space="0"/>
            <w:right w:val="single" w:color="000000"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985" w:hRule="atLeast"/>
          <w:jc w:val="center"/>
        </w:trPr>
        <w:tc>
          <w:tcPr>
            <w:tcW w:w="1791" w:type="dxa"/>
            <w:shd w:val="clear" w:color="auto" w:fill="FFFFFF" w:themeFill="background1"/>
            <w:vAlign w:val="center"/>
          </w:tcPr>
          <w:p>
            <w:pPr>
              <w:autoSpaceDE w:val="0"/>
              <w:autoSpaceDN w:val="0"/>
              <w:adjustRightInd w:val="0"/>
              <w:spacing w:line="380" w:lineRule="exact"/>
              <w:jc w:val="center"/>
              <w:rPr>
                <w:rFonts w:ascii="方正仿宋简体" w:hAnsi="黑体" w:eastAsia="方正仿宋简体"/>
                <w:b/>
                <w:sz w:val="24"/>
                <w:szCs w:val="24"/>
                <w:lang w:val="zh-CN"/>
              </w:rPr>
            </w:pPr>
            <w:r>
              <w:rPr>
                <w:rFonts w:hint="eastAsia" w:ascii="方正仿宋简体" w:hAnsi="宋体" w:eastAsia="方正仿宋简体"/>
                <w:b/>
                <w:sz w:val="24"/>
                <w:szCs w:val="24"/>
                <w:lang w:val="zh-CN"/>
              </w:rPr>
              <w:t>储能</w:t>
            </w:r>
          </w:p>
        </w:tc>
        <w:tc>
          <w:tcPr>
            <w:tcW w:w="6895" w:type="dxa"/>
            <w:shd w:val="clear" w:color="auto" w:fill="FFFFFF" w:themeFill="background1"/>
            <w:vAlign w:val="center"/>
          </w:tcPr>
          <w:p>
            <w:pPr>
              <w:autoSpaceDE w:val="0"/>
              <w:autoSpaceDN w:val="0"/>
              <w:adjustRightInd w:val="0"/>
              <w:spacing w:line="380" w:lineRule="exact"/>
              <w:rPr>
                <w:rFonts w:ascii="方正仿宋简体" w:hAnsi="宋体" w:eastAsia="方正仿宋简体"/>
                <w:b/>
                <w:sz w:val="24"/>
                <w:szCs w:val="24"/>
              </w:rPr>
            </w:pPr>
            <w:r>
              <w:rPr>
                <w:rFonts w:hint="eastAsia" w:ascii="方正仿宋简体" w:hAnsi="宋体" w:eastAsia="方正仿宋简体"/>
                <w:b/>
                <w:sz w:val="24"/>
                <w:szCs w:val="24"/>
                <w:lang w:val="zh-CN"/>
              </w:rPr>
              <w:t>邹城市横河煤矿储能项目、山东华电邹城储能电站、微山储能调峰电站示范项目等。</w:t>
            </w:r>
          </w:p>
        </w:tc>
      </w:tr>
      <w:tr>
        <w:tblPrEx>
          <w:tblBorders>
            <w:top w:val="single" w:color="000000" w:sz="4" w:space="0"/>
            <w:left w:val="single" w:color="000000" w:sz="4" w:space="0"/>
            <w:bottom w:val="single" w:color="auto" w:sz="4" w:space="0"/>
            <w:right w:val="single" w:color="000000" w:sz="4" w:space="0"/>
            <w:insideH w:val="single" w:color="auto" w:sz="4" w:space="0"/>
            <w:insideV w:val="single" w:color="auto" w:sz="4" w:space="0"/>
          </w:tblBorders>
          <w:shd w:val="clear" w:color="auto" w:fill="FFFFFF" w:themeFill="background1"/>
        </w:tblPrEx>
        <w:trPr>
          <w:trHeight w:val="1069" w:hRule="atLeast"/>
          <w:jc w:val="center"/>
        </w:trPr>
        <w:tc>
          <w:tcPr>
            <w:tcW w:w="1791" w:type="dxa"/>
            <w:shd w:val="clear" w:color="auto" w:fill="FFFFFF" w:themeFill="background1"/>
            <w:vAlign w:val="center"/>
          </w:tcPr>
          <w:p>
            <w:pPr>
              <w:autoSpaceDE w:val="0"/>
              <w:autoSpaceDN w:val="0"/>
              <w:adjustRightInd w:val="0"/>
              <w:spacing w:line="380" w:lineRule="exact"/>
              <w:jc w:val="center"/>
              <w:rPr>
                <w:rFonts w:ascii="方正仿宋简体" w:hAnsi="宋体" w:eastAsia="方正仿宋简体"/>
                <w:b/>
                <w:sz w:val="24"/>
                <w:szCs w:val="24"/>
                <w:lang w:val="zh-CN"/>
              </w:rPr>
            </w:pPr>
            <w:r>
              <w:rPr>
                <w:rFonts w:hint="eastAsia" w:ascii="方正仿宋简体" w:hAnsi="宋体" w:eastAsia="方正仿宋简体"/>
                <w:b/>
                <w:sz w:val="24"/>
                <w:szCs w:val="24"/>
                <w:lang w:val="zh-CN"/>
              </w:rPr>
              <w:t>氢能</w:t>
            </w:r>
          </w:p>
        </w:tc>
        <w:tc>
          <w:tcPr>
            <w:tcW w:w="6895" w:type="dxa"/>
            <w:shd w:val="clear" w:color="auto" w:fill="FFFFFF" w:themeFill="background1"/>
            <w:vAlign w:val="center"/>
          </w:tcPr>
          <w:p>
            <w:pPr>
              <w:autoSpaceDE w:val="0"/>
              <w:autoSpaceDN w:val="0"/>
              <w:adjustRightInd w:val="0"/>
              <w:spacing w:line="380" w:lineRule="exact"/>
              <w:rPr>
                <w:rFonts w:ascii="方正仿宋简体" w:hAnsi="宋体" w:eastAsia="方正仿宋简体"/>
                <w:b/>
                <w:sz w:val="24"/>
                <w:szCs w:val="24"/>
                <w:lang w:val="zh-CN"/>
              </w:rPr>
            </w:pPr>
            <w:r>
              <w:rPr>
                <w:rFonts w:hint="eastAsia" w:ascii="方正仿宋简体" w:hAnsi="宋体" w:eastAsia="方正仿宋简体"/>
                <w:b/>
                <w:sz w:val="24"/>
                <w:szCs w:val="24"/>
                <w:lang w:val="zh-CN"/>
              </w:rPr>
              <w:t>山能新能源创新中心项目、荣信集团“氢气岛”项目、山东大力氢能储运装备制造项目等。</w:t>
            </w:r>
          </w:p>
        </w:tc>
      </w:tr>
    </w:tbl>
    <w:p>
      <w:pPr>
        <w:spacing w:line="590" w:lineRule="exact"/>
        <w:ind w:firstLine="624" w:firstLineChars="200"/>
        <w:rPr>
          <w:rFonts w:ascii="方正黑体简体" w:hAnsi="文星仿宋" w:eastAsia="方正黑体简体" w:cs="方正仿宋简体"/>
          <w:b/>
          <w:color w:val="000000"/>
          <w:sz w:val="32"/>
          <w:szCs w:val="32"/>
        </w:rPr>
      </w:pPr>
      <w:r>
        <w:rPr>
          <w:rFonts w:hint="eastAsia" w:ascii="方正黑体简体" w:hAnsi="文星仿宋" w:eastAsia="方正黑体简体" w:cs="方正仿宋简体"/>
          <w:b/>
          <w:color w:val="000000"/>
          <w:sz w:val="32"/>
          <w:szCs w:val="32"/>
        </w:rPr>
        <w:t>六、坚持创新驱动，打造能源产业新增长极</w:t>
      </w:r>
    </w:p>
    <w:p>
      <w:pPr>
        <w:spacing w:line="590" w:lineRule="exact"/>
        <w:ind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深入贯彻“231产业集群”战略，坚持创新驱动和动能转换，以产学研合作为契机，打造重点能源研发平台，依托煤炭产业，打造高端装备、高端化工“两高基地”，依托新能源产业，打造新能源储能装备、新能源集热装备、新能源汽车装备、氢能源研发与应用“四大产业链”，构筑“两高四链”新格局，推动能源产业“提质增量”，助力我市打造“制造强市”。</w:t>
      </w:r>
    </w:p>
    <w:p>
      <w:pPr>
        <w:spacing w:line="590" w:lineRule="exact"/>
        <w:ind w:firstLine="624" w:firstLineChars="200"/>
        <w:rPr>
          <w:rFonts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（一）创新发展能源研发平台</w:t>
      </w:r>
    </w:p>
    <w:p>
      <w:pPr>
        <w:spacing w:line="590" w:lineRule="exact"/>
        <w:ind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以新一轮科技革命和产业变革机遇为起点，加强高端资源合作，积极开展关键共性技术为重点的能源科技攻关，打造重点能源研发平台，实施三个“一批”计划，构建创新驱动的现代能源科技体系。</w:t>
      </w:r>
    </w:p>
    <w:p>
      <w:pPr>
        <w:numPr>
          <w:ilvl w:val="0"/>
          <w:numId w:val="5"/>
        </w:numPr>
        <w:spacing w:line="590" w:lineRule="exact"/>
        <w:ind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打造一批重点能源研发平台。集聚国内外能源领域的顶尖创新资源，聚焦煤炭清洁利用、储能、氢能、燃料电池等前沿技术研发，建设综合性科技创新载体和高新技术孵化基地。依托能源企业、科研院所和高端智库开展协同创新，在能源与生态协同等领域联合组建一批“政产学研用”一体的研发基地作为联合创新平台，积极开展能源科技领域的合作交流；加快推进数字能源管理运行平台建设，建立健全能源监测预警体系，加强能源运行分析和动态监测；围绕提升技术输出能力，大力推动技术转移体系建设。</w:t>
      </w:r>
    </w:p>
    <w:p>
      <w:pPr>
        <w:numPr>
          <w:ilvl w:val="0"/>
          <w:numId w:val="5"/>
        </w:numPr>
        <w:spacing w:line="590" w:lineRule="exact"/>
        <w:ind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布局一批科技攻关项目。瞄准科技发展前沿，聚焦煤炭智能开采、重大灾害防治、高端化工、高端装备智能制造、新型能源等主导产业和新型战略支柱产业发展方向，加快布局实施一批重大科技攻关专项。围绕煤矿安全、节能降耗、绿色开采、煤炭清洁利用、储能、氢能制储及燃料电池整车等方面，攻克一批具有自主知识产权的核心技术和关键技术。</w:t>
      </w:r>
    </w:p>
    <w:p>
      <w:pPr>
        <w:numPr>
          <w:ilvl w:val="0"/>
          <w:numId w:val="5"/>
        </w:numPr>
        <w:spacing w:line="590" w:lineRule="exact"/>
        <w:ind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培育一批创新型科技人才。加强人才培养合作交流，推动建立市校多级联动的人才引进与共享机制，在人才的引进、培养、流动、管理等方面与科研院所开展深度合作；探索个性化培养路径，支持优秀人才交流锻炼；推动与科研院所、高端智库等共建高层次人才信息库、人才企业工作站和创新实验室；探索联合高等院校在济共同办学模式。</w:t>
      </w:r>
    </w:p>
    <w:tbl>
      <w:tblPr>
        <w:tblStyle w:val="5"/>
        <w:tblW w:w="487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autofit"/>
        <w:tblCellMar>
          <w:top w:w="0" w:type="dxa"/>
          <w:left w:w="108" w:type="dxa"/>
          <w:bottom w:w="0" w:type="dxa"/>
          <w:right w:w="108" w:type="dxa"/>
        </w:tblCellMar>
      </w:tblPr>
      <w:tblGrid>
        <w:gridCol w:w="1646"/>
        <w:gridCol w:w="70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2" w:hRule="atLeast"/>
          <w:jc w:val="center"/>
        </w:trPr>
        <w:tc>
          <w:tcPr>
            <w:tcW w:w="5000" w:type="pct"/>
            <w:gridSpan w:val="2"/>
            <w:shd w:val="clear" w:color="auto" w:fill="FFFFFF" w:themeFill="background1"/>
            <w:vAlign w:val="center"/>
          </w:tcPr>
          <w:p>
            <w:pPr>
              <w:widowControl/>
              <w:spacing w:line="400" w:lineRule="exact"/>
              <w:jc w:val="center"/>
              <w:rPr>
                <w:rFonts w:ascii="方正黑体简体" w:hAnsi="黑体" w:eastAsia="方正黑体简体" w:cs="宋体"/>
                <w:b/>
                <w:sz w:val="28"/>
                <w:szCs w:val="28"/>
              </w:rPr>
            </w:pPr>
            <w:r>
              <w:rPr>
                <w:rFonts w:hint="eastAsia" w:ascii="方正黑体简体" w:hAnsi="黑体" w:eastAsia="方正黑体简体" w:cs="宋体"/>
                <w:b/>
                <w:sz w:val="28"/>
                <w:szCs w:val="28"/>
              </w:rPr>
              <w:t>专栏13 “能源研发平台工程”</w:t>
            </w:r>
            <w:r>
              <w:rPr>
                <w:rFonts w:hint="eastAsia" w:ascii="方正黑体简体" w:hAnsi="黑体" w:eastAsia="方正黑体简体" w:cs="黑体"/>
                <w:b/>
                <w:bCs/>
                <w:sz w:val="28"/>
                <w:szCs w:val="28"/>
              </w:rPr>
              <w:t>重点建设内容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PrEx>
        <w:trPr>
          <w:trHeight w:val="1125" w:hRule="atLeast"/>
          <w:jc w:val="center"/>
        </w:trPr>
        <w:tc>
          <w:tcPr>
            <w:tcW w:w="944" w:type="pct"/>
            <w:shd w:val="clear" w:color="auto" w:fill="FFFFFF" w:themeFill="background1"/>
            <w:vAlign w:val="center"/>
          </w:tcPr>
          <w:p>
            <w:pPr>
              <w:widowControl/>
              <w:spacing w:line="400" w:lineRule="exact"/>
              <w:jc w:val="center"/>
              <w:rPr>
                <w:rFonts w:ascii="方正仿宋简体" w:hAnsi="宋体" w:eastAsia="方正仿宋简体" w:cs="宋体"/>
                <w:b/>
                <w:sz w:val="24"/>
                <w:szCs w:val="24"/>
              </w:rPr>
            </w:pPr>
            <w:r>
              <w:rPr>
                <w:rFonts w:hint="eastAsia" w:ascii="方正仿宋简体" w:hAnsi="宋体" w:eastAsia="方正仿宋简体" w:cs="宋体"/>
                <w:b/>
                <w:sz w:val="24"/>
                <w:szCs w:val="24"/>
              </w:rPr>
              <w:t>科研平台</w:t>
            </w:r>
          </w:p>
        </w:tc>
        <w:tc>
          <w:tcPr>
            <w:tcW w:w="4056" w:type="pct"/>
            <w:shd w:val="clear" w:color="auto" w:fill="FFFFFF" w:themeFill="background1"/>
            <w:vAlign w:val="center"/>
          </w:tcPr>
          <w:p>
            <w:pPr>
              <w:autoSpaceDE w:val="0"/>
              <w:autoSpaceDN w:val="0"/>
              <w:adjustRightInd w:val="0"/>
              <w:spacing w:line="400" w:lineRule="exact"/>
              <w:rPr>
                <w:rFonts w:ascii="方正仿宋简体" w:hAnsi="宋体" w:eastAsia="方正仿宋简体" w:cs="宋体"/>
                <w:b/>
                <w:sz w:val="24"/>
                <w:szCs w:val="24"/>
              </w:rPr>
            </w:pPr>
            <w:r>
              <w:rPr>
                <w:rFonts w:hint="eastAsia" w:ascii="方正仿宋简体" w:hAnsi="宋体" w:eastAsia="方正仿宋简体"/>
                <w:b/>
                <w:sz w:val="24"/>
                <w:szCs w:val="24"/>
                <w:lang w:val="zh-CN"/>
              </w:rPr>
              <w:t>济宁（矿大）能源科学技术研究院、济宁中科先进技术研究院、济宁市能源大数据中心。</w:t>
            </w:r>
          </w:p>
        </w:tc>
      </w:tr>
    </w:tbl>
    <w:p>
      <w:pPr>
        <w:spacing w:line="590" w:lineRule="exact"/>
        <w:ind w:firstLine="624" w:firstLineChars="200"/>
        <w:rPr>
          <w:rFonts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（二）转型发展煤炭产业装备</w:t>
      </w:r>
    </w:p>
    <w:p>
      <w:pPr>
        <w:spacing w:line="590" w:lineRule="exact"/>
        <w:ind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按照“发挥传统优势，突出地标产业”的原则，加快培育标志性引领性大项目，做大做强高端煤矿装备制造业，推动高端化工绿色化精细化发展，点燃煤炭行业新引擎。</w:t>
      </w:r>
    </w:p>
    <w:p>
      <w:pPr>
        <w:numPr>
          <w:ilvl w:val="0"/>
          <w:numId w:val="6"/>
        </w:numPr>
        <w:spacing w:line="590" w:lineRule="exact"/>
        <w:ind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高端煤矿技术装备产业基地。以安全开采、智能化开采、绿色矿山为发展方向，加快煤矿安全、高效、绿色、智能技术装备创新；重点发展煤矿大型高端综采成套装备、综采工作面智能化成套技术装备、绿色开采成套装备、井下智能运输装备、矿山机器人、大数据工程、智能环保型储装运系统、绿色高效分选装备、矿山应急救援装备、塌陷地综合治理与生态修复技术、大型煤矿节能装备、矿井水综合利用及深度净化处理技术装备，打造国内领先的高端煤矿技术装备产业集群。</w:t>
      </w:r>
    </w:p>
    <w:p>
      <w:pPr>
        <w:numPr>
          <w:ilvl w:val="0"/>
          <w:numId w:val="6"/>
        </w:numPr>
        <w:spacing w:line="590" w:lineRule="exact"/>
        <w:ind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高端煤化工技术装备产业基地。以传统煤炭化工产品低碳清洁利用和深加工为发展方向，重点发展煤焦油深加工、煤气化、氯碱化工、水煤浆、干煤粉气化工艺、环保节能解耦炉具、高效煤粉制备配送等技术装备，延伸煤焦化和煤气化产业链，与盐化工产业有机衔接，建立煤炭高附加值清洁转化利用协同化的产业体系，推动化工产业向高端化、集群化、基地化、绿色化发展，打造煤炭洁净利用综合产业集群，争创国家级煤化工产业循环经济示范区。</w:t>
      </w:r>
    </w:p>
    <w:p>
      <w:pPr>
        <w:spacing w:line="590" w:lineRule="exact"/>
        <w:ind w:firstLine="624" w:firstLineChars="200"/>
        <w:rPr>
          <w:rFonts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（三）重点发展新能源产业装备</w:t>
      </w:r>
    </w:p>
    <w:p>
      <w:pPr>
        <w:spacing w:line="590" w:lineRule="exact"/>
        <w:ind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按照“突出产业特色、调整引进并举、合理规划布局、分步建设完善”的原则，发挥链条效应，构建“新能源产业发展推进新能源应用，新能源应用促进新能源产业革新”的互动格局。</w:t>
      </w:r>
    </w:p>
    <w:p>
      <w:pPr>
        <w:numPr>
          <w:ilvl w:val="0"/>
          <w:numId w:val="7"/>
        </w:numPr>
        <w:spacing w:line="590" w:lineRule="exact"/>
        <w:ind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壮大新能源储能装备产业链。重点支持储能电池、智能输变电成套装备、智能电网等储能装备产业发展。开发适用于长时间大容量、短时间大容量、分布式以及高功率等模式应用的储能技术装备，形成较为完整的产业链，逐步降低储能成本，实现产业的创新化发展和规模化应用。加快推进变压器、高压动态无功补偿装置、变频器等设备向成套化、高端化、智能化方向发展。探索采用“新能源+储能+智能电网”模式，打造新能源服务和监管平台。</w:t>
      </w:r>
    </w:p>
    <w:p>
      <w:pPr>
        <w:numPr>
          <w:ilvl w:val="0"/>
          <w:numId w:val="7"/>
        </w:numPr>
        <w:spacing w:line="590" w:lineRule="exact"/>
        <w:ind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培育新能源集热装备产业链。重点扶持太阳能光伏组件、高效薄膜电池、光伏逆变器、高性能平板集热器等集热装备产业发展。立足现有太阳能资源优势和产业基础，推广高端、高质、高效产品和设备，借助国家光伏领跑者基地和分布式光伏，培育和壮大智慧光伏产业。</w:t>
      </w:r>
    </w:p>
    <w:p>
      <w:pPr>
        <w:numPr>
          <w:ilvl w:val="0"/>
          <w:numId w:val="7"/>
        </w:numPr>
        <w:spacing w:line="590" w:lineRule="exact"/>
        <w:ind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发展新能源汽车装备产业链。加快研发动力电池正负极、隔膜、石墨烯、电解质等关键材料，探索燃料电池、氢能电池等新型电池研发。加快推动驱动电机、精密减速器、电控系统、电池管理系统等关键零部件研发及产业化。推动电动消防车、环卫车、防爆车、罐车等新能源特种车辆研发制造规模化。</w:t>
      </w:r>
    </w:p>
    <w:p>
      <w:pPr>
        <w:numPr>
          <w:ilvl w:val="0"/>
          <w:numId w:val="7"/>
        </w:numPr>
        <w:spacing w:line="590" w:lineRule="exact"/>
        <w:ind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布局氢能源研发与应用产业链</w:t>
      </w:r>
      <w:r>
        <w:rPr>
          <w:rFonts w:hint="eastAsia" w:ascii="方正楷体简体" w:hAnsi="文星仿宋" w:eastAsia="方正楷体简体" w:cs="方正仿宋简体"/>
          <w:b/>
          <w:color w:val="000000"/>
          <w:sz w:val="32"/>
          <w:szCs w:val="32"/>
        </w:rPr>
        <w:t>。</w:t>
      </w:r>
      <w:r>
        <w:rPr>
          <w:rFonts w:hint="eastAsia" w:ascii="方正仿宋简体" w:hAnsi="文星仿宋" w:eastAsia="方正仿宋简体" w:cs="方正仿宋简体"/>
          <w:b/>
          <w:color w:val="000000"/>
          <w:sz w:val="32"/>
          <w:szCs w:val="32"/>
        </w:rPr>
        <w:t>构建“一核多点”的产业布局，打造济宁高新区、邹城市、嘉祥县、梁山县、兖州区等氢能产业基地。充分发挥济宁高新区集聚高新技术产业的优势，建设孵化基地，形成全市氢能产业研发创新中心，积极创建氢能专用汽车产业集群，打造济宁氢能装备制造核心产业基地；积极研究大规模高效制氢技术及关键装备制造技术，建设燃料电池分布式供能产业基地，打造能源供给及装备产业链，建成国内重要的氢能研发生产基地；通过引进国内领先技术，生产推广储氢、运氢等技术装备，打造国内著名的储氢运氢装备产业基地；加强重型专用车生产线等技术研发，建设氢能源专用车生产基地；发挥化工园区工业副产氢资源丰富的优势，重点建设氢气分离提纯装置，降低制氢成本，建成国内领先的制氢用氢基地。“十四五”及今后一段时期，着力打造制氢、纯化、储运、加氢站、氢能多联供的完整产业链条。</w:t>
      </w:r>
    </w:p>
    <w:p>
      <w:pPr>
        <w:spacing w:line="590" w:lineRule="exact"/>
        <w:ind w:firstLine="624" w:firstLineChars="200"/>
        <w:rPr>
          <w:rFonts w:ascii="方正黑体简体" w:hAnsi="文星仿宋" w:eastAsia="方正黑体简体" w:cs="方正仿宋简体"/>
          <w:b/>
          <w:color w:val="000000"/>
          <w:sz w:val="32"/>
          <w:szCs w:val="32"/>
        </w:rPr>
      </w:pPr>
      <w:r>
        <w:rPr>
          <w:rFonts w:hint="eastAsia" w:ascii="方正黑体简体" w:hAnsi="文星仿宋" w:eastAsia="方正黑体简体" w:cs="方正仿宋简体"/>
          <w:b/>
          <w:color w:val="000000"/>
          <w:sz w:val="32"/>
          <w:szCs w:val="32"/>
        </w:rPr>
        <w:t>七、推动能源消费升级，倡导能源消费新模式</w:t>
      </w:r>
    </w:p>
    <w:p>
      <w:pPr>
        <w:spacing w:line="590" w:lineRule="exact"/>
        <w:ind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坚持节能优先方针，树立“节能就是增加资源、减少污染、造福人类”的理念，深入贯彻落实省委、省政府关于“三个坚决”的决策部署，强化约束性指标管理，抑制不合理能源消费，实施节能减煤重点工程，促进能源消费模式转变。</w:t>
      </w:r>
    </w:p>
    <w:p>
      <w:pPr>
        <w:spacing w:line="590" w:lineRule="exact"/>
        <w:ind w:firstLine="624"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（一）强化重点耗能行业管理。</w:t>
      </w:r>
      <w:r>
        <w:rPr>
          <w:rFonts w:hint="eastAsia" w:ascii="方正仿宋简体" w:hAnsi="文星仿宋" w:eastAsia="方正仿宋简体" w:cs="方正仿宋简体"/>
          <w:b/>
          <w:color w:val="000000"/>
          <w:sz w:val="32"/>
          <w:szCs w:val="32"/>
        </w:rPr>
        <w:t>优化产业结构，降低经济增长对能源消费的依赖；加快推进产业结构优化升级，大力推进节能减煤重点工程实施，把焦化、氯碱等高耗能行业转型升级作为加快新旧动能转换的突破口，加快行业布局优化、质量提升。强化激励约束机制，严格落实能源消费总量和强度“双控”要求，所有新上“两高”项目必须落实能源消费减量替代。健全单位能耗产出效益综合评价系统，促进煤炭和能源消费监控、评价科学化。到2025年，煤炭消费占能源总消费比重下降至74%。</w:t>
      </w:r>
    </w:p>
    <w:p>
      <w:pPr>
        <w:spacing w:line="590" w:lineRule="exact"/>
        <w:ind w:firstLine="624"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（二）推动煤炭清洁高效利用。</w:t>
      </w:r>
      <w:r>
        <w:rPr>
          <w:rFonts w:hint="eastAsia" w:ascii="方正仿宋简体" w:hAnsi="文星仿宋" w:eastAsia="方正仿宋简体" w:cs="方正仿宋简体"/>
          <w:b/>
          <w:color w:val="000000"/>
          <w:sz w:val="32"/>
          <w:szCs w:val="32"/>
        </w:rPr>
        <w:t>实施“精煤”战略，推动煤炭清洁高效和分质分级利用。大力推广节能新技术，积极推广先进的高效煤粉、洁净型煤和水煤浆技术，积极引导各类社会资本进入煤炭清洁高效利用相关领域，鼓励采用合同能源管理方式实施节能升级改造。加快集中供热清洁供暖，加强热电行业管理，加快实现热网互联互通和热源互济互补，提高热网运行效率；支持跨区热电联产项目建设，扩大集中供热范围；在大型热源管网覆盖范围内，鼓励地热能、生物质能等清洁能源供热补充；推进供热体制改革，加快实现“一点供热、多点互补、热网贯通、有序竞争”的热网布局。</w:t>
      </w:r>
    </w:p>
    <w:p>
      <w:pPr>
        <w:spacing w:line="590" w:lineRule="exact"/>
        <w:ind w:firstLine="624"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（三）提升终端用能电气化率。</w:t>
      </w:r>
      <w:r>
        <w:rPr>
          <w:rFonts w:hint="eastAsia" w:ascii="方正仿宋简体" w:hAnsi="文星仿宋" w:eastAsia="方正仿宋简体" w:cs="方正仿宋简体"/>
          <w:b/>
          <w:color w:val="000000"/>
          <w:sz w:val="32"/>
          <w:szCs w:val="32"/>
        </w:rPr>
        <w:t>以提高主要部门用电占用能比重、减少化石能源消耗、提升全社会电气化水平、降低大气污染物排放为目标，逐步扩大电能替代范围，持续挖掘成熟领域替代深度。工业领域，持续推广工业电锅炉、工业电窑炉，推进“以电代煤”“以电代油”。农业领域，重点推广电烤烟、电制茶、电热大棚等农产品生产“煤改电”以及农业排灌“油改电”工程。交通领域，全面推广靠港船舶岸基供电、电驱动装卸和机场桥载设备供电等技术，加快港口岸电系统和空港陆电系统建设，实施车辆“油改电”工程，推动交通用能清洁化。居民生活领域，推广成熟电气化技术，加快蓄热式电锅炉、热泵、电蓄冷等技术装备应用，提升民生用能电气化水平。</w:t>
      </w:r>
    </w:p>
    <w:p>
      <w:pPr>
        <w:spacing w:line="590" w:lineRule="exact"/>
        <w:ind w:firstLine="624"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（四）推进天然气消费需求释放。</w:t>
      </w:r>
      <w:r>
        <w:rPr>
          <w:rFonts w:hint="eastAsia" w:ascii="方正仿宋简体" w:hAnsi="文星仿宋" w:eastAsia="方正仿宋简体" w:cs="方正仿宋简体"/>
          <w:b/>
          <w:color w:val="000000"/>
          <w:sz w:val="32"/>
          <w:szCs w:val="32"/>
        </w:rPr>
        <w:t>工业领域，在气源保障条件较好情况下，支持发展天然气冷、热、电三联供分布式能源，有序适度发展天然气热电联产项目。交通领域，以公交出租、长途重卡、通勤作业等车辆和内河、湖泊运输船舶为重点，加快推进交通领域天然气应用。民生领域，坚决按照“气化济宁”战略实施，加快城镇燃气配套设施建设及改造，释放居民用气需求；坚持“以气定改”，稳妥推进农村清洁取暖用气和重点行业燃料“煤改气”。到2025年，天然气消费量达到14亿立方米左右。</w:t>
      </w:r>
    </w:p>
    <w:p>
      <w:pPr>
        <w:spacing w:line="590" w:lineRule="exact"/>
        <w:ind w:firstLine="624"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（五）推动全社会节约利用能源。</w:t>
      </w:r>
      <w:r>
        <w:rPr>
          <w:rFonts w:hint="eastAsia" w:ascii="方正仿宋简体" w:hAnsi="文星仿宋" w:eastAsia="方正仿宋简体" w:cs="方正仿宋简体"/>
          <w:b/>
          <w:color w:val="000000"/>
          <w:sz w:val="32"/>
          <w:szCs w:val="32"/>
        </w:rPr>
        <w:t>改善城乡用能方式，围绕乡村振兴战略，实施新城镇、新能源、新生活行动计划，坚持集中与分布供能相结合，深化城乡用能方式转变，提高城乡用能水平和效率。加强能源需求侧管理，引导用户自主参与调峰、错峰。开展全民节能行动。实施全民节能行动计划，加强宣传教育，普及节能知识，推广节能新技术、新产品，大力提倡绿色生活方式，引导居民科学合理用能。</w:t>
      </w:r>
    </w:p>
    <w:p>
      <w:pPr>
        <w:spacing w:line="590" w:lineRule="exact"/>
        <w:ind w:firstLine="624" w:firstLineChars="200"/>
        <w:rPr>
          <w:rFonts w:ascii="方正黑体简体" w:hAnsi="文星仿宋" w:eastAsia="方正黑体简体" w:cs="方正仿宋简体"/>
          <w:b/>
          <w:color w:val="000000"/>
          <w:sz w:val="32"/>
          <w:szCs w:val="32"/>
        </w:rPr>
      </w:pPr>
      <w:r>
        <w:rPr>
          <w:rFonts w:hint="eastAsia" w:ascii="方正黑体简体" w:hAnsi="文星仿宋" w:eastAsia="方正黑体简体" w:cs="方正仿宋简体"/>
          <w:b/>
          <w:color w:val="000000"/>
          <w:sz w:val="32"/>
          <w:szCs w:val="32"/>
        </w:rPr>
        <w:t>八、强化安全生产，构建安全稳定的能源生产体系</w:t>
      </w:r>
    </w:p>
    <w:p>
      <w:pPr>
        <w:spacing w:line="590" w:lineRule="exact"/>
        <w:ind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坚持“安全第一、预防为主、综合治理”的方针，树立安全发展理念，加强重点领域管理，构建安全稳定的能源生产体系，全面防范化解安全风险，全面消除安全隐患，全面遏制重特大事故，确保能源行业安全生产整体水平明显提高。</w:t>
      </w:r>
    </w:p>
    <w:p>
      <w:pPr>
        <w:spacing w:line="590" w:lineRule="exact"/>
        <w:ind w:firstLine="624" w:firstLineChars="200"/>
        <w:rPr>
          <w:rFonts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（一）强化煤矿安全生产</w:t>
      </w:r>
    </w:p>
    <w:p>
      <w:pPr>
        <w:spacing w:line="590" w:lineRule="exact"/>
        <w:ind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1. 深化煤矿安全基础管理。深入落实安全专项整治要求，进一步健全煤矿安全生产长效机制，加强煤矿生产安全事故应急预案管理工作；大力推进煤矿安全生产标准化建设；深化安全教育培训。加强救援队伍达标建设和应急演练，完善应急信息平台和协作联动机制，提高突发事故应急救援能力；同时加强煤矿安全监管能力建设。</w:t>
      </w:r>
    </w:p>
    <w:p>
      <w:pPr>
        <w:spacing w:line="590" w:lineRule="exact"/>
        <w:ind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2. 提升煤矿安全保障能力。加快关退落后、不安全产能，鼓励煤矿通过智能化改造方式扩能，督促生产煤矿严格按照核定生产能力组织生产，坚决杜绝超能力生产；加快推进智能化建设，大力实施“少人则安，无人则安”；完善矿井监测监控、精准定位和通信联络等系统，全面提升煤矿安全保障能力。</w:t>
      </w:r>
    </w:p>
    <w:p>
      <w:pPr>
        <w:spacing w:line="590" w:lineRule="exact"/>
        <w:ind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3. 加强煤矿重大灾害防治。重点地区矿井推行老空水防治“四步工作法”，严格落实“三专两探一撤”措施，推广水患区域“四线”管理。冲击地压矿井落实核减产能、“三限三强”、卸压解危等综合防冲措施。煤与瓦斯突出矿井做到抽掘采平衡。加强通风管理，提高通风设施构筑质量，强化防灭火措施管理，做好自然发火防治工作。</w:t>
      </w:r>
    </w:p>
    <w:p>
      <w:pPr>
        <w:spacing w:line="590" w:lineRule="exact"/>
        <w:ind w:firstLine="624" w:firstLineChars="200"/>
        <w:rPr>
          <w:rFonts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（二）加强油气管道保护</w:t>
      </w:r>
    </w:p>
    <w:p>
      <w:pPr>
        <w:spacing w:line="590" w:lineRule="exact"/>
        <w:ind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1. 健全管道保护制度体系。深入贯彻落实国家油气管道保护法和省油气管道保护条例，落实实施主体，抓好宣传培训，切实提高管道保护意识和水平。健全管道保护监控体系，提高管道保护信息管理水平；加快高后果区管道保护视频动态监控建设，大力创建管道保护城市。</w:t>
      </w:r>
    </w:p>
    <w:p>
      <w:pPr>
        <w:spacing w:line="590" w:lineRule="exact"/>
        <w:ind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2. 健全管道巡护体系。加强管道保护执法机构和队伍建设，依法履行管道保护职责，做好组织排除管道重大外部安全隐患工作。依法依规履行管道保护监管职责，加强指导协调和监督检查，督促管道企业履行管道保护主体责任。全面提升油气管道法定检验覆盖率，建立以风险分级管控和隐患排查治理为重点的油气管道安全预防控制体系。</w:t>
      </w:r>
    </w:p>
    <w:p>
      <w:pPr>
        <w:spacing w:line="590" w:lineRule="exact"/>
        <w:ind w:firstLine="624" w:firstLineChars="200"/>
        <w:rPr>
          <w:rFonts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（三）强化电力安全运行</w:t>
      </w:r>
    </w:p>
    <w:p>
      <w:pPr>
        <w:spacing w:line="590" w:lineRule="exact"/>
        <w:ind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1. 加强电力系统运行管理。深入研究交直流混联、大规模新能源接入对电网安全的影响。严格执行《电力系统安全稳定导则》等相关标准要求，筑牢“三道防线”。强化调度计划的多时段多层级协调配合和安全校核，提升电网安全预防控制水平。</w:t>
      </w:r>
    </w:p>
    <w:p>
      <w:pPr>
        <w:spacing w:line="590" w:lineRule="exact"/>
        <w:ind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2. 提升电力设施保护能力。完善制度建设，强化政企协同，严格依法行政。加强风险监督管控，加大技防设施建设，落实警企联动机制，提升电力设施防范能力。加大宣传工作力度，营造电力设施保护良好舆论环境。</w:t>
      </w:r>
    </w:p>
    <w:p>
      <w:pPr>
        <w:spacing w:line="590" w:lineRule="exact"/>
        <w:ind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3. 提高区域电网应急反应能力。完善大面积停电情况下电源—电网—负荷联动机制，建立健全新能源—常规能源—电网协调管控机制。开展电网反事故演习，提高大面积停电事故防范和应急处置能力。</w:t>
      </w:r>
    </w:p>
    <w:p>
      <w:pPr>
        <w:spacing w:line="590" w:lineRule="exact"/>
        <w:ind w:firstLine="624" w:firstLineChars="200"/>
        <w:rPr>
          <w:rFonts w:ascii="方正仿宋简体" w:hAnsi="文星仿宋" w:eastAsia="方正仿宋简体" w:cs="方正仿宋简体"/>
          <w:b/>
          <w:color w:val="000000"/>
          <w:sz w:val="32"/>
          <w:szCs w:val="32"/>
        </w:rPr>
      </w:pPr>
      <w:r>
        <w:rPr>
          <w:rFonts w:ascii="方正仿宋简体" w:hAnsi="文星仿宋" w:eastAsia="方正仿宋简体" w:cs="方正仿宋简体"/>
          <w:b/>
          <w:color w:val="000000"/>
          <w:sz w:val="32"/>
          <w:szCs w:val="32"/>
        </w:rPr>
        <w:t xml:space="preserve"> </w:t>
      </w:r>
    </w:p>
    <w:p>
      <w:pPr>
        <w:spacing w:line="590" w:lineRule="exact"/>
        <w:jc w:val="center"/>
        <w:rPr>
          <w:rFonts w:ascii="方正小标宋简体" w:hAnsi="文星仿宋" w:eastAsia="方正小标宋简体" w:cs="方正仿宋简体"/>
          <w:b/>
          <w:color w:val="000000"/>
          <w:sz w:val="32"/>
          <w:szCs w:val="32"/>
        </w:rPr>
      </w:pPr>
      <w:r>
        <w:rPr>
          <w:rFonts w:hint="eastAsia" w:ascii="方正小标宋简体" w:hAnsi="文星仿宋" w:eastAsia="方正小标宋简体" w:cs="方正仿宋简体"/>
          <w:b/>
          <w:color w:val="000000"/>
          <w:sz w:val="32"/>
          <w:szCs w:val="32"/>
        </w:rPr>
        <w:t>第三章  环境影响分析</w:t>
      </w:r>
    </w:p>
    <w:p>
      <w:pPr>
        <w:spacing w:line="590" w:lineRule="exact"/>
        <w:ind w:firstLine="624" w:firstLineChars="200"/>
        <w:rPr>
          <w:rFonts w:ascii="方正仿宋简体" w:hAnsi="文星仿宋" w:eastAsia="方正仿宋简体" w:cs="方正仿宋简体"/>
          <w:b/>
          <w:color w:val="000000"/>
          <w:sz w:val="32"/>
          <w:szCs w:val="32"/>
        </w:rPr>
      </w:pPr>
    </w:p>
    <w:p>
      <w:pPr>
        <w:spacing w:line="590" w:lineRule="exact"/>
        <w:ind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本规划结合省能源规划任务及市“十四五”规划纲要，合理设定能源生产目标，通过聚力能源供给侧结构性改革，加快转变能源生产消费模式，分类推动技术创新、产业创新、商业模式创新，促进能源发展质量变革、效率变革、动力变革，实现能源开发利用与生态环境保护和谐共生。</w:t>
      </w:r>
    </w:p>
    <w:p>
      <w:pPr>
        <w:spacing w:line="590" w:lineRule="exact"/>
        <w:ind w:firstLine="624" w:firstLineChars="200"/>
        <w:rPr>
          <w:rFonts w:ascii="方正黑体简体" w:hAnsi="文星仿宋" w:eastAsia="方正黑体简体" w:cs="方正仿宋简体"/>
          <w:b/>
          <w:color w:val="000000"/>
          <w:sz w:val="32"/>
          <w:szCs w:val="32"/>
        </w:rPr>
      </w:pPr>
      <w:r>
        <w:rPr>
          <w:rFonts w:hint="eastAsia" w:ascii="方正黑体简体" w:hAnsi="文星仿宋" w:eastAsia="方正黑体简体" w:cs="方正仿宋简体"/>
          <w:b/>
          <w:color w:val="000000"/>
          <w:sz w:val="32"/>
          <w:szCs w:val="32"/>
        </w:rPr>
        <w:t>一、规划实施环境影响分析</w:t>
      </w:r>
    </w:p>
    <w:p>
      <w:pPr>
        <w:spacing w:line="590" w:lineRule="exact"/>
        <w:ind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到2025年，我市预计煤炭消耗量降低约180万吨，减少二氧化硫排放约1.3万吨，减少氮氧化物排放约1.2万吨，减少烟尘排放约0.4万吨，减少二氧化碳排放约340万吨；天然气用量新增约5亿立方米，新增二氧化碳排放约2万吨；油品使用量减少6万吨，二氧化碳排放减少约1.4万吨。</w:t>
      </w:r>
    </w:p>
    <w:p>
      <w:pPr>
        <w:spacing w:line="590" w:lineRule="exact"/>
        <w:ind w:firstLine="624"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（一）优化能源供给体系，推动能源领域减排。</w:t>
      </w:r>
      <w:r>
        <w:rPr>
          <w:rFonts w:hint="eastAsia" w:ascii="方正仿宋简体" w:hAnsi="文星仿宋" w:eastAsia="方正仿宋简体" w:cs="方正仿宋简体"/>
          <w:b/>
          <w:color w:val="000000"/>
          <w:sz w:val="32"/>
          <w:szCs w:val="32"/>
        </w:rPr>
        <w:t>本规划以构建安全高效、智慧多元的现代能源供给体系为重点任务，加快清洁能源的开发利用、煤炭煤电的优化升级，大力调整能源发展结构，降低污染物排放，实现良好的环境效益。到2025年，我市预计非化石能源利用达到300万吨标准煤，按替代我市煤电机组来测算，相应减少二氧化硫排放约3万吨，氮氧化物排放约2.8万吨，烟尘排放约1万吨，二氧化碳排放约800万吨。</w:t>
      </w:r>
    </w:p>
    <w:p>
      <w:pPr>
        <w:spacing w:line="590" w:lineRule="exact"/>
        <w:ind w:firstLine="624"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（二）优化能源消费体系，推动用能领域减排。</w:t>
      </w:r>
      <w:r>
        <w:rPr>
          <w:rFonts w:hint="eastAsia" w:ascii="方正仿宋简体" w:hAnsi="文星仿宋" w:eastAsia="方正仿宋简体" w:cs="方正仿宋简体"/>
          <w:b/>
          <w:color w:val="000000"/>
          <w:sz w:val="32"/>
          <w:szCs w:val="32"/>
        </w:rPr>
        <w:t>本规划以构建清洁低碳的现代能源消费体系为重点任务，优化能源要素配置，推动重点用能领域绿色低碳转型。“十四五”期间，持续压减淘汰落后产能和过剩产能，实现煤炭集中使用，大力发展集中供热，有序推广煤改气、煤改电工程，推进煤炭消费减量替代。通过结构节能、管理节能、技术节能，全面提升能效水平，从源头上降低污染物排放负荷和碳排放强度。</w:t>
      </w:r>
    </w:p>
    <w:p>
      <w:pPr>
        <w:spacing w:line="590" w:lineRule="exact"/>
        <w:ind w:firstLine="624" w:firstLineChars="200"/>
        <w:rPr>
          <w:rFonts w:ascii="方正黑体简体" w:hAnsi="文星仿宋" w:eastAsia="方正黑体简体" w:cs="方正仿宋简体"/>
          <w:b/>
          <w:color w:val="000000"/>
          <w:sz w:val="32"/>
          <w:szCs w:val="32"/>
        </w:rPr>
      </w:pPr>
      <w:r>
        <w:rPr>
          <w:rFonts w:hint="eastAsia" w:ascii="方正黑体简体" w:hAnsi="文星仿宋" w:eastAsia="方正黑体简体" w:cs="方正仿宋简体"/>
          <w:b/>
          <w:color w:val="000000"/>
          <w:sz w:val="32"/>
          <w:szCs w:val="32"/>
        </w:rPr>
        <w:t>二、预防和减轻环境影响对策</w:t>
      </w:r>
    </w:p>
    <w:p>
      <w:pPr>
        <w:spacing w:line="590" w:lineRule="exact"/>
        <w:ind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坚持清洁低碳、绿色发展的基本原则，实施能源生产、储运、消费与生态文明建设全过程深度融合，通过采取法律、行政、经济和技术措施，倾力预防和减轻能源对环境的影响，实现能源开发利用与生态环境和谐共生。</w:t>
      </w:r>
    </w:p>
    <w:p>
      <w:pPr>
        <w:spacing w:line="590" w:lineRule="exact"/>
        <w:ind w:firstLine="624"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（一）加强能源规划环评工作保障措施。</w:t>
      </w:r>
      <w:r>
        <w:rPr>
          <w:rFonts w:hint="eastAsia" w:ascii="方正仿宋简体" w:hAnsi="文星仿宋" w:eastAsia="方正仿宋简体" w:cs="方正仿宋简体"/>
          <w:b/>
          <w:color w:val="000000"/>
          <w:sz w:val="32"/>
          <w:szCs w:val="32"/>
        </w:rPr>
        <w:t>严格遵守《中华人民共和国环境保护法》《中华人民共和国环境影响评价法》《中华人民共和国节约能源法》等法律，严格落实“三线一单”生态空间管控要求，突出加强重点生态功能区和生态脆弱区能源开发的生态保护。严格落实规划环评制度，强化规划环评约束作用，推动区域、行业和企业落实污染物排放控制等政策要求。夯实责任，强化监管，规范竣工环保验收，依法开展后评价，落实跟踪监测、企业信息公开等方面的要求，强化企业主体责任，推动环评、施工期环境监管、后评价的有效衔接。</w:t>
      </w:r>
    </w:p>
    <w:p>
      <w:pPr>
        <w:spacing w:line="590" w:lineRule="exact"/>
        <w:ind w:firstLine="624"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（二）加强能源开发生产环节环保措施。</w:t>
      </w:r>
      <w:r>
        <w:rPr>
          <w:rFonts w:hint="eastAsia" w:ascii="方正仿宋简体" w:hAnsi="文星仿宋" w:eastAsia="方正仿宋简体" w:cs="方正仿宋简体"/>
          <w:b/>
          <w:color w:val="000000"/>
          <w:sz w:val="32"/>
          <w:szCs w:val="32"/>
        </w:rPr>
        <w:t>加强能源项目节能评估审查，对未通过环境影响评价、未通过节能评估审查的项目，不核准、不备案、不开工建设。建设项目要做到环境保护设施与主体工程“三同时”，投运项目做到环保设施全负荷、全时段稳定运行。积极运用先进清洁生产技术和废弃资源综合利用技术，减少污染物排放，降低能源生产和转化对土地、水资源、生态环境的不良影响。强化企业环保主体责任，增强自主减排动力。</w:t>
      </w:r>
    </w:p>
    <w:p>
      <w:pPr>
        <w:spacing w:line="590" w:lineRule="exact"/>
        <w:ind w:firstLine="624"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（三）加强能源运输储备环节环保措施。</w:t>
      </w:r>
      <w:r>
        <w:rPr>
          <w:rFonts w:hint="eastAsia" w:ascii="方正仿宋简体" w:hAnsi="文星仿宋" w:eastAsia="方正仿宋简体" w:cs="方正仿宋简体"/>
          <w:b/>
          <w:color w:val="000000"/>
          <w:sz w:val="32"/>
          <w:szCs w:val="32"/>
        </w:rPr>
        <w:t>继续优化运输方式，煤炭运输更多采取铁路直达、铁水联运方式，减少转载等产生的损失浪费和环境影响。加快油气管网建设，最大限度避免公路运输突发事故对环境的影响。加强油气管道保护，加大隐患整治力度，防止泄漏、爆炸、火灾等事故发生，减少对环境的影响。继续做好安全储备，对液态能源产品存储设施，严格按照安全、卫生防护距离进行选址，严格按照工艺、材料和安全标准设计建造，严格设置消防、绿化、防渗、防溢、防泄等防护措施。对固态能源产品存储设施，重点加强防尘集尘、截污治污、预防自燃等防护措施。</w:t>
      </w:r>
    </w:p>
    <w:p>
      <w:pPr>
        <w:spacing w:line="590" w:lineRule="exact"/>
        <w:ind w:firstLine="624"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（四）加强能源消费环节环保措施。</w:t>
      </w:r>
      <w:r>
        <w:rPr>
          <w:rFonts w:hint="eastAsia" w:ascii="方正仿宋简体" w:hAnsi="文星仿宋" w:eastAsia="方正仿宋简体" w:cs="方正仿宋简体"/>
          <w:b/>
          <w:color w:val="000000"/>
          <w:sz w:val="32"/>
          <w:szCs w:val="32"/>
        </w:rPr>
        <w:t>深化节能减排，依照节能法律法规，综合采取财税、价格、标准等措施，在重点领域、行业、企业大力推进节能减排技术改造，加快淘汰落后产能、污染严重产能。结合行业特点，力争电力、钢铁等领域余热、余压和废渣等资源100%利用。出台引导企业使用清洁能源的鼓励政策，营造全社会节能减排和保护环境的良好氛围。</w:t>
      </w:r>
    </w:p>
    <w:p>
      <w:pPr>
        <w:spacing w:line="590" w:lineRule="exact"/>
        <w:ind w:firstLine="624"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（五）加强生态环境保护及恢复治理。</w:t>
      </w:r>
      <w:r>
        <w:rPr>
          <w:rFonts w:hint="eastAsia" w:ascii="方正仿宋简体" w:hAnsi="文星仿宋" w:eastAsia="方正仿宋简体" w:cs="方正仿宋简体"/>
          <w:b/>
          <w:color w:val="000000"/>
          <w:sz w:val="32"/>
          <w:szCs w:val="32"/>
        </w:rPr>
        <w:t>煤炭行业，大力推广绿色开采技术和井下洗选技术，减轻煤炭开采、洗选对环境的影响。电力行业，严格新建项目环保准入和环保设施运行监督，全面推进在役机组超低排放改造。油气行业，优化油气管网布局，推进管道共建公用，减少耕地占用，及时复垦，保护地形地貌。</w:t>
      </w:r>
    </w:p>
    <w:p>
      <w:pPr>
        <w:spacing w:line="590" w:lineRule="exact"/>
        <w:ind w:firstLine="624" w:firstLineChars="200"/>
        <w:rPr>
          <w:rFonts w:ascii="方正黑体简体" w:hAnsi="文星仿宋" w:eastAsia="方正黑体简体" w:cs="方正仿宋简体"/>
          <w:b/>
          <w:color w:val="000000"/>
          <w:sz w:val="32"/>
          <w:szCs w:val="32"/>
        </w:rPr>
      </w:pPr>
      <w:r>
        <w:rPr>
          <w:rFonts w:hint="eastAsia" w:ascii="方正黑体简体" w:hAnsi="文星仿宋" w:eastAsia="方正黑体简体" w:cs="方正仿宋简体"/>
          <w:b/>
          <w:color w:val="000000"/>
          <w:sz w:val="32"/>
          <w:szCs w:val="32"/>
        </w:rPr>
        <w:t>三、环境保护预期效果</w:t>
      </w:r>
    </w:p>
    <w:p>
      <w:pPr>
        <w:spacing w:line="590" w:lineRule="exact"/>
        <w:ind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通过采取以上措施，预计到2025年，全市能源行业对环境的影响将得到更好的控制，能源行业节能、生态目标可以实现。</w:t>
      </w:r>
    </w:p>
    <w:p>
      <w:pPr>
        <w:spacing w:line="590" w:lineRule="exact"/>
        <w:ind w:firstLine="624" w:firstLineChars="200"/>
        <w:rPr>
          <w:rFonts w:ascii="方正仿宋简体" w:hAnsi="文星仿宋" w:eastAsia="方正仿宋简体" w:cs="方正仿宋简体"/>
          <w:b/>
          <w:color w:val="000000"/>
          <w:sz w:val="32"/>
          <w:szCs w:val="32"/>
        </w:rPr>
      </w:pPr>
      <w:r>
        <w:rPr>
          <w:rFonts w:ascii="方正仿宋简体" w:hAnsi="文星仿宋" w:eastAsia="方正仿宋简体" w:cs="方正仿宋简体"/>
          <w:b/>
          <w:color w:val="000000"/>
          <w:sz w:val="32"/>
          <w:szCs w:val="32"/>
        </w:rPr>
        <w:t xml:space="preserve"> </w:t>
      </w:r>
    </w:p>
    <w:p>
      <w:pPr>
        <w:spacing w:line="590" w:lineRule="exact"/>
        <w:jc w:val="center"/>
        <w:rPr>
          <w:rFonts w:ascii="方正小标宋简体" w:hAnsi="文星仿宋" w:eastAsia="方正小标宋简体" w:cs="方正仿宋简体"/>
          <w:b/>
          <w:color w:val="000000"/>
          <w:sz w:val="32"/>
          <w:szCs w:val="32"/>
        </w:rPr>
      </w:pPr>
      <w:r>
        <w:rPr>
          <w:rFonts w:hint="eastAsia" w:ascii="方正小标宋简体" w:hAnsi="文星仿宋" w:eastAsia="方正小标宋简体" w:cs="方正仿宋简体"/>
          <w:b/>
          <w:color w:val="000000"/>
          <w:sz w:val="32"/>
          <w:szCs w:val="32"/>
        </w:rPr>
        <w:t>第四章  保障措施</w:t>
      </w:r>
    </w:p>
    <w:p>
      <w:pPr>
        <w:spacing w:line="590" w:lineRule="exact"/>
        <w:ind w:firstLine="624" w:firstLineChars="200"/>
        <w:rPr>
          <w:rFonts w:ascii="方正仿宋简体" w:hAnsi="文星仿宋" w:eastAsia="方正仿宋简体" w:cs="方正仿宋简体"/>
          <w:b/>
          <w:color w:val="000000"/>
          <w:sz w:val="32"/>
          <w:szCs w:val="32"/>
        </w:rPr>
      </w:pPr>
    </w:p>
    <w:p>
      <w:pPr>
        <w:spacing w:line="590" w:lineRule="exact"/>
        <w:ind w:firstLine="624" w:firstLineChars="200"/>
        <w:rPr>
          <w:rFonts w:ascii="方正仿宋简体" w:hAnsi="文星仿宋" w:eastAsia="方正仿宋简体" w:cs="方正仿宋简体"/>
          <w:b/>
          <w:color w:val="000000"/>
          <w:sz w:val="32"/>
          <w:szCs w:val="32"/>
        </w:rPr>
      </w:pPr>
      <w:r>
        <w:rPr>
          <w:rFonts w:hint="eastAsia" w:ascii="方正黑体简体" w:hAnsi="方正黑体简体" w:eastAsia="方正黑体简体" w:cs="方正黑体简体"/>
          <w:b/>
          <w:color w:val="000000"/>
          <w:sz w:val="32"/>
          <w:szCs w:val="32"/>
        </w:rPr>
        <w:t>一、加强规划引领，强化组织落实。</w:t>
      </w:r>
      <w:r>
        <w:rPr>
          <w:rFonts w:hint="eastAsia" w:ascii="方正仿宋简体" w:hAnsi="文星仿宋" w:eastAsia="方正仿宋简体" w:cs="方正仿宋简体"/>
          <w:b/>
          <w:color w:val="000000"/>
          <w:sz w:val="32"/>
          <w:szCs w:val="32"/>
        </w:rPr>
        <w:t>充分发挥能源规划对全市能源发展、重大项目布局、公共资源配置、社会资本投向的战略导向作用，完善规划引领约束机制；加强能源发展规划与国民经济和社会发展规划、国土空间规划等规划的衔接；加强规划实施评估，适时进行滚动修编；统筹发展改革、工业和信息化、自然资源和规划、生态环境、财政、人力资源社会保障、金融、能源、电网等部门（单位）职能，强化资金、用地、人才等要素保障，建立能源工作协调机制，形成推动规划实施的整体合力，保障目标分解任务；强化规划刚性管理，完善评估考核制度。</w:t>
      </w:r>
    </w:p>
    <w:p>
      <w:pPr>
        <w:spacing w:line="590" w:lineRule="exact"/>
        <w:ind w:firstLine="624" w:firstLineChars="200"/>
        <w:rPr>
          <w:rFonts w:ascii="方正仿宋简体" w:hAnsi="文星仿宋" w:eastAsia="方正仿宋简体" w:cs="方正仿宋简体"/>
          <w:b/>
          <w:color w:val="000000"/>
          <w:sz w:val="32"/>
          <w:szCs w:val="32"/>
        </w:rPr>
      </w:pPr>
      <w:r>
        <w:rPr>
          <w:rFonts w:hint="eastAsia" w:ascii="方正黑体简体" w:hAnsi="方正黑体简体" w:eastAsia="方正黑体简体" w:cs="方正黑体简体"/>
          <w:b/>
          <w:color w:val="000000"/>
          <w:sz w:val="32"/>
          <w:szCs w:val="32"/>
        </w:rPr>
        <w:t>二、深化体制改革，激发能源活力。</w:t>
      </w:r>
      <w:r>
        <w:rPr>
          <w:rFonts w:hint="eastAsia" w:ascii="方正仿宋简体" w:hAnsi="文星仿宋" w:eastAsia="方正仿宋简体" w:cs="方正仿宋简体"/>
          <w:b/>
          <w:color w:val="000000"/>
          <w:sz w:val="32"/>
          <w:szCs w:val="32"/>
        </w:rPr>
        <w:t>以培育市场新主体、提高能源配置效率为主线，进一步深化能源体制改革。一是按照有进有退、产权明晰、结构完善、积极稳妥的原则，把整合资源措施落到实处，逐步壮大煤炭、电力企业，提高核心竞争力和市场话语权；二是坚持市场化原则，充分培育多元化的市场竞争主体，全力提高竞争主体的质量和数量，迅速提升高新创新研发和利用水平，打造知名品牌；三是建立科学的激励约束机制，引导传统能源企业向新能源产业、非能源产业发展转型。</w:t>
      </w:r>
    </w:p>
    <w:p>
      <w:pPr>
        <w:spacing w:line="590" w:lineRule="exact"/>
        <w:ind w:firstLine="624" w:firstLineChars="200"/>
        <w:rPr>
          <w:rFonts w:ascii="方正仿宋简体" w:hAnsi="文星仿宋" w:eastAsia="方正仿宋简体" w:cs="方正仿宋简体"/>
          <w:b/>
          <w:color w:val="000000"/>
          <w:spacing w:val="-4"/>
          <w:sz w:val="32"/>
          <w:szCs w:val="32"/>
        </w:rPr>
      </w:pPr>
      <w:r>
        <w:rPr>
          <w:rFonts w:hint="eastAsia" w:ascii="方正黑体简体" w:hAnsi="方正黑体简体" w:eastAsia="方正黑体简体" w:cs="方正黑体简体"/>
          <w:b/>
          <w:color w:val="000000"/>
          <w:sz w:val="32"/>
          <w:szCs w:val="32"/>
        </w:rPr>
        <w:t>三、提升政府服务，完善标准规范。</w:t>
      </w:r>
      <w:r>
        <w:rPr>
          <w:rFonts w:hint="eastAsia" w:ascii="方正仿宋简体" w:hAnsi="文星仿宋" w:eastAsia="方正仿宋简体" w:cs="方正仿宋简体"/>
          <w:b/>
          <w:color w:val="000000"/>
          <w:spacing w:val="-4"/>
          <w:sz w:val="32"/>
          <w:szCs w:val="32"/>
        </w:rPr>
        <w:t>深化简政放权、放管结合、优化服务改革，打造能源产业发展绿色通道，以项目审批、资金争取、环境建设为抓手，为能源产业转型发展提供全方位高效服务，促进投资多元化，加速新能源发展。在引导企业强化标准意识、自觉执行强制标准的同时，支持和鼓励行业领军企业积极参与标准制定。</w:t>
      </w:r>
    </w:p>
    <w:p>
      <w:pPr>
        <w:spacing w:line="620" w:lineRule="exact"/>
        <w:ind w:firstLine="624" w:firstLineChars="200"/>
        <w:rPr>
          <w:rFonts w:ascii="方正仿宋简体" w:hAnsi="文星仿宋" w:eastAsia="方正仿宋简体" w:cs="方正仿宋简体"/>
          <w:b/>
          <w:color w:val="000000"/>
          <w:sz w:val="32"/>
          <w:szCs w:val="32"/>
        </w:rPr>
      </w:pPr>
      <w:r>
        <w:rPr>
          <w:rFonts w:hint="eastAsia" w:ascii="方正黑体简体" w:hAnsi="方正黑体简体" w:eastAsia="方正黑体简体" w:cs="方正黑体简体"/>
          <w:b/>
          <w:color w:val="000000"/>
          <w:sz w:val="32"/>
          <w:szCs w:val="32"/>
        </w:rPr>
        <w:t>四、完善体系政策，促进能源发展。</w:t>
      </w:r>
      <w:r>
        <w:rPr>
          <w:rFonts w:hint="eastAsia" w:ascii="方正仿宋简体" w:hAnsi="文星仿宋" w:eastAsia="方正仿宋简体" w:cs="方正仿宋简体"/>
          <w:b/>
          <w:color w:val="000000"/>
          <w:sz w:val="32"/>
          <w:szCs w:val="32"/>
        </w:rPr>
        <w:t>完善能源发展相关金融、价格政策，强化政策引导、扶持和政策协同，促进能源产业可持续发展。用足用好现行财税政策，多渠道筹集资金，支持新能源与可再生能源发展；健全能源金融体系，支持金融机构加大能源项目建设融资，鼓励风险投资以多种方式参与能源项目；完善监管体系，深化“放管服”改革，积极推进能源领域信用体系建设。完善能源投资政策，鼓励各类投资主体依法平等参与能源开发利用活动和基础设施建设。</w:t>
      </w:r>
    </w:p>
    <w:p>
      <w:pPr>
        <w:spacing w:line="620" w:lineRule="exact"/>
        <w:ind w:firstLine="624" w:firstLineChars="200"/>
        <w:rPr>
          <w:rFonts w:ascii="方正仿宋简体" w:hAnsi="文星仿宋" w:eastAsia="方正仿宋简体" w:cs="方正仿宋简体"/>
          <w:b/>
          <w:color w:val="000000"/>
          <w:sz w:val="32"/>
          <w:szCs w:val="32"/>
        </w:rPr>
      </w:pPr>
      <w:r>
        <w:rPr>
          <w:rFonts w:hint="eastAsia" w:ascii="方正黑体简体" w:hAnsi="方正黑体简体" w:eastAsia="方正黑体简体" w:cs="方正黑体简体"/>
          <w:b/>
          <w:color w:val="000000"/>
          <w:sz w:val="32"/>
          <w:szCs w:val="32"/>
        </w:rPr>
        <w:t>五、强化人才支撑，鼓励创新发展。</w:t>
      </w:r>
      <w:r>
        <w:rPr>
          <w:rFonts w:hint="eastAsia" w:ascii="方正仿宋简体" w:hAnsi="文星仿宋" w:eastAsia="方正仿宋简体" w:cs="方正仿宋简体"/>
          <w:b/>
          <w:color w:val="000000"/>
          <w:sz w:val="32"/>
          <w:szCs w:val="32"/>
        </w:rPr>
        <w:t>紧跟能源领域科技进步步伐，全面提升人才科技水平。建立人才储备机制，积极与国内外高校、领先企业加强合作，推动我市高校提质升级，培养引进高水平的技术人才、管理人才，吸引专家“周末工作”，形成方式灵活、来源多元、结构优越的创新型人才队伍。依托人才优势，搭建自主创新研发平台，构建能源行业标准化管理体系，开展能源关键技术研发创新工作。</w:t>
      </w:r>
    </w:p>
    <w:p>
      <w:pPr>
        <w:spacing w:line="620" w:lineRule="exact"/>
        <w:ind w:firstLine="624" w:firstLineChars="200"/>
        <w:rPr>
          <w:rFonts w:ascii="方正仿宋简体" w:hAnsi="文星仿宋" w:eastAsia="方正仿宋简体" w:cs="方正仿宋简体"/>
          <w:b/>
          <w:color w:val="000000"/>
          <w:sz w:val="32"/>
          <w:szCs w:val="32"/>
        </w:rPr>
      </w:pPr>
      <w:r>
        <w:rPr>
          <w:rFonts w:hint="eastAsia" w:ascii="方正黑体简体" w:hAnsi="方正黑体简体" w:eastAsia="方正黑体简体" w:cs="方正黑体简体"/>
          <w:b/>
          <w:color w:val="000000"/>
          <w:sz w:val="32"/>
          <w:szCs w:val="32"/>
        </w:rPr>
        <w:t>六、加强宣传引导，打造优越氛围。</w:t>
      </w:r>
      <w:r>
        <w:rPr>
          <w:rFonts w:hint="eastAsia" w:ascii="方正仿宋简体" w:hAnsi="文星仿宋" w:eastAsia="方正仿宋简体" w:cs="方正仿宋简体"/>
          <w:b/>
          <w:color w:val="000000"/>
          <w:sz w:val="32"/>
          <w:szCs w:val="32"/>
        </w:rPr>
        <w:t>通过网络、电视等载体加大宣传力度，宣传我市在能源结构调整方面的工作情况，提高全社会参与度，使决策更科学、工作更高效。向社会各方面传达能源领域最新情况和信息，方便企业及时了解国家发布的鼓励、限制政策规定，规避行业产能过剩、市场无序竞争、面临淘汰关停等风险，更好地作出决策。提高全社会对能源结构调整的认知度和认可度，引导更多资源投入能源产业发展，创造宽松的发展环境。</w:t>
      </w:r>
    </w:p>
    <w:p>
      <w:pPr>
        <w:spacing w:line="590" w:lineRule="exact"/>
        <w:ind w:right="-96" w:rightChars="-50" w:firstLine="624" w:firstLineChars="200"/>
        <w:rPr>
          <w:rFonts w:ascii="方正仿宋简体" w:hAnsi="文星仿宋" w:eastAsia="方正仿宋简体" w:cs="方正仿宋简体"/>
          <w:b/>
          <w:color w:val="000000"/>
          <w:sz w:val="32"/>
          <w:szCs w:val="32"/>
        </w:rPr>
      </w:pPr>
    </w:p>
    <w:p>
      <w:pPr>
        <w:spacing w:line="590" w:lineRule="exact"/>
        <w:ind w:right="-96" w:rightChars="-50" w:firstLine="624" w:firstLineChars="200"/>
        <w:rPr>
          <w:rFonts w:ascii="方正仿宋简体" w:hAnsi="文星仿宋" w:eastAsia="方正仿宋简体" w:cs="方正仿宋简体"/>
          <w:b/>
          <w:color w:val="000000"/>
          <w:sz w:val="32"/>
          <w:szCs w:val="32"/>
        </w:rPr>
      </w:pPr>
    </w:p>
    <w:p>
      <w:pPr>
        <w:spacing w:line="590" w:lineRule="exact"/>
        <w:ind w:right="-96" w:rightChars="-50" w:firstLine="624" w:firstLineChars="200"/>
        <w:rPr>
          <w:rFonts w:ascii="方正仿宋简体" w:hAnsi="文星仿宋" w:eastAsia="方正仿宋简体" w:cs="方正仿宋简体"/>
          <w:b/>
          <w:color w:val="000000"/>
          <w:sz w:val="32"/>
          <w:szCs w:val="32"/>
        </w:rPr>
      </w:pPr>
    </w:p>
    <w:p>
      <w:pPr>
        <w:spacing w:line="590" w:lineRule="exact"/>
        <w:ind w:right="-96" w:rightChars="-50" w:firstLine="624" w:firstLineChars="200"/>
        <w:rPr>
          <w:rFonts w:ascii="方正仿宋简体" w:hAnsi="文星仿宋" w:eastAsia="方正仿宋简体" w:cs="方正仿宋简体"/>
          <w:b/>
          <w:color w:val="000000"/>
          <w:sz w:val="32"/>
          <w:szCs w:val="32"/>
        </w:rPr>
      </w:pPr>
    </w:p>
    <w:p>
      <w:pPr>
        <w:spacing w:line="590" w:lineRule="exact"/>
        <w:ind w:right="-96" w:rightChars="-50" w:firstLine="624" w:firstLineChars="200"/>
        <w:rPr>
          <w:rFonts w:ascii="方正仿宋简体" w:hAnsi="文星仿宋" w:eastAsia="方正仿宋简体" w:cs="方正仿宋简体"/>
          <w:b/>
          <w:color w:val="000000"/>
          <w:sz w:val="32"/>
          <w:szCs w:val="32"/>
        </w:rPr>
      </w:pPr>
    </w:p>
    <w:p>
      <w:pPr>
        <w:spacing w:line="590" w:lineRule="exact"/>
        <w:ind w:right="-96" w:rightChars="-50" w:firstLine="624" w:firstLineChars="200"/>
        <w:rPr>
          <w:rFonts w:ascii="方正仿宋简体" w:hAnsi="文星仿宋" w:eastAsia="方正仿宋简体" w:cs="方正仿宋简体"/>
          <w:b/>
          <w:color w:val="000000"/>
          <w:sz w:val="32"/>
          <w:szCs w:val="32"/>
        </w:rPr>
      </w:pPr>
    </w:p>
    <w:p>
      <w:pPr>
        <w:spacing w:line="590" w:lineRule="exact"/>
        <w:ind w:right="-96" w:rightChars="-50" w:firstLine="624" w:firstLineChars="200"/>
        <w:rPr>
          <w:rFonts w:ascii="方正仿宋简体" w:hAnsi="文星仿宋" w:eastAsia="方正仿宋简体" w:cs="方正仿宋简体"/>
          <w:b/>
          <w:color w:val="000000"/>
          <w:sz w:val="32"/>
          <w:szCs w:val="32"/>
        </w:rPr>
      </w:pPr>
    </w:p>
    <w:p>
      <w:pPr>
        <w:spacing w:line="590" w:lineRule="exact"/>
        <w:ind w:right="-96" w:rightChars="-50" w:firstLine="624" w:firstLineChars="200"/>
        <w:rPr>
          <w:rFonts w:ascii="方正仿宋简体" w:hAnsi="文星仿宋" w:eastAsia="方正仿宋简体" w:cs="方正仿宋简体"/>
          <w:b/>
          <w:color w:val="000000"/>
          <w:sz w:val="32"/>
          <w:szCs w:val="32"/>
        </w:rPr>
      </w:pPr>
    </w:p>
    <w:p>
      <w:pPr>
        <w:spacing w:line="590" w:lineRule="exact"/>
        <w:ind w:right="-96" w:rightChars="-50" w:firstLine="624" w:firstLineChars="200"/>
        <w:rPr>
          <w:rFonts w:ascii="方正仿宋简体" w:hAnsi="文星仿宋" w:eastAsia="方正仿宋简体" w:cs="方正仿宋简体"/>
          <w:b/>
          <w:color w:val="000000"/>
          <w:sz w:val="32"/>
          <w:szCs w:val="32"/>
        </w:rPr>
      </w:pPr>
    </w:p>
    <w:p>
      <w:pPr>
        <w:spacing w:line="590" w:lineRule="exact"/>
        <w:ind w:right="-96" w:rightChars="-50" w:firstLine="624" w:firstLineChars="200"/>
        <w:rPr>
          <w:rFonts w:ascii="方正仿宋简体" w:hAnsi="文星仿宋" w:eastAsia="方正仿宋简体" w:cs="方正仿宋简体"/>
          <w:b/>
          <w:color w:val="000000"/>
          <w:sz w:val="32"/>
          <w:szCs w:val="32"/>
        </w:rPr>
      </w:pPr>
    </w:p>
    <w:p>
      <w:pPr>
        <w:spacing w:line="590" w:lineRule="exact"/>
        <w:ind w:right="-96" w:rightChars="-50" w:firstLine="624" w:firstLineChars="200"/>
        <w:rPr>
          <w:rFonts w:ascii="方正仿宋简体" w:hAnsi="文星仿宋" w:eastAsia="方正仿宋简体" w:cs="方正仿宋简体"/>
          <w:b/>
          <w:color w:val="000000"/>
          <w:sz w:val="32"/>
          <w:szCs w:val="32"/>
        </w:rPr>
      </w:pPr>
    </w:p>
    <w:p>
      <w:pPr>
        <w:spacing w:line="590" w:lineRule="exact"/>
        <w:ind w:right="-96" w:rightChars="-50" w:firstLine="624" w:firstLineChars="200"/>
        <w:rPr>
          <w:rFonts w:ascii="方正仿宋简体" w:hAnsi="文星仿宋" w:eastAsia="方正仿宋简体" w:cs="方正仿宋简体"/>
          <w:b/>
          <w:color w:val="000000"/>
          <w:sz w:val="32"/>
          <w:szCs w:val="32"/>
        </w:rPr>
      </w:pPr>
    </w:p>
    <w:p>
      <w:pPr>
        <w:spacing w:line="590" w:lineRule="exact"/>
        <w:ind w:right="-96" w:rightChars="-50" w:firstLine="624" w:firstLineChars="200"/>
        <w:rPr>
          <w:rFonts w:ascii="方正仿宋简体" w:hAnsi="文星仿宋" w:eastAsia="方正仿宋简体" w:cs="方正仿宋简体"/>
          <w:b/>
          <w:color w:val="000000"/>
          <w:sz w:val="32"/>
          <w:szCs w:val="32"/>
        </w:rPr>
      </w:pPr>
    </w:p>
    <w:p>
      <w:pPr>
        <w:spacing w:line="590" w:lineRule="exact"/>
        <w:ind w:right="-96" w:rightChars="-50"/>
        <w:rPr>
          <w:rFonts w:ascii="方正仿宋简体" w:hAnsi="文星仿宋" w:eastAsia="方正仿宋简体" w:cs="方正仿宋简体"/>
          <w:b/>
          <w:color w:val="000000"/>
          <w:sz w:val="32"/>
          <w:szCs w:val="32"/>
        </w:rPr>
      </w:pPr>
    </w:p>
    <w:p>
      <w:pPr>
        <w:spacing w:line="590" w:lineRule="exact"/>
        <w:ind w:right="-96" w:rightChars="-50" w:firstLine="624" w:firstLineChars="200"/>
        <w:rPr>
          <w:rFonts w:ascii="方正仿宋简体" w:hAnsi="文星仿宋" w:eastAsia="方正仿宋简体" w:cs="方正仿宋简体"/>
          <w:b/>
          <w:color w:val="000000"/>
          <w:sz w:val="32"/>
          <w:szCs w:val="32"/>
        </w:rPr>
      </w:pPr>
    </w:p>
    <w:p>
      <w:pPr>
        <w:spacing w:line="590" w:lineRule="exact"/>
        <w:ind w:right="-96" w:rightChars="-50" w:firstLine="624" w:firstLineChars="200"/>
        <w:rPr>
          <w:rFonts w:ascii="方正仿宋简体" w:hAnsi="文星仿宋" w:eastAsia="方正仿宋简体" w:cs="方正仿宋简体"/>
          <w:b/>
          <w:color w:val="000000"/>
          <w:sz w:val="32"/>
          <w:szCs w:val="32"/>
        </w:rPr>
      </w:pPr>
    </w:p>
    <w:p>
      <w:pPr>
        <w:spacing w:line="590" w:lineRule="exact"/>
        <w:ind w:right="-96" w:rightChars="-50" w:firstLine="624" w:firstLineChars="200"/>
        <w:rPr>
          <w:rFonts w:ascii="方正仿宋简体" w:hAnsi="文星仿宋" w:eastAsia="方正仿宋简体" w:cs="方正仿宋简体"/>
          <w:b/>
          <w:color w:val="000000"/>
          <w:sz w:val="32"/>
          <w:szCs w:val="32"/>
        </w:rPr>
      </w:pPr>
    </w:p>
    <w:p>
      <w:pPr>
        <w:spacing w:line="600" w:lineRule="exact"/>
        <w:rPr>
          <w:rFonts w:ascii="方正仿宋简体" w:hAnsi="文星仿宋" w:eastAsia="方正仿宋简体" w:cs="方正仿宋简体"/>
          <w:b/>
          <w:color w:val="000000"/>
          <w:sz w:val="32"/>
          <w:szCs w:val="32"/>
        </w:rPr>
      </w:pPr>
    </w:p>
    <w:p>
      <w:pPr>
        <w:rPr>
          <w:rFonts w:ascii="方正小标宋简体" w:hAnsi="文星黑体" w:eastAsia="方正小标宋简体" w:cs="方正小标宋简体"/>
          <w:b/>
          <w:color w:val="000000"/>
        </w:rPr>
      </w:pPr>
      <w:r>
        <w:rPr>
          <w:rFonts w:eastAsia="方正仿宋简体"/>
          <w:sz w:val="32"/>
          <w:szCs w:val="32"/>
        </w:rPr>
        <mc:AlternateContent>
          <mc:Choice Requires="wps">
            <w:drawing>
              <wp:anchor distT="0" distB="0" distL="114300" distR="114300" simplePos="0" relativeHeight="250609664" behindDoc="0" locked="0" layoutInCell="1" allowOverlap="1">
                <wp:simplePos x="0" y="0"/>
                <wp:positionH relativeFrom="column">
                  <wp:posOffset>0</wp:posOffset>
                </wp:positionH>
                <wp:positionV relativeFrom="paragraph">
                  <wp:posOffset>331470</wp:posOffset>
                </wp:positionV>
                <wp:extent cx="5544185" cy="0"/>
                <wp:effectExtent l="0" t="0" r="19050" b="19050"/>
                <wp:wrapNone/>
                <wp:docPr id="5" name="Line 20"/>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Line 20" o:spid="_x0000_s1026" o:spt="20" style="position:absolute;left:0pt;margin-left:0pt;margin-top:26.1pt;height:0pt;width:436.55pt;z-index:250609664;mso-width-relative:page;mso-height-relative:page;" filled="f" stroked="t" coordsize="21600,21600" o:gfxdata="UEsFBgAAAAAAAAAAAAAAAAAAAAAAAFBLAwQKAAAAAACHTuJAAAAAAAAAAAAAAAAABAAAAGRycy9Q SwMEFAAAAAgAh07iQEYf4NXWAAAABgEAAA8AAABkcnMvZG93bnJldi54bWxNj81uwjAQhO+VeAdr K/VWnKRqidI4HKgQasUFqNTrEi9xaLwOsfnp29cVB3rcmdHMt+X0YjtxosG3jhWk4wQEce10y42C z838MQfhA7LGzjEp+CEP02p0V2Kh3ZlXdFqHRsQS9gUqMCH0hZS+NmTRj11PHL2dGyyGeA6N1AOe Y7ntZJYkL9Jiy3HBYE8zQ/X3+mgV4NtiFb7y7GPSvpvlfjM/LEx+UOrhPk1eQQS6hFsY/vAjOlSR aeuOrL3oFMRHgoLnLAMR3XzylILYXgVZlfI/fvULUEsDBBQAAAAIAIdO4kC1IFgMtgEAAIEDAAAO AAAAZHJzL2Uyb0RvYy54bWytU01v2zAMvQ/YfxB0b+wGzTYYcXpo2l2KLcC2H8BItC1AXxC1OPn3 o5Q22cdlGOaDLInkI/n4tL4/OisOmMgE38vbRSsFehW08WMvv319uvkgBWXwGmzw2MsTkrzfvH2z nmOHyzAFqzEJBvHUzbGXU86xaxpSEzqgRYjo2TiE5CDzMY2NTjAzurPNsm3fNXNIOqagkIhvt2ej 3FT8YUCVPw8DYRa2l1xbrmuq676szWYN3ZggTka9lAH/UIUD4znpBWoLGcT3ZP6AckalQGHICxVc E4bBKKw9cDe37W/dfJkgYu2FyaF4oYn+H6z6dNglYXQvV1J4cDyiZ+NRLCs1c6SOPR78LjFR5URx l0qfxyG58ucOxLHSebrQiccsFF+uVnd3bcusq1dbcw2MifJHDE6UTS8tJ60EwuGZMidj11eXksd6 MbO+lu8rHrBSBguZoV3k2smPNZiCNfrJWFtCKI37B5vEAcrs61fGzcC/uJUsW6Dp7FdNZ1VMCPrR a5FPkVnxLF9ZanCopbDIai+7qp8Mxv6NJ6e2niu4Ell2+6BPld96z3OuNb5osgjp53ONvr6czQ9Q SwMECgAAAAAAh07iQAAAAAAAAAAAAAAAAAYAAABfcmVscy9QSwMEFAAAAAgAh07iQIoUZjzRAAAA lAEAAAsAAABfcmVscy8ucmVsc6WQwWrDMAyG74O9g9F9cZrDGKNOL6PQa+kewNiKYxpbRjLZ+vbz DoNl9LajfqHvE//+8JkWtSJLpGxg1/WgMDvyMQcD75fj0wsoqTZ7u1BGAzcUOIyPD/szLra2I5lj EdUoWQzMtZZXrcXNmKx0VDC3zUScbG0jB12su9qAeuj7Z82/GTBumOrkDfDJD6Aut9LMf9gpOiah qXaOkqZpiu4eVQe2ZY7uyDbhG7lGsxywGvAsGgdqWdd+BH1fv/un3tNHPuO61X6HjOuPV2+6HL8A UEsDBBQAAAAIAIdO4kB+5uUg9wAAAOEBAAATAAAAW0NvbnRlbnRfVHlwZXNdLnhtbJWRQU7DMBBF 90jcwfIWJU67QAgl6YK0S0CoHGBkTxKLZGx5TGhvj5O2G0SRWNoz/78nu9wcxkFMGNg6quQqL6RA 0s5Y6ir5vt9lD1JwBDIwOMJKHpHlpr69KfdHjyxSmriSfYz+USnWPY7AufNIadK6MEJMx9ApD/oD OlTrorhX2lFEilmcO2RdNtjC5xDF9pCuTyYBB5bi6bQ4syoJ3g9WQ0ymaiLzg5KdCXlKLjvcW893 SUOqXwnz5DrgnHtJTxOsQfEKIT7DmDSUCayM+6KAU/53yWw5cuba1mrMm8BNir3hdLG61o5r1zj9 3/Ltkrp0q+WD6m9QSwECFAAUAAAACACHTuJAfublIPcAAADhAQAAEwAAAAAAAAABACAAAAA7BAAA W0NvbnRlbnRfVHlwZXNdLnhtbFBLAQIUAAoAAAAAAIdO4kAAAAAAAAAAAAAAAAAGAAAAAAAAAAAA EAAAAB0DAABfcmVscy9QSwECFAAUAAAACACHTuJAihRmPNEAAACUAQAACwAAAAAAAAABACAAAABB AwAAX3JlbHMvLnJlbHNQSwECFAAKAAAAAACHTuJAAAAAAAAAAAAAAAAABAAAAAAAAAAAABAAAAAW AAAAZHJzL1BLAQIUABQAAAAIAIdO4kBGH+DV1gAAAAYBAAAPAAAAAAAAAAEAIAAAADgAAABkcnMv ZG93bnJldi54bWxQSwECFAAUAAAACACHTuJAtSBYDLYBAACBAwAADgAAAAAAAAABACAAAAA7AQAA ZHJzL2Uyb0RvYy54bWxQSwUGAAAAAAYABgBZAQAAYwUAAAAA ">
                <v:fill on="f" focussize="0,0"/>
                <v:stroke weight="1pt" color="#000000" joinstyle="round"/>
                <v:imagedata o:title=""/>
                <o:lock v:ext="edit" aspectratio="f"/>
              </v:line>
            </w:pict>
          </mc:Fallback>
        </mc:AlternateContent>
      </w:r>
      <w:r>
        <w:rPr>
          <w:rFonts w:hint="eastAsia" w:ascii="方正小标宋简体" w:hAnsi="文星黑体" w:eastAsia="方正小标宋简体" w:cs="方正小标宋简体"/>
          <w:b/>
          <w:color w:val="000000"/>
          <w:sz w:val="32"/>
          <w:szCs w:val="32"/>
          <w:lang w:bidi="ar"/>
        </w:rPr>
        <w:t xml:space="preserve"> </w:t>
      </w:r>
      <w:bookmarkStart w:id="5" w:name="主题词"/>
      <w:bookmarkEnd w:id="5"/>
    </w:p>
    <w:p>
      <w:pPr>
        <w:spacing w:line="440" w:lineRule="exact"/>
        <w:ind w:firstLine="267" w:firstLineChars="98"/>
        <w:rPr>
          <w:rFonts w:ascii="方正仿宋简体" w:hAnsi="方正仿宋简体" w:eastAsia="方正仿宋简体" w:cs="方正仿宋简体"/>
          <w:b/>
          <w:color w:val="000000"/>
          <w:sz w:val="28"/>
          <w:szCs w:val="28"/>
          <w:lang w:bidi="ar"/>
        </w:rPr>
      </w:pPr>
      <w:r>
        <w:rPr>
          <w:rFonts w:hint="eastAsia" w:ascii="方正仿宋简体" w:hAnsi="文星仿宋" w:eastAsia="方正仿宋简体" w:cs="方正仿宋简体"/>
          <w:b/>
          <w:sz w:val="28"/>
          <w:szCs w:val="28"/>
          <w:lang w:bidi="ar"/>
        </w:rPr>
        <w:t>抄送：市委各部门，市人大常委会办公室，市政协办公室，</w:t>
      </w:r>
      <w:r>
        <w:rPr>
          <w:rFonts w:hint="eastAsia" w:ascii="方正仿宋简体" w:hAnsi="方正仿宋简体" w:eastAsia="方正仿宋简体" w:cs="方正仿宋简体"/>
          <w:b/>
          <w:color w:val="000000"/>
          <w:sz w:val="28"/>
          <w:szCs w:val="28"/>
          <w:lang w:bidi="ar"/>
        </w:rPr>
        <w:t>市</w:t>
      </w:r>
      <w:r>
        <w:rPr>
          <w:rFonts w:ascii="方正仿宋简体" w:hAnsi="方正仿宋简体" w:eastAsia="方正仿宋简体" w:cs="方正仿宋简体"/>
          <w:b/>
          <w:color w:val="000000"/>
          <w:sz w:val="28"/>
          <w:szCs w:val="28"/>
          <w:lang w:bidi="ar"/>
        </w:rPr>
        <w:t>监委</w:t>
      </w:r>
      <w:r>
        <w:rPr>
          <w:rFonts w:hint="eastAsia" w:ascii="方正仿宋简体" w:hAnsi="方正仿宋简体" w:eastAsia="方正仿宋简体" w:cs="方正仿宋简体"/>
          <w:b/>
          <w:color w:val="000000"/>
          <w:sz w:val="28"/>
          <w:szCs w:val="28"/>
          <w:lang w:bidi="ar"/>
        </w:rPr>
        <w:t>，</w:t>
      </w:r>
    </w:p>
    <w:p>
      <w:pPr>
        <w:spacing w:line="440" w:lineRule="exact"/>
        <w:ind w:firstLine="1099" w:firstLineChars="398"/>
        <w:rPr>
          <w:rFonts w:ascii="方正仿宋简体" w:hAnsi="文星仿宋" w:eastAsia="方正仿宋简体" w:cs="方正仿宋简体"/>
          <w:b/>
          <w:sz w:val="28"/>
          <w:szCs w:val="28"/>
        </w:rPr>
      </w:pPr>
      <w:r>
        <w:rPr>
          <w:rFonts w:hint="eastAsia" w:ascii="方正仿宋简体" w:hAnsi="文星仿宋" w:eastAsia="方正仿宋简体" w:cs="方正仿宋简体"/>
          <w:b/>
          <w:spacing w:val="2"/>
          <w:sz w:val="28"/>
          <w:szCs w:val="28"/>
          <w:lang w:bidi="ar"/>
        </w:rPr>
        <w:t>市</w:t>
      </w:r>
      <w:r>
        <w:rPr>
          <w:rFonts w:hint="eastAsia" w:ascii="方正仿宋简体" w:hAnsi="文星仿宋" w:eastAsia="方正仿宋简体" w:cs="方正仿宋简体"/>
          <w:b/>
          <w:sz w:val="28"/>
          <w:szCs w:val="28"/>
          <w:lang w:bidi="ar"/>
        </w:rPr>
        <w:t>法院，市检察院，济宁军分区。</w:t>
      </w:r>
    </w:p>
    <w:p>
      <w:pPr>
        <w:spacing w:line="740" w:lineRule="exact"/>
        <w:ind w:firstLine="306" w:firstLineChars="98"/>
        <w:rPr>
          <w:rFonts w:ascii="方正仿宋简体" w:hAnsi="文星仿宋" w:eastAsia="方正仿宋简体" w:cs="方正仿宋简体"/>
          <w:b/>
          <w:sz w:val="28"/>
          <w:szCs w:val="28"/>
        </w:rPr>
      </w:pPr>
      <w:r>
        <w:rPr>
          <w:rFonts w:eastAsia="方正仿宋简体"/>
          <w:sz w:val="32"/>
          <w:szCs w:val="32"/>
        </w:rPr>
        <mc:AlternateContent>
          <mc:Choice Requires="wps">
            <w:drawing>
              <wp:anchor distT="0" distB="0" distL="114300" distR="114300" simplePos="0" relativeHeight="252707840" behindDoc="0" locked="0" layoutInCell="1" allowOverlap="1">
                <wp:simplePos x="0" y="0"/>
                <wp:positionH relativeFrom="column">
                  <wp:posOffset>4582795</wp:posOffset>
                </wp:positionH>
                <wp:positionV relativeFrom="paragraph">
                  <wp:posOffset>617855</wp:posOffset>
                </wp:positionV>
                <wp:extent cx="1647825" cy="942975"/>
                <wp:effectExtent l="0" t="0" r="28575" b="28575"/>
                <wp:wrapNone/>
                <wp:docPr id="1" name="文本框 1"/>
                <wp:cNvGraphicFramePr/>
                <a:graphic xmlns:a="http://schemas.openxmlformats.org/drawingml/2006/main">
                  <a:graphicData uri="http://schemas.microsoft.com/office/word/2010/wordprocessingShape">
                    <wps:wsp>
                      <wps:cNvSpPr txBox="true"/>
                      <wps:spPr>
                        <a:xfrm>
                          <a:off x="0" y="0"/>
                          <a:ext cx="1647825" cy="942975"/>
                        </a:xfrm>
                        <a:prstGeom prst="rect">
                          <a:avLst/>
                        </a:prstGeom>
                        <a:solidFill>
                          <a:schemeClr val="bg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txbxContent>
                      </wps:txbx>
                      <wps:bodyPr rot="0" spcFirstLastPara="0" vertOverflow="overflow" horzOverflow="overflow" vert="horz" wrap="square" lIns="91440" tIns="45720" rIns="91440" bIns="45720" numCol="1" spcCol="0" rtlCol="0" fromWordArt="false" anchor="t" anchorCtr="false" forceAA="false" compatLnSpc="true">
                        <a:noAutofit/>
                      </wps:bodyPr>
                    </wps:wsp>
                  </a:graphicData>
                </a:graphic>
              </wp:anchor>
            </w:drawing>
          </mc:Choice>
          <mc:Fallback>
            <w:pict>
              <v:shape id="_x0000_s1026" o:spid="_x0000_s1026" o:spt="202" type="#_x0000_t202" style="position:absolute;left:0pt;margin-left:360.85pt;margin-top:48.65pt;height:74.25pt;width:129.75pt;z-index:252707840;mso-width-relative:page;mso-height-relative:page;" fillcolor="#FFFFFF [3212]" filled="t" stroked="t" coordsize="21600,21600" o:gfxdata="UEsFBgAAAAAAAAAAAAAAAAAAAAAAAFBLAwQKAAAAAACHTuJAAAAAAAAAAAAAAAAABAAAAGRycy9Q SwMEFAAAAAgAh07iQL6CKNjZAAAACgEAAA8AAABkcnMvZG93bnJldi54bWxNj01Pg0AQhu8m/ofN mHizC2iFIkMPJt6MCa1fxy07BSI7S9kF6r93Pelx8j5532eK7dn0YqbRdZYR4lUEgri2uuMG4XX/ dJOBcF6xVr1lQvgmB9vy8qJQubYLVzTvfCNCCbtcIbTeD7mUrm7JKLeyA3HIjnY0yodzbKQe1RLK TS+TKLqXRnUcFlo10GNL9dduMggv82Tfmvd1/cGfS+Wy46l6zk6I11dx9ADC09n/wfCrH9ShDE4H O7F2okdIkzgNKMImvQURgE0WJyAOCMndOgNZFvL/C+UPUEsDBBQAAAAIAIdO4kA8P9FhQwIAAIoE AAAOAAAAZHJzL2Uyb0RvYy54bWytVM2uUjEQ3pv4Dk33cgD5uRAON8gNxoR4b4LGdelpoUlPp7aF c/AB9A1cuXHvc/EcTsuBy1UXxsiizHSGb2a+fsPkti412QvnFZicdlptSoThUCizyen7d4sXN5T4 wEzBNBiR04Pw9Hb6/NmksmPRhS3oQjiCIMaPK5vTbQh2nGWeb0XJfAusMBiU4EoW0HWbrHCsQvRS Z912e5BV4ArrgAvv8fbuFKTThC+l4OFeSi8C0TnF3kI6XTrX8cymEzbeOGa3ijdtsH/oomTKYNEL 1B0LjOyc+g2qVNyBBxlaHMoMpFRcpBlwmk77l2lWW2ZFmgXJ8fZCk/9/sPzt/sERVeDbUWJYiU90 /Prl+O3H8ftn0on0VNaPMWtlMS/Ur6DOaXA7cQ55vI+D19KV8RtHIpiCXB8u/Io6EI6XnUFveNPt U8IxNup1R8N+hMkef22dD68FlCQaOXX4folWtl/6cEo9p8RiHrQqFkrr5LjNeq4d2TN860X6NOhP 0rQhVU4HL/vthPwk5v8GAtvVJhYUSV9NY5GmExfRCvW6brhbQ3FA6hyctOctXygcbsl8eGAOxYZU 4QKFezykBuwNGouSLbhPf7qP+agBjFJSoXhz6j/umBOU6DcG1THq9HpR7cnp9YdddNx1ZH0dMbty DsgZKgC7S2bMD/psSgflB9yzWawqmfZYiBmO9VELZ3Me0GuCuK9czGYXH7VuWVialeWNeiJ/Bma7 AFKlh42snahCQUQHBZ+k0Sxn3KhrP2U9/oVMfwJQSwMECgAAAAAAh07iQAAAAAAAAAAAAAAAAAYA AABfcmVscy9QSwMEFAAAAAgAh07iQIoUZjzRAAAAlAEAAAsAAABfcmVscy8ucmVsc6WQwWrDMAyG 74O9g9F9cZrDGKNOL6PQa+kewNiKYxpbRjLZ+vbzDoNl9LajfqHvE//+8JkWtSJLpGxg1/WgMDvy MQcD75fj0wsoqTZ7u1BGAzcUOIyPD/szLra2I5ljEdUoWQzMtZZXrcXNmKx0VDC3zUScbG0jB12s u9qAeuj7Z82/GTBumOrkDfDJD6Aut9LMf9gpOiahqXaOkqZpiu4eVQe2ZY7uyDbhG7lGsxywGvAs GgdqWdd+BH1fv/un3tNHPuO61X6HjOuPV2+6HL8AUEsDBBQAAAAIAIdO4kB+5uUg9wAAAOEBAAAT AAAAW0NvbnRlbnRfVHlwZXNdLnhtbJWRQU7DMBBF90jcwfIWJU67QAgl6YK0S0CoHGBkTxKLZGx5 TGhvj5O2G0SRWNoz/78nu9wcxkFMGNg6quQqL6RA0s5Y6ir5vt9lD1JwBDIwOMJKHpHlpr69KfdH jyxSmriSfYz+USnWPY7AufNIadK6MEJMx9ApD/oDOlTrorhX2lFEilmcO2RdNtjC5xDF9pCuTyYB B5bi6bQ4syoJ3g9WQ0ymaiLzg5KdCXlKLjvcW893SUOqXwnz5DrgnHtJTxOsQfEKIT7DmDSUCayM +6KAU/53yWw5cuba1mrMm8BNir3hdLG61o5r1zj93/Ltkrp0q+WD6m9QSwECFAAUAAAACACHTuJA fublIPcAAADhAQAAEwAAAAAAAAABACAAAADLBAAAW0NvbnRlbnRfVHlwZXNdLnhtbFBLAQIUAAoA AAAAAIdO4kAAAAAAAAAAAAAAAAAGAAAAAAAAAAAAEAAAAK0DAABfcmVscy9QSwECFAAUAAAACACH TuJAihRmPNEAAACUAQAACwAAAAAAAAABACAAAADRAwAAX3JlbHMvLnJlbHNQSwECFAAKAAAAAACH TuJAAAAAAAAAAAAAAAAABAAAAAAAAAAAABAAAAAWAAAAZHJzL1BLAQIUABQAAAAIAIdO4kC+gijY 2QAAAAoBAAAPAAAAAAAAAAEAIAAAADgAAABkcnMvZG93bnJldi54bWxQSwECFAAUAAAACACHTuJA PD/RYUMCAACKBAAADgAAAAAAAAABACAAAAA+AQAAZHJzL2Uyb0RvYy54bWxQSwUGAAAAAAYABgBZ AQAA8wUAAAAA ">
                <v:fill on="t" focussize="0,0"/>
                <v:stroke weight="0.5pt" color="#FFFFFF [3212]" joinstyle="round"/>
                <v:imagedata o:title=""/>
                <o:lock v:ext="edit" aspectratio="f"/>
                <v:textbox>
                  <w:txbxContent>
                    <w:p/>
                  </w:txbxContent>
                </v:textbox>
              </v:shape>
            </w:pict>
          </mc:Fallback>
        </mc:AlternateContent>
      </w:r>
      <w:r>
        <w:rPr>
          <w:rFonts w:eastAsia="方正仿宋简体"/>
          <w:sz w:val="32"/>
          <w:szCs w:val="32"/>
        </w:rPr>
        <mc:AlternateContent>
          <mc:Choice Requires="wps">
            <w:drawing>
              <wp:anchor distT="0" distB="0" distL="114300" distR="114300" simplePos="0" relativeHeight="252706816" behindDoc="0" locked="0" layoutInCell="1" allowOverlap="1">
                <wp:simplePos x="0" y="0"/>
                <wp:positionH relativeFrom="column">
                  <wp:posOffset>0</wp:posOffset>
                </wp:positionH>
                <wp:positionV relativeFrom="paragraph">
                  <wp:posOffset>520065</wp:posOffset>
                </wp:positionV>
                <wp:extent cx="5543550" cy="0"/>
                <wp:effectExtent l="0" t="0" r="19050" b="19050"/>
                <wp:wrapNone/>
                <wp:docPr id="7" name="Line 22"/>
                <wp:cNvGraphicFramePr/>
                <a:graphic xmlns:a="http://schemas.openxmlformats.org/drawingml/2006/main">
                  <a:graphicData uri="http://schemas.microsoft.com/office/word/2010/wordprocessingShape">
                    <wps:wsp>
                      <wps:cNvCnPr/>
                      <wps:spPr>
                        <a:xfrm>
                          <a:off x="0" y="0"/>
                          <a:ext cx="554355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Line 22" o:spid="_x0000_s1026" o:spt="20" style="position:absolute;left:0pt;margin-left:0pt;margin-top:40.95pt;height:0pt;width:436.5pt;z-index:252706816;mso-width-relative:page;mso-height-relative:page;" filled="f" stroked="t" coordsize="21600,21600" o:gfxdata="UEsFBgAAAAAAAAAAAAAAAAAAAAAAAFBLAwQKAAAAAACHTuJAAAAAAAAAAAAAAAAABAAAAGRycy9Q SwMEFAAAAAgAh07iQD1TmznVAAAABgEAAA8AAABkcnMvZG93bnJldi54bWxNj81OwzAQhO9IvIO1 SNyokyLREOL0AKoqEJe2SFy38RIH4nUauz+8PYs4lOPMrGa+reYn36sDjbELbCCfZKCIm2A7bg28 bRY3BaiYkC32gcnAN0WY15cXFZY2HHlFh3VqlZRwLNGAS2kotY6NI49xEgZiyT7C6DGJHFttRzxK ue/1NMvutMeOZcHhQI+Omq/13hvAp+UqvRfTl1n37F4/N4vd0hU7Y66v8uwBVKJTOh/DL76gQy1M 27BnG1VvQB5JBor8HpSkxexWjO2foetK/8evfwBQSwMEFAAAAAgAh07iQHsvMbm5AQAAgQMAAA4A AABkcnMvZTJvRG9jLnhtbK1TTW/bMAy9D+h/EHRf7HrLOhhxemjaXYotwLofwOjDFqAviFqc/PtR Spq222UY5oNMieQj+fS0uj04y/YqoQl+4NeLljPlRZDGjwP/8fTw/jNnmMFLsMGrgR8V8tv11bvV HHvVhSlYqRIjEI/9HAc+5Rz7pkExKQe4CFF5cuqQHGTaprGRCWZCd7bp2vZTM4ckYwpCIdLp5uTk 64qvtRL5m9aoMrMDp95yXVNdd2Vt1ivoxwRxMuLcBvxDFw6Mp6IXqA1kYD+T+QPKGZECBp0XIrgm aG2EqjPQNNftb9N8nyCqOguRg/FCE/4/WPF1v03MyIHfcObB0RU9Gq9Y1xVq5og9Rdz5bTrvMG5T mfOgkyt/moAdKp3HC53qkJmgw+Xy44flklgXz77mJTEmzF9UcKwYA7dUtBII+0fMVIxCn0NKHevZ TPrqbtqCB6QUbSGT6SL1jn6syRiskQ/G2pKCadzd2cT2UO6+fmUmAn4TVqpsAKdTXHWdVDEpkPde snyMxIon+fLSg1OSM6tI7cUiQOgzGPs3kVTaeuqg0Hoisli7II+V33pO91x7PGuyCOn1vma/vJz1 L1BLAwQKAAAAAACHTuJAAAAAAAAAAAAAAAAABgAAAF9yZWxzL1BLAwQUAAAACACHTuJAihRmPNEA AACUAQAACwAAAF9yZWxzLy5yZWxzpZDBasMwDIbvg72D0X1xmsMYo04vo9Br6R7A2IpjGltGMtn6 9vMOg2X0tqN+oe8T//7wmRa1IkukbGDX9aAwO/IxBwPvl+PTCyipNnu7UEYDNxQ4jI8P+zMutrYj mWMR1ShZDMy1lletxc2YrHRUMLfNRJxsbSMHXay72oB66Ptnzb8ZMG6Y6uQN8MkPoC630sx/2Ck6 JqGpdo6SpmmK7h5VB7Zlju7INuEbuUazHLAa8CwaB2pZ134EfV+/+6fe00c+47rVfoeM649Xb7oc vwBQSwMEFAAAAAgAh07iQH7m5SD3AAAA4QEAABMAAABbQ29udGVudF9UeXBlc10ueG1slZFBTsMw EEX3SNzB8hYlTrtACCXpgrRLQKgcYGRPEotkbHlMaG+Pk7YbRJFY2jP/vye73BzGQUwY2Dqq5Cov pEDSzljqKvm+32UPUnAEMjA4wkoekeWmvr0p90ePLFKauJJ9jP5RKdY9jsC580hp0rowQkzH0CkP +gM6VOuiuFfaUUSKWZw7ZF022MLnEMX2kK5PJgEHluLptDizKgneD1ZDTKZqIvODkp0JeUouO9xb z3dJQ6pfCfPkOuCce0lPE6xB8QohPsOYNJQJrIz7ooBT/nfJbDly5trWasybwE2KveF0sbrWjmvX OP3f8u2SunSr5YPqb1BLAQIUABQAAAAIAIdO4kB+5uUg9wAAAOEBAAATAAAAAAAAAAEAIAAAAD0E AABbQ29udGVudF9UeXBlc10ueG1sUEsBAhQACgAAAAAAh07iQAAAAAAAAAAAAAAAAAYAAAAAAAAA AAAQAAAAHwMAAF9yZWxzL1BLAQIUABQAAAAIAIdO4kCKFGY80QAAAJQBAAALAAAAAAAAAAEAIAAA AEMDAABfcmVscy8ucmVsc1BLAQIUAAoAAAAAAIdO4kAAAAAAAAAAAAAAAAAEAAAAAAAAAAAAEAAA ABYAAABkcnMvUEsBAhQAFAAAAAgAh07iQD1TmznVAAAABgEAAA8AAAAAAAAAAQAgAAAAOAAAAGRy cy9kb3ducmV2LnhtbFBLAQIUABQAAAAIAIdO4kB7LzG5uQEAAIEDAAAOAAAAAAAAAAEAIAAAADoB AABkcnMvZTJvRG9jLnhtbFBLBQYAAAAABgAGAFkBAABlBQAAAAA= ">
                <v:fill on="f" focussize="0,0"/>
                <v:stroke weight="1pt" color="#000000" joinstyle="round"/>
                <v:imagedata o:title=""/>
                <o:lock v:ext="edit" aspectratio="f"/>
              </v:line>
            </w:pict>
          </mc:Fallback>
        </mc:AlternateContent>
      </w:r>
      <w:r>
        <w:rPr>
          <w:rFonts w:eastAsia="方正仿宋简体"/>
          <w:sz w:val="32"/>
          <w:szCs w:val="32"/>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104775</wp:posOffset>
                </wp:positionV>
                <wp:extent cx="5544185" cy="0"/>
                <wp:effectExtent l="0" t="0" r="19050" b="19050"/>
                <wp:wrapNone/>
                <wp:docPr id="6" name="Line 21"/>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Line 21" o:spid="_x0000_s1026" o:spt="20" style="position:absolute;left:0pt;margin-left:0pt;margin-top:8.25pt;height:0pt;width:436.55pt;z-index:251658240;mso-width-relative:page;mso-height-relative:page;" filled="f" stroked="t" coordsize="21600,21600" o:gfxdata="UEsFBgAAAAAAAAAAAAAAAAAAAAAAAFBLAwQKAAAAAACHTuJAAAAAAAAAAAAAAAAABAAAAGRycy9Q SwMEFAAAAAgAh07iQHLzmarVAAAABgEAAA8AAABkcnMvZG93bnJldi54bWxNj81OwzAQhO9IvIO1 SNyokyLaKMTpAVRVIC5tkbhu4yUOxOs0dn94exZxgOPMrGa+rRZn36sjjbELbCCfZKCIm2A7bg28 bpc3BaiYkC32gcnAF0VY1JcXFZY2nHhNx01qlZRwLNGAS2kotY6NI49xEgZiyd7D6DGJHFttRzxJ ue/1NMtm2mPHsuBwoAdHzefm4A3g42qd3orp87x7ci8f2+V+5Yq9MddXeXYPKtE5/R3DD76gQy1M u3BgG1VvQB5J4s7uQElazG9zULtfQ9eV/o9ffwNQSwMEFAAAAAgAh07iQCXUfg64AQAAgQMAAA4A AABkcnMvZTJvRG9jLnhtbK1Ty27bMBC8F+g/ELzXko0kLQTLOcRNL0FroM0HrMmVRIAvcFnL/vsu acfp41IU9YEmubuzs8PR+v7orDhgIhN8L5eLVgr0Kmjjx14+f3t890EKyuA12OCxlyckeb95+2Y9 xw5XYQpWYxIM4qmbYy+nnGPXNKQmdECLENFzcAjJQeZjGhudYGZ0Z5tV2941c0g6pqCQiG+356Dc VPxhQJW/DANhFraXzC3XNdV1X9Zms4ZuTBAnoy404B9YODCem16htpBBfE/mDyhnVAoUhrxQwTVh GIzCOgNPs2x/m+brBBHrLCwOxatM9P9g1efDLgmje3knhQfHT/RkPIrVskgzR+o448Hv0uVEcZfK nMchufLPE4hjlfN0lROPWSi+vL29uWlbVl29xJrXwpgof8LgRNn00nLTKiAcnihzM059SSl9rBcz +2v1vuIBO2WwkBnaReZOfqzFFKzRj8baUkJp3D/YJA5Q3r7+ykwM/Eta6bIFms55NXR2xYSgP3ot 8imyKp7tKwsHh1oKi+z2smNA6DIY+zeZ3Np6ZlBkPQtZdvugT1Xfes/vXDlePFmM9PO5Vr9+OZsf UEsDBAoAAAAAAIdO4kAAAAAAAAAAAAAAAAAGAAAAX3JlbHMvUEsDBBQAAAAIAIdO4kCKFGY80QAA AJQBAAALAAAAX3JlbHMvLnJlbHOlkMFqwzAMhu+DvYPRfXGawxijTi+j0GvpHsDYimMaW0Yy2fr2 8w6DZfS2o36h7xP//vCZFrUiS6RsYNf1oDA78jEHA++X49MLKKk2e7tQRgM3FDiMjw/7My62tiOZ YxHVKFkMzLWWV63FzZisdFQwt81EnGxtIwddrLvagHro+2fNvxkwbpjq5A3wyQ+gLrfSzH/YKTom oal2jpKmaYruHlUHtmWO7sg24Ru5RrMcsBrwLBoHalnXfgR9X7/7p97TRz7jutV+h4zrj1dvuhy/ AFBLAwQUAAAACACHTuJAfublIPcAAADhAQAAEwAAAFtDb250ZW50X1R5cGVzXS54bWyVkUFOwzAQ RfdI3MHyFiVOu0AIJemCtEtAqBxgZE8Si2RseUxob4+TthtEkVjaM/+/J7vcHMZBTBjYOqrkKi+k QNLOWOoq+b7fZQ9ScAQyMDjCSh6R5aa+vSn3R48sUpq4kn2M/lEp1j2OwLnzSGnSujBCTMfQKQ/6 AzpU66K4V9pRRIpZnDtkXTbYwucQxfaQrk8mAQeW4um0OLMqCd4PVkNMpmoi84OSnQl5Si473FvP d0lDql8J8+Q64Jx7SU8TrEHxCiE+w5g0lAmsjPuigFP+d8lsOXLm2tZqzJvATYq94XSxutaOa9c4 /d/y7ZK6dKvlg+pvUEsBAhQAFAAAAAgAh07iQH7m5SD3AAAA4QEAABMAAAAAAAAAAQAgAAAAPAQA AFtDb250ZW50X1R5cGVzXS54bWxQSwECFAAKAAAAAACHTuJAAAAAAAAAAAAAAAAABgAAAAAAAAAA ABAAAAAeAwAAX3JlbHMvUEsBAhQAFAAAAAgAh07iQIoUZjzRAAAAlAEAAAsAAAAAAAAAAQAgAAAA QgMAAF9yZWxzLy5yZWxzUEsBAhQACgAAAAAAh07iQAAAAAAAAAAAAAAAAAQAAAAAAAAAAAAQAAAA FgAAAGRycy9QSwECFAAUAAAACACHTuJAcvOZqtUAAAAGAQAADwAAAAAAAAABACAAAAA4AAAAZHJz L2Rvd25yZXYueG1sUEsBAhQAFAAAAAgAh07iQCXUfg64AQAAgQMAAA4AAAAAAAAAAQAgAAAAOgEA AGRycy9lMm9Eb2MueG1sUEsFBgAAAAAGAAYAWQEAAGQFAAAAAA== ">
                <v:fill on="f" focussize="0,0"/>
                <v:stroke weight="1pt" color="#000000" joinstyle="round"/>
                <v:imagedata o:title=""/>
                <o:lock v:ext="edit" aspectratio="f"/>
              </v:line>
            </w:pict>
          </mc:Fallback>
        </mc:AlternateContent>
      </w:r>
      <w:r>
        <w:rPr>
          <w:rFonts w:hint="eastAsia" w:ascii="方正仿宋简体" w:hAnsi="文星仿宋" w:eastAsia="方正仿宋简体" w:cs="方正仿宋简体"/>
          <w:b/>
          <w:sz w:val="28"/>
          <w:szCs w:val="28"/>
          <w:lang w:bidi="ar"/>
        </w:rPr>
        <w:t xml:space="preserve">济宁市人民政府办公室              </w:t>
      </w:r>
      <w:bookmarkStart w:id="6" w:name="_GoBack"/>
      <w:bookmarkEnd w:id="6"/>
      <w:r>
        <w:rPr>
          <w:rFonts w:hint="eastAsia" w:ascii="方正仿宋简体" w:hAnsi="文星仿宋" w:eastAsia="方正仿宋简体" w:cs="方正仿宋简体"/>
          <w:b/>
          <w:sz w:val="28"/>
          <w:szCs w:val="28"/>
          <w:lang w:bidi="ar"/>
        </w:rPr>
        <w:t xml:space="preserve">      2022年1月27日印发</w:t>
      </w:r>
    </w:p>
    <w:sectPr>
      <w:footerReference r:id="rId3" w:type="default"/>
      <w:footerReference r:id="rId4" w:type="even"/>
      <w:pgSz w:w="11906" w:h="16838"/>
      <w:pgMar w:top="1814" w:right="1588" w:bottom="1191" w:left="1588" w:header="0" w:footer="1418" w:gutter="0"/>
      <w:pgNumType w:fmt="numberInDash"/>
      <w:cols w:space="425" w:num="1"/>
      <w:docGrid w:type="linesAndChars" w:linePitch="628" w:charSpace="-168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仿宋简体">
    <w:panose1 w:val="03000509000000000000"/>
    <w:charset w:val="86"/>
    <w:family w:val="script"/>
    <w:pitch w:val="default"/>
    <w:sig w:usb0="00000001" w:usb1="080E0000" w:usb2="00000000" w:usb3="00000000" w:csb0="00040000" w:csb1="00000000"/>
  </w:font>
  <w:font w:name="文星标宋">
    <w:altName w:val="方正书宋_GBK"/>
    <w:panose1 w:val="00000000000000000000"/>
    <w:charset w:val="86"/>
    <w:family w:val="auto"/>
    <w:pitch w:val="default"/>
    <w:sig w:usb0="00000000" w:usb1="00000000" w:usb2="00000010" w:usb3="00000000" w:csb0="00040001"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文星仿宋">
    <w:altName w:val="方正仿宋_GBK"/>
    <w:panose1 w:val="00000000000000000000"/>
    <w:charset w:val="86"/>
    <w:family w:val="auto"/>
    <w:pitch w:val="default"/>
    <w:sig w:usb0="00000000" w:usb1="00000000" w:usb2="00000010" w:usb3="00000000" w:csb0="00040001" w:csb1="00000000"/>
  </w:font>
  <w:font w:name="Tahoma">
    <w:altName w:val="Droid Sans"/>
    <w:panose1 w:val="020B0604030504040204"/>
    <w:charset w:val="00"/>
    <w:family w:val="swiss"/>
    <w:pitch w:val="default"/>
    <w:sig w:usb0="00000000" w:usb1="00000000" w:usb2="00000029" w:usb3="00000000" w:csb0="000101FF" w:csb1="00000000"/>
  </w:font>
  <w:font w:name="方正黑体简体">
    <w:panose1 w:val="03000509000000000000"/>
    <w:charset w:val="86"/>
    <w:family w:val="script"/>
    <w:pitch w:val="default"/>
    <w:sig w:usb0="00000001" w:usb1="080E0000" w:usb2="00000000" w:usb3="00000000" w:csb0="00040000" w:csb1="00000000"/>
  </w:font>
  <w:font w:name="方正楷体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文星黑体">
    <w:altName w:val="黑体"/>
    <w:panose1 w:val="00000000000000000000"/>
    <w:charset w:val="86"/>
    <w:family w:val="auto"/>
    <w:pitch w:val="default"/>
    <w:sig w:usb0="00000000" w:usb1="00000000" w:usb2="00000010" w:usb3="00000000" w:csb0="0004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53415874"/>
    </w:sdtPr>
    <w:sdtEndPr>
      <w:rPr>
        <w:rFonts w:asciiTheme="minorEastAsia" w:hAnsiTheme="minorEastAsia"/>
        <w:b/>
        <w:sz w:val="28"/>
        <w:szCs w:val="28"/>
      </w:rPr>
    </w:sdtEndPr>
    <w:sdtContent>
      <w:p>
        <w:pPr>
          <w:pStyle w:val="2"/>
          <w:wordWrap w:val="0"/>
          <w:jc w:val="right"/>
          <w:rPr>
            <w:rFonts w:asciiTheme="minorEastAsia" w:hAnsiTheme="minorEastAsia"/>
            <w:b/>
            <w:sz w:val="28"/>
            <w:szCs w:val="28"/>
          </w:rPr>
        </w:pPr>
        <w:r>
          <w:rPr>
            <w:rFonts w:asciiTheme="minorEastAsia" w:hAnsiTheme="minorEastAsia"/>
            <w:b/>
            <w:sz w:val="28"/>
            <w:szCs w:val="28"/>
          </w:rPr>
          <w:fldChar w:fldCharType="begin"/>
        </w:r>
        <w:r>
          <w:rPr>
            <w:rFonts w:asciiTheme="minorEastAsia" w:hAnsiTheme="minorEastAsia"/>
            <w:b/>
            <w:sz w:val="28"/>
            <w:szCs w:val="28"/>
          </w:rPr>
          <w:instrText xml:space="preserve">PAGE   \* MERGEFORMAT</w:instrText>
        </w:r>
        <w:r>
          <w:rPr>
            <w:rFonts w:asciiTheme="minorEastAsia" w:hAnsiTheme="minorEastAsia"/>
            <w:b/>
            <w:sz w:val="28"/>
            <w:szCs w:val="28"/>
          </w:rPr>
          <w:fldChar w:fldCharType="separate"/>
        </w:r>
        <w:r>
          <w:rPr>
            <w:rFonts w:asciiTheme="minorEastAsia" w:hAnsiTheme="minorEastAsia"/>
            <w:b/>
            <w:sz w:val="28"/>
            <w:szCs w:val="28"/>
            <w:lang w:val="zh-CN"/>
          </w:rPr>
          <w:t>-</w:t>
        </w:r>
        <w:r>
          <w:rPr>
            <w:rFonts w:asciiTheme="minorEastAsia" w:hAnsiTheme="minorEastAsia"/>
            <w:b/>
            <w:sz w:val="28"/>
            <w:szCs w:val="28"/>
          </w:rPr>
          <w:t xml:space="preserve"> 41 -</w:t>
        </w:r>
        <w:r>
          <w:rPr>
            <w:rFonts w:asciiTheme="minorEastAsia" w:hAnsiTheme="minorEastAsia"/>
            <w:b/>
            <w:sz w:val="28"/>
            <w:szCs w:val="28"/>
          </w:rPr>
          <w:fldChar w:fldCharType="end"/>
        </w:r>
        <w:r>
          <w:rPr>
            <w:rFonts w:hint="eastAsia" w:asciiTheme="minorEastAsia" w:hAnsiTheme="minorEastAsia"/>
            <w:b/>
            <w:sz w:val="28"/>
            <w:szCs w:val="28"/>
          </w:rPr>
          <w:t xml:space="preserve">  </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46869272"/>
    </w:sdtPr>
    <w:sdtEndPr>
      <w:rPr>
        <w:rFonts w:asciiTheme="minorEastAsia" w:hAnsiTheme="minorEastAsia"/>
        <w:b/>
        <w:sz w:val="28"/>
        <w:szCs w:val="28"/>
      </w:rPr>
    </w:sdtEndPr>
    <w:sdtContent>
      <w:p>
        <w:pPr>
          <w:pStyle w:val="2"/>
          <w:ind w:firstLine="180" w:firstLineChars="100"/>
          <w:rPr>
            <w:rFonts w:asciiTheme="minorEastAsia" w:hAnsiTheme="minorEastAsia"/>
            <w:b/>
            <w:sz w:val="28"/>
            <w:szCs w:val="28"/>
          </w:rPr>
        </w:pPr>
        <w:r>
          <w:rPr>
            <w:rFonts w:asciiTheme="minorEastAsia" w:hAnsiTheme="minorEastAsia"/>
            <w:b/>
            <w:sz w:val="28"/>
            <w:szCs w:val="28"/>
          </w:rPr>
          <w:fldChar w:fldCharType="begin"/>
        </w:r>
        <w:r>
          <w:rPr>
            <w:rFonts w:asciiTheme="minorEastAsia" w:hAnsiTheme="minorEastAsia"/>
            <w:b/>
            <w:sz w:val="28"/>
            <w:szCs w:val="28"/>
          </w:rPr>
          <w:instrText xml:space="preserve">PAGE   \* MERGEFORMAT</w:instrText>
        </w:r>
        <w:r>
          <w:rPr>
            <w:rFonts w:asciiTheme="minorEastAsia" w:hAnsiTheme="minorEastAsia"/>
            <w:b/>
            <w:sz w:val="28"/>
            <w:szCs w:val="28"/>
          </w:rPr>
          <w:fldChar w:fldCharType="separate"/>
        </w:r>
        <w:r>
          <w:rPr>
            <w:rFonts w:asciiTheme="minorEastAsia" w:hAnsiTheme="minorEastAsia"/>
            <w:b/>
            <w:sz w:val="28"/>
            <w:szCs w:val="28"/>
            <w:lang w:val="zh-CN"/>
          </w:rPr>
          <w:t>-</w:t>
        </w:r>
        <w:r>
          <w:rPr>
            <w:rFonts w:asciiTheme="minorEastAsia" w:hAnsiTheme="minorEastAsia"/>
            <w:b/>
            <w:sz w:val="28"/>
            <w:szCs w:val="28"/>
          </w:rPr>
          <w:t xml:space="preserve"> 40 -</w:t>
        </w:r>
        <w:r>
          <w:rPr>
            <w:rFonts w:asciiTheme="minorEastAsia" w:hAnsiTheme="minorEastAsia"/>
            <w:b/>
            <w:sz w:val="28"/>
            <w:szCs w:val="28"/>
          </w:rPr>
          <w:fldChar w:fldCharType="end"/>
        </w: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DBC001"/>
    <w:multiLevelType w:val="singleLevel"/>
    <w:tmpl w:val="9BDBC001"/>
    <w:lvl w:ilvl="0" w:tentative="0">
      <w:start w:val="1"/>
      <w:numFmt w:val="decimal"/>
      <w:suff w:val="space"/>
      <w:lvlText w:val="%1."/>
      <w:lvlJc w:val="left"/>
    </w:lvl>
  </w:abstractNum>
  <w:abstractNum w:abstractNumId="1">
    <w:nsid w:val="B7FE65D3"/>
    <w:multiLevelType w:val="singleLevel"/>
    <w:tmpl w:val="B7FE65D3"/>
    <w:lvl w:ilvl="0" w:tentative="0">
      <w:start w:val="1"/>
      <w:numFmt w:val="decimal"/>
      <w:suff w:val="space"/>
      <w:lvlText w:val="%1."/>
      <w:lvlJc w:val="left"/>
    </w:lvl>
  </w:abstractNum>
  <w:abstractNum w:abstractNumId="2">
    <w:nsid w:val="DE64C1AB"/>
    <w:multiLevelType w:val="singleLevel"/>
    <w:tmpl w:val="DE64C1AB"/>
    <w:lvl w:ilvl="0" w:tentative="0">
      <w:start w:val="1"/>
      <w:numFmt w:val="decimal"/>
      <w:suff w:val="space"/>
      <w:lvlText w:val="%1."/>
      <w:lvlJc w:val="left"/>
    </w:lvl>
  </w:abstractNum>
  <w:abstractNum w:abstractNumId="3">
    <w:nsid w:val="FCFFC549"/>
    <w:multiLevelType w:val="singleLevel"/>
    <w:tmpl w:val="FCFFC549"/>
    <w:lvl w:ilvl="0" w:tentative="0">
      <w:start w:val="1"/>
      <w:numFmt w:val="decimal"/>
      <w:suff w:val="space"/>
      <w:lvlText w:val="%1."/>
      <w:lvlJc w:val="left"/>
    </w:lvl>
  </w:abstractNum>
  <w:abstractNum w:abstractNumId="4">
    <w:nsid w:val="FD7A5DF8"/>
    <w:multiLevelType w:val="singleLevel"/>
    <w:tmpl w:val="FD7A5DF8"/>
    <w:lvl w:ilvl="0" w:tentative="0">
      <w:start w:val="1"/>
      <w:numFmt w:val="decimal"/>
      <w:suff w:val="space"/>
      <w:lvlText w:val="%1."/>
      <w:lvlJc w:val="left"/>
    </w:lvl>
  </w:abstractNum>
  <w:abstractNum w:abstractNumId="5">
    <w:nsid w:val="3FF23012"/>
    <w:multiLevelType w:val="singleLevel"/>
    <w:tmpl w:val="3FF23012"/>
    <w:lvl w:ilvl="0" w:tentative="0">
      <w:start w:val="1"/>
      <w:numFmt w:val="decimal"/>
      <w:suff w:val="space"/>
      <w:lvlText w:val="%1."/>
      <w:lvlJc w:val="left"/>
    </w:lvl>
  </w:abstractNum>
  <w:abstractNum w:abstractNumId="6">
    <w:nsid w:val="7F7A4307"/>
    <w:multiLevelType w:val="singleLevel"/>
    <w:tmpl w:val="7F7A4307"/>
    <w:lvl w:ilvl="0" w:tentative="0">
      <w:start w:val="2"/>
      <w:numFmt w:val="decimal"/>
      <w:suff w:val="space"/>
      <w:lvlText w:val="%1."/>
      <w:lvlJc w:val="left"/>
    </w:lvl>
  </w:abstractNum>
  <w:num w:numId="1">
    <w:abstractNumId w:val="6"/>
  </w:num>
  <w:num w:numId="2">
    <w:abstractNumId w:val="0"/>
  </w:num>
  <w:num w:numId="3">
    <w:abstractNumId w:val="4"/>
  </w:num>
  <w:num w:numId="4">
    <w:abstractNumId w:val="5"/>
  </w:num>
  <w:num w:numId="5">
    <w:abstractNumId w:val="2"/>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true"/>
  <w:bordersDoNotSurroundFooter w:val="true"/>
  <w:documentProtection w:edit="readOnly" w:enforcement="1" w:salt="w4B3xIEbiUZ9LIVdbaxUsg==" w:hash="nKMR9QfYbmPQzXQwpjjHFhfSSymnSxnfh/FVcz+ZpxNTxBsrzDqUmI124QhHtsicDFfRbbK1m/GHhr+FTivPZg==" w:cryptSpinCount="100000" w:cryptAlgorithmType="typeAny" w:cryptAlgorithmClass="hash" w:cryptProviderType="rsaAES" w:cryptAlgorithmSid="14"/>
  <w:defaultTabStop w:val="420"/>
  <w:evenAndOddHeaders w:val="true"/>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3306"/>
    <w:rsid w:val="000600D3"/>
    <w:rsid w:val="00242139"/>
    <w:rsid w:val="00271AF7"/>
    <w:rsid w:val="003A2A05"/>
    <w:rsid w:val="0055087A"/>
    <w:rsid w:val="00623306"/>
    <w:rsid w:val="00633F78"/>
    <w:rsid w:val="007B3EEF"/>
    <w:rsid w:val="008A2671"/>
    <w:rsid w:val="009C5E24"/>
    <w:rsid w:val="00AD082E"/>
    <w:rsid w:val="00AD4F0C"/>
    <w:rsid w:val="00BD0C5D"/>
    <w:rsid w:val="00BF4213"/>
    <w:rsid w:val="00CD750B"/>
    <w:rsid w:val="00E64C4D"/>
    <w:rsid w:val="00EF4394"/>
    <w:rsid w:val="00F43F96"/>
    <w:rsid w:val="1DF24480"/>
    <w:rsid w:val="2393304B"/>
    <w:rsid w:val="2727CDBD"/>
    <w:rsid w:val="3D58E5C1"/>
    <w:rsid w:val="3DEF4515"/>
    <w:rsid w:val="3EFB65AE"/>
    <w:rsid w:val="4EBFAFDE"/>
    <w:rsid w:val="6C574557"/>
    <w:rsid w:val="6DFF8F04"/>
    <w:rsid w:val="71E85632"/>
    <w:rsid w:val="7769BBFC"/>
    <w:rsid w:val="7CFFB347"/>
    <w:rsid w:val="7F7CBF3F"/>
    <w:rsid w:val="7FF7C34D"/>
    <w:rsid w:val="AB7F7C5E"/>
    <w:rsid w:val="B3FF985A"/>
    <w:rsid w:val="BD932FC8"/>
    <w:rsid w:val="BEF7549B"/>
    <w:rsid w:val="D75D9DB9"/>
    <w:rsid w:val="DBDB7E20"/>
    <w:rsid w:val="DBEBB35E"/>
    <w:rsid w:val="DEF3FCDA"/>
    <w:rsid w:val="DF5B8AD7"/>
    <w:rsid w:val="DFDC291F"/>
    <w:rsid w:val="DFEF9478"/>
    <w:rsid w:val="E5FE73F0"/>
    <w:rsid w:val="EBFA7BB3"/>
    <w:rsid w:val="EEDB3B8C"/>
    <w:rsid w:val="F03F9A3A"/>
    <w:rsid w:val="F5FAF7B2"/>
    <w:rsid w:val="F7604EBB"/>
    <w:rsid w:val="FDBFD355"/>
    <w:rsid w:val="FDDD4CE6"/>
    <w:rsid w:val="FDF58F80"/>
    <w:rsid w:val="FFAF7980"/>
    <w:rsid w:val="FFBB01F6"/>
    <w:rsid w:val="FFCC37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99"/>
    <w:pPr>
      <w:tabs>
        <w:tab w:val="center" w:pos="4153"/>
        <w:tab w:val="right" w:pos="8306"/>
      </w:tabs>
      <w:snapToGrid w:val="0"/>
      <w:jc w:val="left"/>
    </w:pPr>
    <w:rPr>
      <w:sz w:val="18"/>
    </w:rPr>
  </w:style>
  <w:style w:type="paragraph" w:styleId="3">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Autospacing="1" w:afterAutospacing="1"/>
      <w:jc w:val="left"/>
    </w:pPr>
    <w:rPr>
      <w:rFonts w:hint="eastAsia" w:ascii="宋体" w:hAnsi="宋体"/>
      <w:sz w:val="24"/>
    </w:rPr>
  </w:style>
  <w:style w:type="character" w:customStyle="1" w:styleId="7">
    <w:name w:val="页脚 Char"/>
    <w:basedOn w:val="6"/>
    <w:link w:val="2"/>
    <w:qFormat/>
    <w:uiPriority w:val="99"/>
    <w:rPr>
      <w:rFonts w:hint="eastAsia" w:ascii="方正仿宋简体" w:hAnsi="方正仿宋简体" w:eastAsia="方正仿宋简体" w:cs="方正仿宋简体"/>
      <w:kern w:val="2"/>
      <w:sz w:val="18"/>
      <w:szCs w:val="18"/>
    </w:rPr>
  </w:style>
  <w:style w:type="character" w:customStyle="1" w:styleId="8">
    <w:name w:val="页眉 Char"/>
    <w:basedOn w:val="6"/>
    <w:link w:val="3"/>
    <w:qFormat/>
    <w:uiPriority w:val="0"/>
    <w:rPr>
      <w:rFonts w:asciiTheme="minorHAnsi" w:hAnsiTheme="minorHAnsi" w:eastAsiaTheme="minorEastAsia" w:cstheme="minorBidi"/>
      <w:kern w:val="2"/>
      <w:sz w:val="18"/>
      <w:szCs w:val="18"/>
    </w:rPr>
  </w:style>
</w:styles>
</file>

<file path=word/_rels/document.xml.rels><?xml version="1.0" encoding="UTF-8" standalone="no"?>
<Relationships xmlns="http://schemas.openxmlformats.org/package/2006/relationships">
<Relationship Id="rId1" Target="styles.xml" Type="http://schemas.openxmlformats.org/officeDocument/2006/relationships/styles"/>
<Relationship Id="rId2" Target="settings.xml" Type="http://schemas.openxmlformats.org/officeDocument/2006/relationships/settings"/>
<Relationship Id="rId3" Target="footer1.xml" Type="http://schemas.openxmlformats.org/officeDocument/2006/relationships/footer"/>
<Relationship Id="rId4" Target="footer2.xml" Type="http://schemas.openxmlformats.org/officeDocument/2006/relationships/footer"/>
<Relationship Id="rId5" Target="theme/theme1.xml" Type="http://schemas.openxmlformats.org/officeDocument/2006/relationships/theme"/>
<Relationship Id="rId6" Target="../customXml/item1.xml" Type="http://schemas.openxmlformats.org/officeDocument/2006/relationships/customXml"/>
<Relationship Id="rId7" Target="numbering.xml" Type="http://schemas.openxmlformats.org/officeDocument/2006/relationships/numbering"/>
<Relationship Id="rId8" Target="fontTable.xml" Type="http://schemas.openxmlformats.org/officeDocument/2006/relationships/fontTabl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no"?>
<Relationships xmlns="http://schemas.openxmlformats.org/package/2006/relationships">
<Relationship Id="rId1" Target="itemProps1.xml" Type="http://schemas.openxmlformats.org/officeDocument/2006/relationships/customXmlProps"/>
</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41</Pages>
  <Words>3376</Words>
  <Characters>19249</Characters>
  <Lines>160</Lines>
  <Paragraphs>45</Paragraphs>
  <TotalTime>1</TotalTime>
  <ScaleCrop>false</ScaleCrop>
  <LinksUpToDate>false</LinksUpToDate>
  <CharactersWithSpaces>22580</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2022-02-12T01:00:00Z</dcterms:created>
  <dc:creator>nizy</dc:creator>
  <cp:lastModifiedBy>user</cp:lastModifiedBy>
  <cp:lastPrinted>2022-02-12T08:52:00Z</cp:lastPrinted>
  <dcterms:modified xsi:type="dcterms:W3CDTF">2022-02-11T10:50:56Z</dcterms:modified>
  <cp:revision>2</cp:revision>
  <dc:title>济 宁 市 人 民 政 府</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ies>
</file>