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9"/>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rPr>
          <w:color w:val="FF0000"/>
        </w:rPr>
      </w:pPr>
      <w:r>
        <w:rPr>
          <w:rFonts w:eastAsia="方正仿宋简体"/>
          <w:color w:val="FF0000"/>
          <w:sz w:val="32"/>
          <w:szCs w:val="32"/>
          <w:lang w:bidi="ar"/>
        </w:rPr>
        <w:tab/>
      </w:r>
    </w:p>
    <w:p>
      <w:pPr>
        <w:spacing w:line="360" w:lineRule="exact"/>
        <w:jc w:val="center"/>
        <w:rPr>
          <w:color w:val="FF0000"/>
        </w:rP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济政办字〔2023〕7号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8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w:t>
      </w:r>
      <w:bookmarkStart w:id="3" w:name="_GoBack"/>
      <w:bookmarkEnd w:id="3"/>
      <w:r>
        <w:rPr>
          <w:rFonts w:hint="eastAsia" w:ascii="方正小标宋简体" w:hAnsi="文星仿宋" w:eastAsia="方正小标宋简体" w:cs="方正小标宋简体"/>
          <w:b/>
          <w:color w:val="000000"/>
          <w:sz w:val="44"/>
          <w:szCs w:val="44"/>
          <w:lang w:bidi="ar"/>
        </w:rPr>
        <w:t>政府办公室</w:t>
      </w:r>
    </w:p>
    <w:p>
      <w:pPr>
        <w:spacing w:line="580" w:lineRule="exact"/>
        <w:jc w:val="center"/>
        <w:rPr>
          <w:rFonts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关于印发济宁市燃气管道等老化更新改造</w:t>
      </w:r>
    </w:p>
    <w:p>
      <w:pPr>
        <w:spacing w:line="58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工作方案（2023—2025年）的通知</w:t>
      </w:r>
      <w:bookmarkEnd w:id="1"/>
    </w:p>
    <w:p>
      <w:pPr>
        <w:spacing w:line="500" w:lineRule="exact"/>
        <w:rPr>
          <w:rFonts w:ascii="方正仿宋简体" w:hAnsi="文星仿宋" w:eastAsia="方正仿宋简体" w:cs="方正仿宋简体"/>
          <w:b/>
        </w:rPr>
      </w:pPr>
    </w:p>
    <w:p>
      <w:pPr>
        <w:spacing w:line="56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各县（市、区）人民政府，济宁高新区、太白湖新区、济宁经济技术开发区管委会，市直有关部门、</w:t>
      </w:r>
      <w:r>
        <w:rPr>
          <w:rFonts w:ascii="方正仿宋简体" w:hAnsi="文星仿宋" w:eastAsia="方正仿宋简体" w:cs="方正仿宋简体"/>
          <w:b/>
          <w:sz w:val="32"/>
          <w:szCs w:val="32"/>
          <w:lang w:bidi="ar"/>
        </w:rPr>
        <w:t>单位</w:t>
      </w:r>
      <w:r>
        <w:rPr>
          <w:rFonts w:hint="eastAsia" w:ascii="方正仿宋简体" w:hAnsi="文星仿宋" w:eastAsia="方正仿宋简体" w:cs="方正仿宋简体"/>
          <w:b/>
          <w:sz w:val="32"/>
          <w:szCs w:val="32"/>
          <w:lang w:bidi="ar"/>
        </w:rPr>
        <w:t>：</w:t>
      </w:r>
    </w:p>
    <w:p>
      <w:pPr>
        <w:spacing w:line="56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济宁市燃气管道等老化更新改造工作方案（2023</w:t>
      </w:r>
      <w:r>
        <w:rPr>
          <w:rFonts w:hint="eastAsia" w:ascii="方正仿宋简体" w:hAnsi="方正仿宋简体" w:eastAsia="方正仿宋简体" w:cs="方正仿宋简体"/>
          <w:b/>
          <w:sz w:val="32"/>
        </w:rPr>
        <w:t>—</w:t>
      </w:r>
      <w:r>
        <w:rPr>
          <w:rFonts w:ascii="方正仿宋简体" w:hAnsi="方正仿宋简体" w:eastAsia="方正仿宋简体" w:cs="方正仿宋简体"/>
          <w:b/>
          <w:sz w:val="32"/>
        </w:rPr>
        <w:t>2025年）》已经市政府同意，现印发给你们，请认真贯彻执行。</w:t>
      </w:r>
    </w:p>
    <w:p>
      <w:pPr>
        <w:spacing w:line="560" w:lineRule="exact"/>
        <w:ind w:firstLine="624" w:firstLineChars="200"/>
        <w:rPr>
          <w:rFonts w:ascii="方正仿宋简体" w:hAnsi="文星仿宋" w:eastAsia="方正仿宋简体" w:cs="方正仿宋简体"/>
          <w:b/>
          <w:sz w:val="32"/>
          <w:szCs w:val="32"/>
        </w:rPr>
      </w:pPr>
    </w:p>
    <w:p>
      <w:pPr>
        <w:spacing w:line="560" w:lineRule="exact"/>
        <w:ind w:firstLine="624" w:firstLineChars="200"/>
        <w:rPr>
          <w:rFonts w:ascii="方正仿宋简体" w:hAnsi="文星仿宋" w:eastAsia="方正仿宋简体" w:cs="方正仿宋简体"/>
          <w:b/>
          <w:sz w:val="32"/>
          <w:szCs w:val="32"/>
        </w:rPr>
      </w:pPr>
    </w:p>
    <w:p>
      <w:pPr>
        <w:spacing w:line="560" w:lineRule="exact"/>
        <w:ind w:right="624"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spacing w:line="600" w:lineRule="exact"/>
        <w:ind w:right="1092"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2023年3月5日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590" w:lineRule="exact"/>
        <w:ind w:right="-96" w:rightChars="-50"/>
      </w:pPr>
    </w:p>
    <w:p>
      <w:pPr>
        <w:spacing w:line="590" w:lineRule="exact"/>
        <w:ind w:right="-96" w:rightChars="-50"/>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济宁市燃气管道等老化更新改造工作方案</w:t>
      </w:r>
    </w:p>
    <w:p>
      <w:pPr>
        <w:spacing w:line="590" w:lineRule="exact"/>
        <w:ind w:right="-96" w:rightChars="-50"/>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（2023—2025年）</w:t>
      </w:r>
    </w:p>
    <w:p>
      <w:pPr>
        <w:spacing w:line="590" w:lineRule="exact"/>
        <w:ind w:right="-96" w:rightChars="-50" w:firstLine="624" w:firstLineChars="200"/>
        <w:rPr>
          <w:rFonts w:ascii="方正仿宋简体" w:hAnsi="文星仿宋" w:eastAsia="方正仿宋简体" w:cs="方正仿宋简体"/>
          <w:b/>
          <w:sz w:val="32"/>
          <w:szCs w:val="32"/>
        </w:rPr>
      </w:pPr>
    </w:p>
    <w:p>
      <w:pPr>
        <w:widowControl/>
        <w:spacing w:line="600" w:lineRule="exact"/>
        <w:ind w:firstLine="624" w:firstLineChars="200"/>
        <w:jc w:val="left"/>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燃气管道等老化更新改造是重要民生工程和发展工程，有利于维护人民群众生命财产安全，有利于维护城市安全运行，对推动城市更新、满足人民群众美好生活需要具有十分重要的意义。按照党中央</w:t>
      </w:r>
      <w:r>
        <w:rPr>
          <w:rFonts w:ascii="方正仿宋简体" w:hAnsi="文星仿宋" w:eastAsia="方正仿宋简体" w:cs="方正仿宋简体"/>
          <w:b/>
          <w:sz w:val="32"/>
          <w:szCs w:val="32"/>
        </w:rPr>
        <w:t>、国务院和省委、省政府决策</w:t>
      </w:r>
      <w:r>
        <w:rPr>
          <w:rFonts w:hint="eastAsia" w:ascii="方正仿宋简体" w:hAnsi="文星仿宋" w:eastAsia="方正仿宋简体" w:cs="方正仿宋简体"/>
          <w:b/>
          <w:sz w:val="32"/>
          <w:szCs w:val="32"/>
        </w:rPr>
        <w:t>部署</w:t>
      </w:r>
      <w:r>
        <w:rPr>
          <w:rFonts w:ascii="方正仿宋简体" w:hAnsi="文星仿宋" w:eastAsia="方正仿宋简体" w:cs="方正仿宋简体"/>
          <w:b/>
          <w:sz w:val="32"/>
          <w:szCs w:val="32"/>
        </w:rPr>
        <w:t>，</w:t>
      </w:r>
      <w:r>
        <w:rPr>
          <w:rFonts w:hint="eastAsia" w:ascii="方正仿宋简体" w:hAnsi="文星仿宋" w:eastAsia="方正仿宋简体" w:cs="方正仿宋简体"/>
          <w:b/>
          <w:sz w:val="32"/>
          <w:szCs w:val="32"/>
        </w:rPr>
        <w:t>为加快推进我市燃气管道等老化更新改造工作，制定本方案。</w:t>
      </w:r>
    </w:p>
    <w:p>
      <w:pPr>
        <w:spacing w:line="59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一、总体要求</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（一）指导思想。</w:t>
      </w:r>
      <w:r>
        <w:rPr>
          <w:rFonts w:hint="eastAsia" w:ascii="方正仿宋简体" w:hAnsi="文星仿宋" w:eastAsia="方正仿宋简体" w:cs="方正仿宋简体"/>
          <w:b/>
          <w:sz w:val="32"/>
          <w:szCs w:val="32"/>
        </w:rPr>
        <w:t>以习近平新时代中国特色社会主义思想为指导，全面贯彻党的二十大精神，坚持以人民为中心的发展思想，完整、准确、全面贯彻新发展理念，统筹发展和安全，坚持适度超前进行基础设施建设和老化更新改造，加快推进燃气管道等老化更新改造，加强市政基础设施体系化建设，提升城市安全韧性，促进高质量发展，让人民群众生活更安全、更舒心、更美好。</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（二）工作目标。</w:t>
      </w:r>
      <w:r>
        <w:rPr>
          <w:rFonts w:hint="eastAsia" w:ascii="方正仿宋简体" w:hAnsi="文星仿宋" w:eastAsia="方正仿宋简体" w:cs="方正仿宋简体"/>
          <w:b/>
          <w:sz w:val="32"/>
          <w:szCs w:val="32"/>
        </w:rPr>
        <w:t>在全面摸清燃气、供水、排水、供热等管道老化更新改造底数的基础上，马上规划部署</w:t>
      </w:r>
      <w:r>
        <w:rPr>
          <w:rFonts w:ascii="方正仿宋简体" w:hAnsi="文星仿宋" w:eastAsia="方正仿宋简体" w:cs="方正仿宋简体"/>
          <w:b/>
          <w:sz w:val="32"/>
          <w:szCs w:val="32"/>
        </w:rPr>
        <w:t>，抓紧</w:t>
      </w:r>
      <w:r>
        <w:rPr>
          <w:rFonts w:hint="eastAsia" w:ascii="方正仿宋简体" w:hAnsi="文星仿宋" w:eastAsia="方正仿宋简体" w:cs="方正仿宋简体"/>
          <w:b/>
          <w:sz w:val="32"/>
          <w:szCs w:val="32"/>
        </w:rPr>
        <w:t>健全适应更新改造需要的政策体系和工作机制，加快开展城市燃气管道等老化更新改造工作，彻底消除安全隐患。2025年底前，基本完成燃气管道等老化更新改造任务。</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1.燃气管道和设施老化更新改造</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（1）燃气管道和设施。改造范围：全部灰口铸铁管道；不满足安全运行要求的球墨铸铁管道；运行年限满20年，经评估存在安全隐患的钢质管道、聚乙烯（PE）管道；运行年限不足20年，存在安</w:t>
      </w:r>
      <w:r>
        <w:rPr>
          <w:rFonts w:hint="eastAsia" w:ascii="方正仿宋简体" w:hAnsi="文星仿宋" w:eastAsia="方正仿宋简体" w:cs="方正仿宋简体"/>
          <w:b/>
          <w:spacing w:val="-6"/>
          <w:sz w:val="32"/>
          <w:szCs w:val="32"/>
        </w:rPr>
        <w:t>全隐患，经评估无法通过落实管控措施保障安全的钢质管道、聚乙烯（PE）管道；存在被建构筑物占压等风险的管道；存在超设计运行年限、安全间距不足、临近人员密</w:t>
      </w:r>
      <w:r>
        <w:rPr>
          <w:rFonts w:hint="eastAsia" w:ascii="方正仿宋简体" w:hAnsi="文星仿宋" w:eastAsia="方正仿宋简体" w:cs="方正仿宋简体"/>
          <w:b/>
          <w:sz w:val="32"/>
          <w:szCs w:val="32"/>
        </w:rPr>
        <w:t>集区域、地质灾害风险隐患大等问题，经评估不满足安全运行要求的厂站和设施。</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用户设施。改造范围：①居民用户。居民住宅管道燃气用户燃气灶具前燃气设施、连接软管的维护和更新，由燃气经营企业按照国家标准实施，费用纳入燃气配气成本。新建居民住宅使用管道燃气的，应当安装燃气泄漏报警切断装置；既有居民住宅由管道燃气经营企业按照规定加装燃气泄漏报警切断装置，报警切断装置的加装、维护、更新费用纳入燃气经营企业配气成本。燃气经营企业为瓶装燃气用户免费更换连接软管的，更换费用纳入企业经营成本。②工商业用户。餐饮等行业的生产经营单位、单位食堂使用燃气的，应当安装燃气泄漏报警装置；使用管道燃气的，应当安装燃气泄漏报警切断装置。</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2.供排水管道和设施更新改造</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（1）供水管道和设施。改造范围：水泥管道、石棉管道、无防腐内衬的灰口铸铁管道；运行年限满30年，存在安全隐患的其他管道；存在安全隐患的二次供水设施。</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（2）排水管道。改造范围：</w:t>
      </w:r>
      <w:r>
        <w:rPr>
          <w:rFonts w:hint="eastAsia" w:ascii="方正仿宋简体" w:hAnsi="文星仿宋" w:eastAsia="方正仿宋简体" w:cs="方正仿宋简体"/>
          <w:b/>
          <w:spacing w:val="-6"/>
          <w:sz w:val="32"/>
          <w:szCs w:val="32"/>
        </w:rPr>
        <w:t>平口混凝土、无钢筋的素混凝土管道，存在混错接等问题的管道，运行年限满50年的其他管道</w:t>
      </w:r>
      <w:r>
        <w:rPr>
          <w:rFonts w:hint="eastAsia" w:ascii="方正仿宋简体" w:hAnsi="文星仿宋" w:eastAsia="方正仿宋简体" w:cs="方正仿宋简体"/>
          <w:b/>
          <w:sz w:val="32"/>
          <w:szCs w:val="32"/>
        </w:rPr>
        <w:t>。</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3.供热管道和设施老化更新改造</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（1）供热管道。改造范围：运行年限满20年的管道，存在泄漏隐患、热损失大等问题的其他管道。</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（2）用户设施。逐步推广在典型热用户中安装室温监测采集装置，实现对居民用户室温数据采集、数据存储、动态更新。2023年底前，各县（市、区）至少完成5%热用户试点建设任务。</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4.智慧监管平台建设</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燃气经营企业建设在线监控运行系统。充分利用物联网、云计算和大数据等先进技术，建设“一库一平台”（基础数据库、在线监控平台）。2023年底前，燃气经营企业完成在线监控系统建设；2024年底前，燃气经营企业优化完善在线监控系统。</w:t>
      </w:r>
    </w:p>
    <w:p>
      <w:pPr>
        <w:spacing w:line="59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县（市、区）建设燃气供热智慧监管平台。依托电子政务云，汇聚企业相关数据，实现统筹协调、指挥调度、监督考核、监测预警、分析研判和综合评价，推动燃气供热管理“一网统管”。2023年底前，各县（市、区）建成县级智慧燃热监管平台。市、县住建部门和企业整合联网、一体运行，实现全市联网管理。</w:t>
      </w:r>
    </w:p>
    <w:p>
      <w:pPr>
        <w:spacing w:line="57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二、实施步骤</w:t>
      </w:r>
    </w:p>
    <w:p>
      <w:pPr>
        <w:spacing w:line="57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（一）开展管网排查。</w:t>
      </w:r>
      <w:r>
        <w:rPr>
          <w:rFonts w:hint="eastAsia" w:ascii="方正仿宋简体" w:hAnsi="文星仿宋" w:eastAsia="方正仿宋简体" w:cs="方正仿宋简体"/>
          <w:b/>
          <w:sz w:val="32"/>
          <w:szCs w:val="32"/>
        </w:rPr>
        <w:t>各县（市、区）要充分利用地下管线普查成果等既有资料，运用调查、探测等多种手段，对燃气等管网进行“全覆盖”“起底式”系统排查，全面摸清辖区内燃气、供水、排水、供热等管网安全运行情况，找准存在的突出问题和薄弱环节。按照“谁拥有、谁负责”原则，专业经营单位负责其拥有的市政管道和厂站、设施的老化评估工作。专业经营单位可委托符合规定的第三方机构开展评估或按照要求自行开展评估。本方案印发之日起45天内，各县（市、区）要根据评估情况出具评估报告，分别报市住房城乡建设局、市城乡水务局、市城市管理局。加强对评估结果真实性、准确性的管控，对违规出具失实报告的，依法追究责任。</w:t>
      </w:r>
      <w:r>
        <w:rPr>
          <w:rFonts w:hint="eastAsia" w:ascii="方正楷体简体" w:hAnsi="文星仿宋" w:eastAsia="方正楷体简体" w:cs="方正仿宋简体"/>
          <w:b/>
          <w:sz w:val="32"/>
          <w:szCs w:val="32"/>
        </w:rPr>
        <w:t>（市住房城乡建设局、市城乡水务局、市城市管理局牵头）</w:t>
      </w:r>
    </w:p>
    <w:p>
      <w:pPr>
        <w:spacing w:line="57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（二）制定工作方案。</w:t>
      </w:r>
      <w:r>
        <w:rPr>
          <w:rFonts w:hint="eastAsia" w:ascii="方正仿宋简体" w:hAnsi="文星仿宋" w:eastAsia="方正仿宋简体" w:cs="方正仿宋简体"/>
          <w:b/>
          <w:sz w:val="32"/>
          <w:szCs w:val="32"/>
        </w:rPr>
        <w:t>各县（市、区）要根据出具的评估报告区分轻重缓急，因地制宜编制改造方案，明确改造项目清单和分年度改造计划。将燃气管道等老化更新改造纳入本地区年度工程建设计划，同步加装燃气管道前端感知设备；新建燃气管道应配置智能监控传感设备。将燃气庭院管、立管和供热保温改造等管道老化更新改造作为老旧小区改造必选项，纳入老旧小区改造年度计划同步实施。各县（市、区）要根据时间安排，将智慧燃热监管平台与城市运行管理服务平台、新型智慧城市、城市生命线等统筹建设。</w:t>
      </w:r>
      <w:r>
        <w:rPr>
          <w:rFonts w:hint="eastAsia" w:ascii="方正楷体简体" w:hAnsi="文星仿宋" w:eastAsia="方正楷体简体" w:cs="方正仿宋简体"/>
          <w:b/>
          <w:sz w:val="32"/>
          <w:szCs w:val="32"/>
        </w:rPr>
        <w:t>（市住房城乡建设局、市城乡水务局、市城市管理局牵头，市发展改革委、市大数据中心配合）</w:t>
      </w:r>
    </w:p>
    <w:p>
      <w:pPr>
        <w:spacing w:line="59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（三）科学组织实施。</w:t>
      </w:r>
      <w:r>
        <w:rPr>
          <w:rFonts w:hint="eastAsia" w:ascii="方正仿宋简体" w:hAnsi="文星仿宋" w:eastAsia="方正仿宋简体" w:cs="方正仿宋简体"/>
          <w:b/>
          <w:sz w:val="32"/>
          <w:szCs w:val="32"/>
        </w:rPr>
        <w:t>建立健全政府统筹、燃气等经营企业实施、有关各方齐抓共管的燃气管道等老化更新改造工作机制，明确各有关部门、街道、社区和专业经营单位责任分工，形成工作合力，及时破解难题。充分发挥街道和社区党组织的领导作用，统筹协调社区居民委员会、业主委员会、产权单位、物业服务企业、用户等，搭建沟通议事平台。燃气等经营企业要有序安排施工区域、时序、工期，减少交通阻断。</w:t>
      </w:r>
      <w:r>
        <w:rPr>
          <w:rFonts w:hint="eastAsia" w:ascii="方正楷体简体" w:hAnsi="文星仿宋" w:eastAsia="方正楷体简体" w:cs="方正仿宋简体"/>
          <w:b/>
          <w:sz w:val="32"/>
          <w:szCs w:val="32"/>
        </w:rPr>
        <w:t>（市住房城乡建设局、市城乡水务局、市城市管理局牵头）</w:t>
      </w:r>
    </w:p>
    <w:p>
      <w:pPr>
        <w:spacing w:line="59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（四）规范建设运行。</w:t>
      </w:r>
      <w:r>
        <w:rPr>
          <w:rFonts w:hint="eastAsia" w:ascii="方正仿宋简体" w:hAnsi="文星仿宋" w:eastAsia="方正仿宋简体" w:cs="方正仿宋简体"/>
          <w:b/>
          <w:sz w:val="32"/>
          <w:szCs w:val="32"/>
        </w:rPr>
        <w:t>严格落实建设单位工程质量首要责任，督促指导各方责任主体严格执行标准规范，严格把控质量，严格监督管理，严格竣工验收。鼓励选用新设备、新材料、新工艺，提高管道和设施本质安全与智能化水平。管网改造后，燃气等经营企业要健全管网运行维护长效机制，加强运维养护能力建设，完善资金投入机制，定期开展检查、巡查、监测、维护，防止设施带病运行。健全应急抢险机制，配齐物资器材，加强常态化演练，提升迅速高效处置突发事件能力。</w:t>
      </w:r>
      <w:r>
        <w:rPr>
          <w:rFonts w:hint="eastAsia" w:ascii="方正楷体简体" w:hAnsi="文星仿宋" w:eastAsia="方正楷体简体" w:cs="方正仿宋简体"/>
          <w:b/>
          <w:sz w:val="32"/>
          <w:szCs w:val="32"/>
        </w:rPr>
        <w:t>（市住房城乡建设局、市城乡水务局、市城市管理局牵头）</w:t>
      </w:r>
    </w:p>
    <w:p>
      <w:pPr>
        <w:spacing w:line="59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三、政策措施</w:t>
      </w:r>
    </w:p>
    <w:p>
      <w:pPr>
        <w:spacing w:line="59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（一）落实出资责任。</w:t>
      </w:r>
      <w:r>
        <w:rPr>
          <w:rFonts w:hint="eastAsia" w:ascii="方正仿宋简体" w:hAnsi="文星仿宋" w:eastAsia="方正仿宋简体" w:cs="方正仿宋简体"/>
          <w:b/>
          <w:sz w:val="32"/>
          <w:szCs w:val="32"/>
        </w:rPr>
        <w:t>建立燃气管道等老化更新改造资金企业、政府、用户合理共担机制，各县（市、区）要厘清各方出资责任，加大投入，兜住安全底线。市政管网改造按照“谁运营、谁负责”的原则筹措资金，燃气等经营企业依法履行服务范围内的管道设施老化更新改造出资责任。庭院管网根据产权归属不同，采取不同资金筹措模式，机关单位、学校、医院、企业和商业场所等管网产权关系明确的，按照“谁所有、谁付费”原则，由产权单位负责筹措管网改造资金；住宅小区共有产权的管网，已纳入老旧小区改造计划的，资金筹措按照老旧小区改造政策执行。</w:t>
      </w:r>
      <w:r>
        <w:rPr>
          <w:rFonts w:hint="eastAsia" w:ascii="方正楷体简体" w:hAnsi="文星仿宋" w:eastAsia="方正楷体简体" w:cs="方正仿宋简体"/>
          <w:b/>
          <w:sz w:val="32"/>
          <w:szCs w:val="32"/>
        </w:rPr>
        <w:t>（市住房城乡建设局、市城乡水务局、市城市管理局牵头，市财政局配合）</w:t>
      </w:r>
    </w:p>
    <w:p>
      <w:pPr>
        <w:spacing w:line="59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（二）完善配套政策。</w:t>
      </w:r>
      <w:r>
        <w:rPr>
          <w:rFonts w:hint="eastAsia" w:ascii="方正仿宋简体" w:hAnsi="文星仿宋" w:eastAsia="方正仿宋简体" w:cs="方正仿宋简体"/>
          <w:b/>
          <w:sz w:val="32"/>
          <w:szCs w:val="32"/>
        </w:rPr>
        <w:t>对列入年度燃气管道等老化更新改造任务的项目，加快立项、规划选址等前期手续办理，多渠道筹措建设资金，积极争取中央预算内投资和专项债券支持。对涉及的道路开挖修复、园林绿地补偿等，按照“成本补偿”原则，合理确定收费水平，不收取惩罚性费用，对占道施工等政府性收费按规定落实有关减免政策。城市燃气、供水、供热管道老化更新改造投资、维修以及安全生产费用等，根据政府制定价格成本监审办法有关规定核定，相关成本费用计入定价成本。在成本监审基础上，综合考虑当地经济发展水平和用户承受能力等因素，按照相关规定适时调整供气、供水、供热价格；对应调未调产生的收入差额，可分摊到未来监管周期进行补偿。</w:t>
      </w:r>
      <w:r>
        <w:rPr>
          <w:rFonts w:hint="eastAsia" w:ascii="方正楷体简体" w:hAnsi="文星仿宋" w:eastAsia="方正楷体简体" w:cs="方正仿宋简体"/>
          <w:b/>
          <w:sz w:val="32"/>
          <w:szCs w:val="32"/>
        </w:rPr>
        <w:t>（市发展改革委、市住房城乡建设局、市城乡水务局、市城市管理局牵头，市财政局配合）</w:t>
      </w:r>
    </w:p>
    <w:p>
      <w:pPr>
        <w:spacing w:line="570" w:lineRule="exact"/>
        <w:ind w:right="-96" w:rightChars="-50"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（三）简化审批流程。</w:t>
      </w:r>
      <w:r>
        <w:rPr>
          <w:rFonts w:hint="eastAsia" w:ascii="方正仿宋简体" w:hAnsi="文星仿宋" w:eastAsia="方正仿宋简体" w:cs="方正仿宋简体"/>
          <w:b/>
          <w:sz w:val="32"/>
          <w:szCs w:val="32"/>
        </w:rPr>
        <w:t>各县（市、区）要依法精简燃气管道等老化更新改造涉及的审批事项和环节，建立健全快速审批机制，组织有关部门联合审查改造方案，认可后由行政审批部门直接办理相关审批手续。既有管网改造不涉及土地权属变化和管道位置改变的，不再办理用地、规划等手续，具体办法由各县（市、区）制定。老旧小区改造办理前期手续后，再增加管网改造内容的，可实行备案制。</w:t>
      </w:r>
      <w:r>
        <w:rPr>
          <w:rFonts w:hint="eastAsia" w:ascii="方正楷体简体" w:hAnsi="文星仿宋" w:eastAsia="方正楷体简体" w:cs="方正仿宋简体"/>
          <w:b/>
          <w:sz w:val="32"/>
          <w:szCs w:val="32"/>
        </w:rPr>
        <w:t>（市住房城乡建设局、市城乡水务局、市城市管理局牵头，市自然资源和规划局、市行政审批服务局、市市场监管局配合）</w:t>
      </w:r>
    </w:p>
    <w:p>
      <w:pPr>
        <w:spacing w:line="570" w:lineRule="exact"/>
        <w:ind w:right="-96" w:rightChars="-50"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四、组织保障</w:t>
      </w:r>
    </w:p>
    <w:p>
      <w:pPr>
        <w:spacing w:line="57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（一）加强组织领导。</w:t>
      </w:r>
      <w:r>
        <w:rPr>
          <w:rFonts w:hint="eastAsia" w:ascii="方正仿宋简体" w:hAnsi="文星仿宋" w:eastAsia="方正仿宋简体" w:cs="方正仿宋简体"/>
          <w:b/>
          <w:sz w:val="32"/>
          <w:szCs w:val="32"/>
        </w:rPr>
        <w:t>市政府落实各类地下管道建设改造总体责任，各县（市、区）政府（管委会）要落实本地各类地下管道建设改造属地责任，把推进燃气管道等老化更新改造提上重要议事日程，健全工作机制，落实各项政策，抓好组织实施。</w:t>
      </w:r>
    </w:p>
    <w:p>
      <w:pPr>
        <w:spacing w:line="57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（二）强化督导调度。</w:t>
      </w:r>
      <w:r>
        <w:rPr>
          <w:rFonts w:hint="eastAsia" w:ascii="方正仿宋简体" w:hAnsi="文星仿宋" w:eastAsia="方正仿宋简体" w:cs="方正仿宋简体"/>
          <w:b/>
          <w:sz w:val="32"/>
          <w:szCs w:val="32"/>
        </w:rPr>
        <w:t>市级建立督导调度机制，定期对燃气管道等老化更新改造工作的组织推进、项目进度、工程质量、群众满意度等进行督导调度。对工作推进不力、整改不实的进行通报约谈。各县（市、区）要建立健全相应的督导调度机制，确保更新改造落实落地。</w:t>
      </w:r>
    </w:p>
    <w:p>
      <w:pPr>
        <w:spacing w:line="570" w:lineRule="exact"/>
        <w:ind w:right="-96" w:rightChars="-50" w:firstLine="624" w:firstLineChars="200"/>
        <w:rPr>
          <w:rFonts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（三）做好宣传引导。</w:t>
      </w:r>
      <w:r>
        <w:rPr>
          <w:rFonts w:hint="eastAsia" w:ascii="方正仿宋简体" w:hAnsi="文星仿宋" w:eastAsia="方正仿宋简体" w:cs="方正仿宋简体"/>
          <w:b/>
          <w:sz w:val="32"/>
          <w:szCs w:val="32"/>
        </w:rPr>
        <w:t>充分利用广播、电视、网络等各类媒体平台大力宣传燃气管道等老化更新改造的重要意义，及时回应社会关切。做好项目实施过程中交通阻断、停气停暖等情况的提前告知，争取广大群众的理解、支持与配合。要及时总结典型经验，营造推进工作的浓厚氛围。</w:t>
      </w:r>
    </w:p>
    <w:p>
      <w:pPr>
        <w:spacing w:line="570" w:lineRule="exact"/>
        <w:ind w:right="-96" w:rightChars="-50" w:firstLine="624" w:firstLineChars="200"/>
        <w:rPr>
          <w:rFonts w:ascii="方正仿宋简体" w:hAnsi="文星仿宋" w:eastAsia="方正仿宋简体" w:cs="方正仿宋简体"/>
          <w:b/>
          <w:sz w:val="32"/>
          <w:szCs w:val="32"/>
        </w:rPr>
      </w:pPr>
    </w:p>
    <w:p>
      <w:pPr>
        <w:spacing w:line="570" w:lineRule="exact"/>
        <w:ind w:right="-96" w:rightChars="-50"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附件：燃气管道等老化更新改造计划任务表</w:t>
      </w:r>
    </w:p>
    <w:p>
      <w:pPr>
        <w:spacing w:line="600" w:lineRule="exact"/>
        <w:ind w:firstLine="624" w:firstLineChars="200"/>
        <w:rPr>
          <w:rFonts w:ascii="方正仿宋简体" w:hAnsi="文星仿宋" w:eastAsia="方正仿宋简体" w:cs="方正仿宋简体"/>
          <w:b/>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spacing w:line="400" w:lineRule="exact"/>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附件</w:t>
      </w:r>
    </w:p>
    <w:p>
      <w:pPr>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燃气管道等老化更新改造计划任务表</w:t>
      </w:r>
    </w:p>
    <w:tbl>
      <w:tblPr>
        <w:tblStyle w:val="9"/>
        <w:tblW w:w="14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
        <w:gridCol w:w="450"/>
        <w:gridCol w:w="278"/>
        <w:gridCol w:w="490"/>
        <w:gridCol w:w="378"/>
        <w:gridCol w:w="448"/>
        <w:gridCol w:w="378"/>
        <w:gridCol w:w="381"/>
        <w:gridCol w:w="417"/>
        <w:gridCol w:w="420"/>
        <w:gridCol w:w="409"/>
        <w:gridCol w:w="350"/>
        <w:gridCol w:w="381"/>
        <w:gridCol w:w="319"/>
        <w:gridCol w:w="445"/>
        <w:gridCol w:w="317"/>
        <w:gridCol w:w="466"/>
        <w:gridCol w:w="424"/>
        <w:gridCol w:w="372"/>
        <w:gridCol w:w="398"/>
        <w:gridCol w:w="308"/>
        <w:gridCol w:w="364"/>
        <w:gridCol w:w="420"/>
        <w:gridCol w:w="416"/>
        <w:gridCol w:w="456"/>
        <w:gridCol w:w="356"/>
        <w:gridCol w:w="362"/>
        <w:gridCol w:w="392"/>
        <w:gridCol w:w="372"/>
        <w:gridCol w:w="419"/>
        <w:gridCol w:w="427"/>
        <w:gridCol w:w="379"/>
        <w:gridCol w:w="313"/>
        <w:gridCol w:w="448"/>
        <w:gridCol w:w="378"/>
        <w:gridCol w:w="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tblHeader/>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序号</w:t>
            </w:r>
          </w:p>
        </w:tc>
        <w:tc>
          <w:tcPr>
            <w:tcW w:w="728" w:type="dxa"/>
            <w:gridSpan w:val="2"/>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县（市、区）</w:t>
            </w:r>
          </w:p>
        </w:tc>
        <w:tc>
          <w:tcPr>
            <w:tcW w:w="49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总投资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总计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（万元）</w:t>
            </w:r>
          </w:p>
        </w:tc>
        <w:tc>
          <w:tcPr>
            <w:tcW w:w="5109" w:type="dxa"/>
            <w:gridSpan w:val="13"/>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燃气</w:t>
            </w:r>
          </w:p>
        </w:tc>
        <w:tc>
          <w:tcPr>
            <w:tcW w:w="1866" w:type="dxa"/>
            <w:gridSpan w:val="5"/>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供水</w:t>
            </w:r>
          </w:p>
        </w:tc>
        <w:tc>
          <w:tcPr>
            <w:tcW w:w="2010" w:type="dxa"/>
            <w:gridSpan w:val="5"/>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排水</w:t>
            </w:r>
          </w:p>
        </w:tc>
        <w:tc>
          <w:tcPr>
            <w:tcW w:w="3574" w:type="dxa"/>
            <w:gridSpan w:val="9"/>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Header/>
        </w:trPr>
        <w:tc>
          <w:tcPr>
            <w:tcW w:w="225" w:type="dxa"/>
            <w:vMerge w:val="continue"/>
            <w:noWrap/>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728" w:type="dxa"/>
            <w:gridSpan w:val="2"/>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490" w:type="dxa"/>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378"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燃气</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总投资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合计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（万元）</w:t>
            </w:r>
          </w:p>
        </w:tc>
        <w:tc>
          <w:tcPr>
            <w:tcW w:w="826"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市政管道</w:t>
            </w:r>
          </w:p>
        </w:tc>
        <w:tc>
          <w:tcPr>
            <w:tcW w:w="798"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庭院管道</w:t>
            </w:r>
          </w:p>
        </w:tc>
        <w:tc>
          <w:tcPr>
            <w:tcW w:w="829"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立管</w:t>
            </w:r>
          </w:p>
        </w:tc>
        <w:tc>
          <w:tcPr>
            <w:tcW w:w="731"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厂站和设施</w:t>
            </w:r>
          </w:p>
        </w:tc>
        <w:tc>
          <w:tcPr>
            <w:tcW w:w="764"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用户设施</w:t>
            </w:r>
          </w:p>
        </w:tc>
        <w:tc>
          <w:tcPr>
            <w:tcW w:w="783"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智慧监管</w:t>
            </w:r>
          </w:p>
        </w:tc>
        <w:tc>
          <w:tcPr>
            <w:tcW w:w="424"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供水</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总投资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合计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（万元）</w:t>
            </w:r>
          </w:p>
        </w:tc>
        <w:tc>
          <w:tcPr>
            <w:tcW w:w="770"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管道</w:t>
            </w:r>
          </w:p>
        </w:tc>
        <w:tc>
          <w:tcPr>
            <w:tcW w:w="672"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二次供水设施</w:t>
            </w:r>
          </w:p>
        </w:tc>
        <w:tc>
          <w:tcPr>
            <w:tcW w:w="42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排水</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总投资</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合计</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872"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污水管道</w:t>
            </w:r>
          </w:p>
        </w:tc>
        <w:tc>
          <w:tcPr>
            <w:tcW w:w="718"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雨水管道</w:t>
            </w:r>
          </w:p>
        </w:tc>
        <w:tc>
          <w:tcPr>
            <w:tcW w:w="392"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供热</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总投资</w:t>
            </w:r>
          </w:p>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合计</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791"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市政与庭院管道</w:t>
            </w:r>
          </w:p>
        </w:tc>
        <w:tc>
          <w:tcPr>
            <w:tcW w:w="806"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住宅楼内公共管道</w:t>
            </w:r>
          </w:p>
        </w:tc>
        <w:tc>
          <w:tcPr>
            <w:tcW w:w="761"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用户设施</w:t>
            </w:r>
          </w:p>
        </w:tc>
        <w:tc>
          <w:tcPr>
            <w:tcW w:w="824"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智慧监管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Header/>
        </w:trPr>
        <w:tc>
          <w:tcPr>
            <w:tcW w:w="225" w:type="dxa"/>
            <w:vMerge w:val="continue"/>
            <w:noWrap/>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728" w:type="dxa"/>
            <w:gridSpan w:val="2"/>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490" w:type="dxa"/>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378" w:type="dxa"/>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378"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（万元）</w:t>
            </w:r>
          </w:p>
        </w:tc>
        <w:tc>
          <w:tcPr>
            <w:tcW w:w="381"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417"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42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409"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5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数量</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（处）</w:t>
            </w:r>
          </w:p>
        </w:tc>
        <w:tc>
          <w:tcPr>
            <w:tcW w:w="381"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19"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（户）</w:t>
            </w:r>
          </w:p>
        </w:tc>
        <w:tc>
          <w:tcPr>
            <w:tcW w:w="445"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17"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Style w:val="22"/>
                <w:rFonts w:hint="eastAsia" w:ascii="方正仿宋简体" w:eastAsia="方正仿宋简体"/>
                <w:w w:val="50"/>
                <w:sz w:val="13"/>
                <w:szCs w:val="13"/>
                <w:lang w:bidi="ar"/>
              </w:rPr>
              <w:br w:type="textWrapping"/>
            </w:r>
            <w:r>
              <w:rPr>
                <w:rStyle w:val="21"/>
                <w:rFonts w:hint="default" w:ascii="方正仿宋简体" w:eastAsia="方正仿宋简体"/>
                <w:w w:val="50"/>
                <w:sz w:val="13"/>
                <w:szCs w:val="13"/>
                <w:lang w:bidi="ar"/>
              </w:rPr>
              <w:t>（个）</w:t>
            </w:r>
          </w:p>
        </w:tc>
        <w:tc>
          <w:tcPr>
            <w:tcW w:w="466" w:type="dxa"/>
            <w:tcMar>
              <w:top w:w="15" w:type="dxa"/>
              <w:left w:w="15" w:type="dxa"/>
              <w:right w:w="15" w:type="dxa"/>
            </w:tcMar>
            <w:vAlign w:val="center"/>
          </w:tcPr>
          <w:p>
            <w:pPr>
              <w:widowControl/>
              <w:spacing w:line="160" w:lineRule="exact"/>
              <w:jc w:val="center"/>
              <w:textAlignment w:val="center"/>
              <w:rPr>
                <w:rFonts w:ascii="方正仿宋简体" w:hAnsi="方正书宋_GBK" w:eastAsia="方正仿宋简体" w:cs="方正书宋_GBK"/>
                <w:b/>
                <w:color w:val="000000"/>
                <w:w w:val="50"/>
                <w:sz w:val="13"/>
                <w:szCs w:val="13"/>
                <w:lang w:bidi="ar"/>
              </w:rPr>
            </w:pPr>
            <w:r>
              <w:rPr>
                <w:rFonts w:hint="eastAsia" w:ascii="方正仿宋简体" w:hAnsi="方正书宋_GBK" w:eastAsia="方正仿宋简体" w:cs="方正书宋_GBK"/>
                <w:b/>
                <w:color w:val="000000"/>
                <w:w w:val="50"/>
                <w:sz w:val="13"/>
                <w:szCs w:val="13"/>
                <w:lang w:bidi="ar"/>
              </w:rPr>
              <w:t>预计</w:t>
            </w:r>
            <w:r>
              <w:rPr>
                <w:rFonts w:hint="eastAsia" w:ascii="方正仿宋简体" w:hAnsi="方正书宋_GBK" w:eastAsia="方正仿宋简体" w:cs="方正书宋_GBK"/>
                <w:b/>
                <w:color w:val="000000"/>
                <w:w w:val="50"/>
                <w:sz w:val="13"/>
                <w:szCs w:val="13"/>
                <w:lang w:bidi="ar"/>
              </w:rPr>
              <w:br w:type="textWrapping"/>
            </w:r>
            <w:r>
              <w:rPr>
                <w:rFonts w:hint="eastAsia" w:ascii="方正仿宋简体" w:hAnsi="方正书宋_GBK" w:eastAsia="方正仿宋简体" w:cs="方正书宋_GBK"/>
                <w:b/>
                <w:color w:val="000000"/>
                <w:w w:val="50"/>
                <w:sz w:val="13"/>
                <w:szCs w:val="13"/>
                <w:lang w:bidi="ar"/>
              </w:rPr>
              <w:t>投资</w:t>
            </w:r>
          </w:p>
          <w:p>
            <w:pPr>
              <w:widowControl/>
              <w:spacing w:line="160" w:lineRule="exact"/>
              <w:jc w:val="center"/>
              <w:textAlignment w:val="center"/>
              <w:rPr>
                <w:rFonts w:ascii="方正仿宋简体" w:hAnsi="方正书宋_GBK" w:eastAsia="方正仿宋简体" w:cs="方正书宋_GBK"/>
                <w:b/>
                <w:color w:val="000000"/>
                <w:w w:val="50"/>
                <w:sz w:val="13"/>
                <w:szCs w:val="13"/>
              </w:rPr>
            </w:pPr>
            <w:r>
              <w:rPr>
                <w:rFonts w:hint="eastAsia" w:ascii="方正仿宋简体" w:hAnsi="方正书宋_GBK" w:eastAsia="方正仿宋简体" w:cs="方正书宋_GBK"/>
                <w:b/>
                <w:color w:val="000000"/>
                <w:w w:val="50"/>
                <w:sz w:val="13"/>
                <w:szCs w:val="13"/>
                <w:lang w:bidi="ar"/>
              </w:rPr>
              <w:t>（万元）</w:t>
            </w:r>
          </w:p>
        </w:tc>
        <w:tc>
          <w:tcPr>
            <w:tcW w:w="424" w:type="dxa"/>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398"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08"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（座）</w:t>
            </w:r>
          </w:p>
        </w:tc>
        <w:tc>
          <w:tcPr>
            <w:tcW w:w="364"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420" w:type="dxa"/>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456"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56"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362"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92" w:type="dxa"/>
            <w:vMerge w:val="continue"/>
            <w:tcMar>
              <w:top w:w="15" w:type="dxa"/>
              <w:left w:w="15" w:type="dxa"/>
              <w:right w:w="15" w:type="dxa"/>
            </w:tcMar>
            <w:vAlign w:val="center"/>
          </w:tcPr>
          <w:p>
            <w:pPr>
              <w:widowControl/>
              <w:spacing w:line="160" w:lineRule="exact"/>
              <w:jc w:val="center"/>
              <w:rPr>
                <w:rFonts w:ascii="方正仿宋简体" w:hAnsi="宋体" w:eastAsia="方正仿宋简体" w:cs="宋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419"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427"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（公里）</w:t>
            </w:r>
          </w:p>
        </w:tc>
        <w:tc>
          <w:tcPr>
            <w:tcW w:w="379"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13"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（户）</w:t>
            </w:r>
          </w:p>
        </w:tc>
        <w:tc>
          <w:tcPr>
            <w:tcW w:w="448"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lang w:bidi="ar"/>
              </w:rPr>
            </w:pPr>
            <w:r>
              <w:rPr>
                <w:rFonts w:hint="eastAsia" w:ascii="方正仿宋简体" w:hAnsi="宋体" w:eastAsia="方正仿宋简体" w:cs="宋体"/>
                <w:b/>
                <w:color w:val="000000"/>
                <w:w w:val="50"/>
                <w:sz w:val="13"/>
                <w:szCs w:val="13"/>
                <w:lang w:bidi="ar"/>
              </w:rPr>
              <w:t>预计</w:t>
            </w:r>
            <w:r>
              <w:rPr>
                <w:rFonts w:hint="eastAsia" w:ascii="方正仿宋简体" w:hAnsi="宋体" w:eastAsia="方正仿宋简体" w:cs="宋体"/>
                <w:b/>
                <w:color w:val="000000"/>
                <w:w w:val="50"/>
                <w:sz w:val="13"/>
                <w:szCs w:val="13"/>
                <w:lang w:bidi="ar"/>
              </w:rPr>
              <w:br w:type="textWrapping"/>
            </w:r>
            <w:r>
              <w:rPr>
                <w:rFonts w:hint="eastAsia" w:ascii="方正仿宋简体" w:hAnsi="宋体" w:eastAsia="方正仿宋简体" w:cs="宋体"/>
                <w:b/>
                <w:color w:val="000000"/>
                <w:w w:val="50"/>
                <w:sz w:val="13"/>
                <w:szCs w:val="13"/>
                <w:lang w:bidi="ar"/>
              </w:rPr>
              <w:t>投资</w:t>
            </w:r>
          </w:p>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（万元）</w:t>
            </w:r>
          </w:p>
        </w:tc>
        <w:tc>
          <w:tcPr>
            <w:tcW w:w="378"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数量</w:t>
            </w:r>
            <w:r>
              <w:rPr>
                <w:rStyle w:val="22"/>
                <w:rFonts w:hint="eastAsia" w:ascii="方正仿宋简体" w:eastAsia="方正仿宋简体"/>
                <w:w w:val="50"/>
                <w:sz w:val="13"/>
                <w:szCs w:val="13"/>
                <w:lang w:bidi="ar"/>
              </w:rPr>
              <w:br w:type="textWrapping"/>
            </w:r>
            <w:r>
              <w:rPr>
                <w:rStyle w:val="21"/>
                <w:rFonts w:hint="default" w:ascii="方正仿宋简体" w:eastAsia="方正仿宋简体"/>
                <w:w w:val="50"/>
                <w:sz w:val="13"/>
                <w:szCs w:val="13"/>
                <w:lang w:bidi="ar"/>
              </w:rPr>
              <w:t>（个）</w:t>
            </w:r>
          </w:p>
        </w:tc>
        <w:tc>
          <w:tcPr>
            <w:tcW w:w="446" w:type="dxa"/>
            <w:tcMar>
              <w:top w:w="15" w:type="dxa"/>
              <w:left w:w="15" w:type="dxa"/>
              <w:right w:w="15" w:type="dxa"/>
            </w:tcMar>
            <w:vAlign w:val="center"/>
          </w:tcPr>
          <w:p>
            <w:pPr>
              <w:widowControl/>
              <w:spacing w:line="160" w:lineRule="exact"/>
              <w:jc w:val="center"/>
              <w:textAlignment w:val="center"/>
              <w:rPr>
                <w:rFonts w:ascii="方正仿宋简体" w:hAnsi="方正书宋_GBK" w:eastAsia="方正仿宋简体" w:cs="方正书宋_GBK"/>
                <w:b/>
                <w:color w:val="000000"/>
                <w:w w:val="50"/>
                <w:sz w:val="13"/>
                <w:szCs w:val="13"/>
                <w:lang w:bidi="ar"/>
              </w:rPr>
            </w:pPr>
            <w:r>
              <w:rPr>
                <w:rFonts w:hint="eastAsia" w:ascii="方正仿宋简体" w:hAnsi="方正书宋_GBK" w:eastAsia="方正仿宋简体" w:cs="方正书宋_GBK"/>
                <w:b/>
                <w:color w:val="000000"/>
                <w:w w:val="50"/>
                <w:sz w:val="13"/>
                <w:szCs w:val="13"/>
                <w:lang w:bidi="ar"/>
              </w:rPr>
              <w:t>预计</w:t>
            </w:r>
            <w:r>
              <w:rPr>
                <w:rFonts w:hint="eastAsia" w:ascii="方正仿宋简体" w:hAnsi="方正书宋_GBK" w:eastAsia="方正仿宋简体" w:cs="方正书宋_GBK"/>
                <w:b/>
                <w:color w:val="000000"/>
                <w:w w:val="50"/>
                <w:sz w:val="13"/>
                <w:szCs w:val="13"/>
                <w:lang w:bidi="ar"/>
              </w:rPr>
              <w:br w:type="textWrapping"/>
            </w:r>
            <w:r>
              <w:rPr>
                <w:rFonts w:hint="eastAsia" w:ascii="方正仿宋简体" w:hAnsi="方正书宋_GBK" w:eastAsia="方正仿宋简体" w:cs="方正书宋_GBK"/>
                <w:b/>
                <w:color w:val="000000"/>
                <w:w w:val="50"/>
                <w:sz w:val="13"/>
                <w:szCs w:val="13"/>
                <w:lang w:bidi="ar"/>
              </w:rPr>
              <w:t>投资</w:t>
            </w:r>
          </w:p>
          <w:p>
            <w:pPr>
              <w:widowControl/>
              <w:spacing w:line="160" w:lineRule="exact"/>
              <w:jc w:val="center"/>
              <w:textAlignment w:val="center"/>
              <w:rPr>
                <w:rFonts w:ascii="方正仿宋简体" w:hAnsi="方正书宋_GBK" w:eastAsia="方正仿宋简体" w:cs="方正书宋_GBK"/>
                <w:b/>
                <w:color w:val="000000"/>
                <w:w w:val="50"/>
                <w:sz w:val="13"/>
                <w:szCs w:val="13"/>
              </w:rPr>
            </w:pPr>
            <w:r>
              <w:rPr>
                <w:rFonts w:hint="eastAsia" w:ascii="方正仿宋简体" w:hAnsi="方正书宋_GBK" w:eastAsia="方正仿宋简体" w:cs="方正书宋_GBK"/>
                <w:b/>
                <w:color w:val="000000"/>
                <w:w w:val="50"/>
                <w:sz w:val="13"/>
                <w:szCs w:val="13"/>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1</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任城区</w:t>
            </w: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兖州区</w:t>
            </w: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3</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曲阜市</w:t>
            </w: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4</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泗水县</w:t>
            </w: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5</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邹城市</w:t>
            </w: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6</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微山县</w:t>
            </w: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7</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鱼台县</w:t>
            </w: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8</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金乡县</w:t>
            </w: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9</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嘉祥县</w:t>
            </w: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10</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汶上县</w:t>
            </w: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11</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梁山县</w:t>
            </w: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12</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济宁高新区</w:t>
            </w: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44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44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44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13</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太白湖新区</w:t>
            </w: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14</w:t>
            </w:r>
          </w:p>
        </w:tc>
        <w:tc>
          <w:tcPr>
            <w:tcW w:w="450" w:type="dxa"/>
            <w:vMerge w:val="restart"/>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济宁经开区</w:t>
            </w: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225" w:type="dxa"/>
            <w:vMerge w:val="continue"/>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0" w:type="dxa"/>
            <w:vMerge w:val="continue"/>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278" w:type="dxa"/>
            <w:tcMar>
              <w:top w:w="15" w:type="dxa"/>
              <w:left w:w="15" w:type="dxa"/>
              <w:right w:w="15" w:type="dxa"/>
            </w:tcMar>
            <w:vAlign w:val="center"/>
          </w:tcPr>
          <w:p>
            <w:pPr>
              <w:widowControl/>
              <w:spacing w:line="14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13"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378"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c>
          <w:tcPr>
            <w:tcW w:w="446" w:type="dxa"/>
            <w:noWrap/>
            <w:tcMar>
              <w:top w:w="15" w:type="dxa"/>
              <w:left w:w="15" w:type="dxa"/>
              <w:right w:w="15" w:type="dxa"/>
            </w:tcMar>
            <w:vAlign w:val="center"/>
          </w:tcPr>
          <w:p>
            <w:pPr>
              <w:spacing w:line="160" w:lineRule="exact"/>
              <w:jc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225" w:type="dxa"/>
            <w:vMerge w:val="restart"/>
            <w:noWrap/>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合计</w:t>
            </w:r>
          </w:p>
        </w:tc>
        <w:tc>
          <w:tcPr>
            <w:tcW w:w="728" w:type="dxa"/>
            <w:gridSpan w:val="2"/>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2023</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rPr>
        <w:tc>
          <w:tcPr>
            <w:tcW w:w="225" w:type="dxa"/>
            <w:vMerge w:val="continue"/>
            <w:noWrap/>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728" w:type="dxa"/>
            <w:gridSpan w:val="2"/>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2024</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225" w:type="dxa"/>
            <w:vMerge w:val="continue"/>
            <w:noWrap/>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728" w:type="dxa"/>
            <w:gridSpan w:val="2"/>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r>
              <w:rPr>
                <w:rFonts w:hint="eastAsia" w:ascii="方正仿宋简体" w:eastAsia="方正仿宋简体"/>
                <w:b/>
                <w:color w:val="000000"/>
                <w:w w:val="50"/>
                <w:sz w:val="13"/>
                <w:szCs w:val="13"/>
                <w:lang w:bidi="ar"/>
              </w:rPr>
              <w:t>2025</w:t>
            </w:r>
            <w:r>
              <w:rPr>
                <w:rStyle w:val="23"/>
                <w:rFonts w:hint="default" w:ascii="方正仿宋简体" w:eastAsia="方正仿宋简体"/>
                <w:w w:val="50"/>
                <w:sz w:val="13"/>
                <w:szCs w:val="13"/>
                <w:lang w:bidi="ar"/>
              </w:rPr>
              <w:t>年计划</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225" w:type="dxa"/>
            <w:vMerge w:val="continue"/>
            <w:noWrap/>
            <w:tcMar>
              <w:top w:w="15" w:type="dxa"/>
              <w:left w:w="15" w:type="dxa"/>
              <w:right w:w="15" w:type="dxa"/>
            </w:tcMar>
            <w:vAlign w:val="center"/>
          </w:tcPr>
          <w:p>
            <w:pPr>
              <w:spacing w:line="160" w:lineRule="exact"/>
              <w:jc w:val="center"/>
              <w:rPr>
                <w:rFonts w:ascii="方正仿宋简体" w:hAnsi="宋体" w:eastAsia="方正仿宋简体" w:cs="宋体"/>
                <w:b/>
                <w:color w:val="000000"/>
                <w:w w:val="50"/>
                <w:sz w:val="13"/>
                <w:szCs w:val="13"/>
              </w:rPr>
            </w:pPr>
          </w:p>
        </w:tc>
        <w:tc>
          <w:tcPr>
            <w:tcW w:w="728" w:type="dxa"/>
            <w:gridSpan w:val="2"/>
            <w:tcMar>
              <w:top w:w="15" w:type="dxa"/>
              <w:left w:w="15" w:type="dxa"/>
              <w:right w:w="15" w:type="dxa"/>
            </w:tcMar>
            <w:vAlign w:val="center"/>
          </w:tcPr>
          <w:p>
            <w:pPr>
              <w:widowControl/>
              <w:spacing w:line="160" w:lineRule="exact"/>
              <w:jc w:val="center"/>
              <w:textAlignment w:val="center"/>
              <w:rPr>
                <w:rFonts w:ascii="方正仿宋简体" w:hAnsi="宋体" w:eastAsia="方正仿宋简体" w:cs="宋体"/>
                <w:b/>
                <w:color w:val="000000"/>
                <w:w w:val="50"/>
                <w:sz w:val="13"/>
                <w:szCs w:val="13"/>
              </w:rPr>
            </w:pPr>
            <w:r>
              <w:rPr>
                <w:rFonts w:hint="eastAsia" w:ascii="方正仿宋简体" w:hAnsi="宋体" w:eastAsia="方正仿宋简体" w:cs="宋体"/>
                <w:b/>
                <w:color w:val="000000"/>
                <w:w w:val="50"/>
                <w:sz w:val="13"/>
                <w:szCs w:val="13"/>
                <w:lang w:bidi="ar"/>
              </w:rPr>
              <w:t>总</w:t>
            </w:r>
            <w:r>
              <w:rPr>
                <w:rStyle w:val="24"/>
                <w:rFonts w:hint="eastAsia" w:ascii="方正仿宋简体" w:hAnsi="宋体" w:eastAsia="方正仿宋简体" w:cs="宋体"/>
                <w:w w:val="50"/>
                <w:sz w:val="13"/>
                <w:szCs w:val="13"/>
                <w:lang w:bidi="ar"/>
              </w:rPr>
              <w:t xml:space="preserve">  </w:t>
            </w:r>
            <w:r>
              <w:rPr>
                <w:rStyle w:val="23"/>
                <w:rFonts w:hint="default" w:ascii="方正仿宋简体" w:eastAsia="方正仿宋简体"/>
                <w:w w:val="50"/>
                <w:sz w:val="13"/>
                <w:szCs w:val="13"/>
                <w:lang w:bidi="ar"/>
              </w:rPr>
              <w:t>计</w:t>
            </w:r>
          </w:p>
        </w:tc>
        <w:tc>
          <w:tcPr>
            <w:tcW w:w="49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0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81"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5"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6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0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4"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0"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5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6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9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2"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1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27"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9"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13"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378"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c>
          <w:tcPr>
            <w:tcW w:w="446" w:type="dxa"/>
            <w:tcMar>
              <w:top w:w="15" w:type="dxa"/>
              <w:left w:w="15" w:type="dxa"/>
              <w:right w:w="15" w:type="dxa"/>
            </w:tcMar>
            <w:vAlign w:val="center"/>
          </w:tcPr>
          <w:p>
            <w:pPr>
              <w:widowControl/>
              <w:spacing w:line="160" w:lineRule="exact"/>
              <w:jc w:val="center"/>
              <w:textAlignment w:val="center"/>
              <w:rPr>
                <w:rFonts w:ascii="方正仿宋简体" w:eastAsia="方正仿宋简体"/>
                <w:b/>
                <w:color w:val="000000"/>
                <w:w w:val="5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53" w:type="dxa"/>
            <w:gridSpan w:val="3"/>
            <w:noWrap/>
            <w:tcMar>
              <w:top w:w="15" w:type="dxa"/>
              <w:left w:w="15" w:type="dxa"/>
              <w:right w:w="15" w:type="dxa"/>
            </w:tcMar>
            <w:vAlign w:val="center"/>
          </w:tcPr>
          <w:p>
            <w:pPr>
              <w:widowControl/>
              <w:spacing w:line="160" w:lineRule="exact"/>
              <w:jc w:val="center"/>
              <w:textAlignment w:val="center"/>
              <w:rPr>
                <w:rStyle w:val="23"/>
                <w:rFonts w:hint="default" w:ascii="方正仿宋简体" w:eastAsia="方正仿宋简体"/>
                <w:w w:val="50"/>
                <w:sz w:val="13"/>
                <w:szCs w:val="13"/>
                <w:lang w:bidi="ar"/>
              </w:rPr>
            </w:pPr>
            <w:r>
              <w:rPr>
                <w:rStyle w:val="23"/>
                <w:rFonts w:hint="default" w:ascii="方正仿宋简体" w:eastAsia="方正仿宋简体"/>
                <w:w w:val="50"/>
                <w:sz w:val="13"/>
                <w:szCs w:val="13"/>
                <w:lang w:bidi="ar"/>
              </w:rPr>
              <w:t>填报说明</w:t>
            </w:r>
          </w:p>
        </w:tc>
        <w:tc>
          <w:tcPr>
            <w:tcW w:w="13049" w:type="dxa"/>
            <w:gridSpan w:val="33"/>
            <w:tcMar>
              <w:top w:w="15" w:type="dxa"/>
              <w:left w:w="15" w:type="dxa"/>
              <w:right w:w="15" w:type="dxa"/>
            </w:tcMar>
            <w:vAlign w:val="center"/>
          </w:tcPr>
          <w:p>
            <w:pPr>
              <w:widowControl/>
              <w:spacing w:line="160" w:lineRule="exact"/>
              <w:jc w:val="left"/>
              <w:textAlignment w:val="center"/>
              <w:rPr>
                <w:rFonts w:ascii="方正仿宋简体" w:hAnsi="宋体" w:eastAsia="方正仿宋简体" w:cs="宋体"/>
                <w:b/>
                <w:color w:val="000000"/>
                <w:sz w:val="13"/>
                <w:szCs w:val="13"/>
              </w:rPr>
            </w:pPr>
            <w:r>
              <w:rPr>
                <w:rFonts w:hint="eastAsia" w:ascii="方正仿宋简体" w:hAnsi="方正仿宋简体" w:eastAsia="方正仿宋简体" w:cs="方正仿宋简体"/>
                <w:b/>
                <w:bCs/>
                <w:color w:val="000000"/>
                <w:sz w:val="13"/>
                <w:szCs w:val="13"/>
                <w:lang w:bidi="ar"/>
              </w:rPr>
              <w:t>1.燃气管道老化更新改造中的用户设施包含为居民户内更换燃气橡胶软管、需加装的燃气安全装置等；</w:t>
            </w:r>
            <w:r>
              <w:rPr>
                <w:rFonts w:hint="eastAsia" w:ascii="方正仿宋简体" w:hAnsi="方正仿宋简体" w:eastAsia="方正仿宋简体" w:cs="方正仿宋简体"/>
                <w:b/>
                <w:bCs/>
                <w:color w:val="000000"/>
                <w:sz w:val="13"/>
                <w:szCs w:val="13"/>
                <w:lang w:bidi="ar"/>
              </w:rPr>
              <w:br w:type="textWrapping"/>
            </w:r>
            <w:r>
              <w:rPr>
                <w:rFonts w:hint="eastAsia" w:ascii="方正仿宋简体" w:hAnsi="方正仿宋简体" w:eastAsia="方正仿宋简体" w:cs="方正仿宋简体"/>
                <w:b/>
                <w:bCs/>
                <w:color w:val="000000"/>
                <w:sz w:val="13"/>
                <w:szCs w:val="13"/>
                <w:lang w:bidi="ar"/>
              </w:rPr>
              <w:t>2.供热管道老化更新改造中的用户设施包含为居民户内安装的室温检测设备等；</w:t>
            </w:r>
            <w:r>
              <w:rPr>
                <w:rFonts w:hint="eastAsia" w:ascii="方正仿宋简体" w:hAnsi="方正仿宋简体" w:eastAsia="方正仿宋简体" w:cs="方正仿宋简体"/>
                <w:b/>
                <w:bCs/>
                <w:color w:val="000000"/>
                <w:sz w:val="13"/>
                <w:szCs w:val="13"/>
                <w:lang w:bidi="ar"/>
              </w:rPr>
              <w:br w:type="textWrapping"/>
            </w:r>
            <w:r>
              <w:rPr>
                <w:rFonts w:hint="eastAsia" w:ascii="方正仿宋简体" w:hAnsi="方正仿宋简体" w:eastAsia="方正仿宋简体" w:cs="方正仿宋简体"/>
                <w:b/>
                <w:bCs/>
                <w:color w:val="000000"/>
                <w:sz w:val="13"/>
                <w:szCs w:val="13"/>
                <w:lang w:bidi="ar"/>
              </w:rPr>
              <w:t>3.燃气供热管道老化更新改造中的智慧监管包含建设或开展智慧运行平台迭代升级的燃气热力企业、县（市、区）监管部门本级建设的智慧监管平台。</w:t>
            </w:r>
          </w:p>
        </w:tc>
      </w:tr>
    </w:tbl>
    <w:p>
      <w:pPr>
        <w:spacing w:line="60" w:lineRule="exact"/>
        <w:rPr>
          <w:rFonts w:ascii="方正仿宋简体" w:hAnsi="文星仿宋" w:eastAsia="方正仿宋简体" w:cs="方正仿宋简体"/>
          <w:b/>
          <w:sz w:val="32"/>
          <w:szCs w:val="32"/>
        </w:rPr>
      </w:pPr>
    </w:p>
    <w:p>
      <w:pPr>
        <w:spacing w:line="600" w:lineRule="exact"/>
        <w:ind w:firstLine="642" w:firstLineChars="200"/>
        <w:rPr>
          <w:rFonts w:ascii="方正仿宋简体" w:hAnsi="文星仿宋" w:eastAsia="方正仿宋简体" w:cs="方正仿宋简体"/>
          <w:b/>
          <w:sz w:val="32"/>
          <w:szCs w:val="32"/>
        </w:rPr>
        <w:sectPr>
          <w:pgSz w:w="16838" w:h="11906" w:orient="landscape"/>
          <w:pgMar w:top="1134" w:right="1134" w:bottom="1134" w:left="1701" w:header="0" w:footer="567" w:gutter="0"/>
          <w:pgNumType w:fmt="numberInDash"/>
          <w:cols w:space="425" w:num="1"/>
          <w:docGrid w:type="lines" w:linePitch="628" w:charSpace="-1683"/>
        </w:sect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市委办公室，市人大常委会办公室，市政协办公室，市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2023年3月5日</w:t>
      </w:r>
      <w:r>
        <w:rPr>
          <w:rFonts w:hint="eastAsia" w:ascii="方正仿宋简体" w:hAnsi="文星仿宋" w:eastAsia="方正仿宋简体" w:cs="方正仿宋简体"/>
          <w:b/>
          <w:sz w:val="28"/>
          <w:szCs w:val="28"/>
          <w:lang w:bidi="ar"/>
        </w:rPr>
        <w:t>印发</w:t>
      </w:r>
    </w:p>
    <w:sectPr>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文星黑体">
    <w:altName w:val="方正黑体_GBK"/>
    <w:panose1 w:val="00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7 -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5"/>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ddu2yrSmAgeYuML1w4w5Iw==" w:hash="NqSLANNzbNNxP4/z7+tVGk8bSbNVopApdjXcaPPez0wg1RhGgP2iDRdYB+GTVX5ma33SsscL499KlgtITQDX3Q==" w:cryptSpinCount="100000" w:cryptAlgorithmType="typeAny" w:cryptAlgorithmClass="hash" w:cryptProviderType="rsaAES" w:cryptAlgorithmSid="14"/>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67014"/>
    <w:rsid w:val="000A1035"/>
    <w:rsid w:val="0016000B"/>
    <w:rsid w:val="001D2E12"/>
    <w:rsid w:val="001D7779"/>
    <w:rsid w:val="00201BA4"/>
    <w:rsid w:val="00206ACC"/>
    <w:rsid w:val="002241B6"/>
    <w:rsid w:val="00261646"/>
    <w:rsid w:val="003149C6"/>
    <w:rsid w:val="003565AB"/>
    <w:rsid w:val="00375F30"/>
    <w:rsid w:val="003A6E61"/>
    <w:rsid w:val="003C2B97"/>
    <w:rsid w:val="003F379D"/>
    <w:rsid w:val="0040057B"/>
    <w:rsid w:val="00475040"/>
    <w:rsid w:val="0048347A"/>
    <w:rsid w:val="00574C4D"/>
    <w:rsid w:val="005E32A3"/>
    <w:rsid w:val="006B78C3"/>
    <w:rsid w:val="006E1385"/>
    <w:rsid w:val="007353C0"/>
    <w:rsid w:val="00742A15"/>
    <w:rsid w:val="00767D01"/>
    <w:rsid w:val="0089239E"/>
    <w:rsid w:val="008C31FC"/>
    <w:rsid w:val="009263E2"/>
    <w:rsid w:val="00951C9F"/>
    <w:rsid w:val="00956917"/>
    <w:rsid w:val="00997554"/>
    <w:rsid w:val="009A25AA"/>
    <w:rsid w:val="009E17E8"/>
    <w:rsid w:val="009E7DA8"/>
    <w:rsid w:val="00A44464"/>
    <w:rsid w:val="00AB73A2"/>
    <w:rsid w:val="00AE0D79"/>
    <w:rsid w:val="00B82F8E"/>
    <w:rsid w:val="00DB6D2B"/>
    <w:rsid w:val="00E67D1F"/>
    <w:rsid w:val="00E734B5"/>
    <w:rsid w:val="00E812CD"/>
    <w:rsid w:val="00E91FEE"/>
    <w:rsid w:val="00EA2B01"/>
    <w:rsid w:val="00F03058"/>
    <w:rsid w:val="00F21474"/>
    <w:rsid w:val="00F84D61"/>
    <w:rsid w:val="00FA726F"/>
    <w:rsid w:val="00FC20A9"/>
    <w:rsid w:val="027A0C5B"/>
    <w:rsid w:val="13CB50DE"/>
    <w:rsid w:val="266458D5"/>
    <w:rsid w:val="3F5DBAA6"/>
    <w:rsid w:val="478C2210"/>
    <w:rsid w:val="4F7BD2F4"/>
    <w:rsid w:val="5A4C6AE6"/>
    <w:rsid w:val="67FD57B9"/>
    <w:rsid w:val="73FBE814"/>
    <w:rsid w:val="7647AB93"/>
    <w:rsid w:val="9A3E805C"/>
    <w:rsid w:val="BD47789C"/>
    <w:rsid w:val="BFFF2F4D"/>
    <w:rsid w:val="CE7BC80F"/>
    <w:rsid w:val="E4B7D0C4"/>
    <w:rsid w:val="EACE99A1"/>
    <w:rsid w:val="F7FFB193"/>
    <w:rsid w:val="FFCF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kern w:val="2"/>
      <w:sz w:val="21"/>
    </w:rPr>
  </w:style>
  <w:style w:type="paragraph" w:styleId="3">
    <w:name w:val="Body Text"/>
    <w:basedOn w:val="1"/>
    <w:link w:val="13"/>
    <w:qFormat/>
    <w:uiPriority w:val="1"/>
    <w:pPr>
      <w:ind w:left="348"/>
    </w:pPr>
    <w:rPr>
      <w:rFonts w:ascii="方正仿宋简体" w:hAnsi="方正仿宋简体" w:eastAsia="方正仿宋简体" w:cs="方正仿宋简体"/>
      <w:b/>
      <w:bCs/>
      <w:kern w:val="2"/>
      <w:sz w:val="32"/>
      <w:szCs w:val="32"/>
      <w:lang w:val="zh-CN" w:bidi="zh-CN"/>
    </w:rPr>
  </w:style>
  <w:style w:type="paragraph" w:styleId="4">
    <w:name w:val="Body Text Indent"/>
    <w:basedOn w:val="1"/>
    <w:next w:val="2"/>
    <w:link w:val="15"/>
    <w:qFormat/>
    <w:uiPriority w:val="0"/>
    <w:pPr>
      <w:spacing w:after="120"/>
      <w:ind w:left="420" w:leftChars="200"/>
    </w:pPr>
    <w:rPr>
      <w:rFonts w:ascii="Calibri" w:hAnsi="Calibri"/>
      <w:kern w:val="2"/>
      <w:sz w:val="21"/>
      <w:szCs w:val="24"/>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7"/>
    <w:qFormat/>
    <w:uiPriority w:val="0"/>
    <w:pPr>
      <w:ind w:firstLine="420" w:firstLineChars="100"/>
    </w:pPr>
  </w:style>
  <w:style w:type="paragraph" w:styleId="8">
    <w:name w:val="Body Text First Indent 2"/>
    <w:basedOn w:val="4"/>
    <w:next w:val="7"/>
    <w:link w:val="19"/>
    <w:qFormat/>
    <w:uiPriority w:val="0"/>
    <w:pPr>
      <w:ind w:firstLine="420"/>
    </w:pPr>
  </w:style>
  <w:style w:type="character" w:customStyle="1" w:styleId="11">
    <w:name w:val="页脚 Char"/>
    <w:basedOn w:val="10"/>
    <w:link w:val="5"/>
    <w:qFormat/>
    <w:uiPriority w:val="99"/>
    <w:rPr>
      <w:rFonts w:hint="eastAsia" w:ascii="方正仿宋简体" w:hAnsi="方正仿宋简体" w:eastAsia="方正仿宋简体" w:cs="方正仿宋简体"/>
      <w:kern w:val="2"/>
      <w:sz w:val="18"/>
      <w:szCs w:val="18"/>
    </w:r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 w:type="character" w:customStyle="1" w:styleId="13">
    <w:name w:val="正文文本 Char"/>
    <w:basedOn w:val="10"/>
    <w:link w:val="3"/>
    <w:qFormat/>
    <w:uiPriority w:val="1"/>
    <w:rPr>
      <w:rFonts w:ascii="方正仿宋简体" w:hAnsi="方正仿宋简体" w:eastAsia="方正仿宋简体" w:cs="方正仿宋简体"/>
      <w:b/>
      <w:bCs/>
      <w:kern w:val="2"/>
      <w:sz w:val="32"/>
      <w:szCs w:val="32"/>
      <w:lang w:val="zh-CN" w:bidi="zh-CN"/>
    </w:rPr>
  </w:style>
  <w:style w:type="character" w:customStyle="1" w:styleId="14">
    <w:name w:val="正文文本 Char1"/>
    <w:basedOn w:val="10"/>
    <w:qFormat/>
    <w:uiPriority w:val="0"/>
  </w:style>
  <w:style w:type="character" w:customStyle="1" w:styleId="15">
    <w:name w:val="正文文本缩进 Char"/>
    <w:basedOn w:val="10"/>
    <w:link w:val="4"/>
    <w:qFormat/>
    <w:uiPriority w:val="0"/>
    <w:rPr>
      <w:rFonts w:ascii="Calibri" w:hAnsi="Calibri"/>
      <w:kern w:val="2"/>
      <w:sz w:val="21"/>
      <w:szCs w:val="24"/>
    </w:rPr>
  </w:style>
  <w:style w:type="character" w:customStyle="1" w:styleId="16">
    <w:name w:val="正文文本缩进 Char1"/>
    <w:basedOn w:val="10"/>
    <w:qFormat/>
    <w:uiPriority w:val="0"/>
  </w:style>
  <w:style w:type="character" w:customStyle="1" w:styleId="17">
    <w:name w:val="正文首行缩进 Char"/>
    <w:basedOn w:val="13"/>
    <w:link w:val="7"/>
    <w:qFormat/>
    <w:uiPriority w:val="0"/>
    <w:rPr>
      <w:rFonts w:ascii="方正仿宋简体" w:hAnsi="方正仿宋简体" w:eastAsia="方正仿宋简体" w:cs="方正仿宋简体"/>
      <w:kern w:val="2"/>
      <w:sz w:val="32"/>
      <w:szCs w:val="32"/>
      <w:lang w:val="zh-CN" w:bidi="zh-CN"/>
    </w:rPr>
  </w:style>
  <w:style w:type="character" w:customStyle="1" w:styleId="18">
    <w:name w:val="正文首行缩进 Char1"/>
    <w:basedOn w:val="14"/>
    <w:qFormat/>
    <w:uiPriority w:val="0"/>
  </w:style>
  <w:style w:type="character" w:customStyle="1" w:styleId="19">
    <w:name w:val="正文首行缩进 2 Char"/>
    <w:basedOn w:val="15"/>
    <w:link w:val="8"/>
    <w:qFormat/>
    <w:uiPriority w:val="0"/>
    <w:rPr>
      <w:rFonts w:ascii="Calibri" w:hAnsi="Calibri"/>
      <w:kern w:val="2"/>
      <w:sz w:val="21"/>
      <w:szCs w:val="24"/>
    </w:rPr>
  </w:style>
  <w:style w:type="character" w:customStyle="1" w:styleId="20">
    <w:name w:val="正文首行缩进 2 Char1"/>
    <w:basedOn w:val="16"/>
    <w:qFormat/>
    <w:uiPriority w:val="0"/>
  </w:style>
  <w:style w:type="character" w:customStyle="1" w:styleId="21">
    <w:name w:val="font151"/>
    <w:basedOn w:val="10"/>
    <w:qFormat/>
    <w:uiPriority w:val="0"/>
    <w:rPr>
      <w:rFonts w:hint="eastAsia" w:ascii="宋体" w:hAnsi="宋体" w:eastAsia="宋体" w:cs="宋体"/>
      <w:b/>
      <w:color w:val="000000"/>
      <w:sz w:val="24"/>
      <w:szCs w:val="24"/>
      <w:u w:val="none"/>
    </w:rPr>
  </w:style>
  <w:style w:type="character" w:customStyle="1" w:styleId="22">
    <w:name w:val="font01"/>
    <w:basedOn w:val="10"/>
    <w:qFormat/>
    <w:uiPriority w:val="0"/>
    <w:rPr>
      <w:rFonts w:hint="default" w:ascii="Times New Roman" w:hAnsi="Times New Roman" w:cs="Times New Roman"/>
      <w:b/>
      <w:color w:val="000000"/>
      <w:sz w:val="24"/>
      <w:szCs w:val="24"/>
      <w:u w:val="none"/>
    </w:rPr>
  </w:style>
  <w:style w:type="character" w:customStyle="1" w:styleId="23">
    <w:name w:val="font71"/>
    <w:basedOn w:val="10"/>
    <w:qFormat/>
    <w:uiPriority w:val="0"/>
    <w:rPr>
      <w:rFonts w:hint="eastAsia" w:ascii="宋体" w:hAnsi="宋体" w:eastAsia="宋体" w:cs="宋体"/>
      <w:b/>
      <w:color w:val="000000"/>
      <w:sz w:val="24"/>
      <w:szCs w:val="24"/>
      <w:u w:val="none"/>
    </w:rPr>
  </w:style>
  <w:style w:type="character" w:customStyle="1" w:styleId="24">
    <w:name w:val="font212"/>
    <w:basedOn w:val="10"/>
    <w:qFormat/>
    <w:uiPriority w:val="0"/>
    <w:rPr>
      <w:rFonts w:hint="default" w:ascii="Times New Roman" w:hAnsi="Times New Roman" w:cs="Times New Roman"/>
      <w:b/>
      <w:color w:val="000000"/>
      <w:sz w:val="24"/>
      <w:szCs w:val="24"/>
      <w:u w:val="non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4724</Words>
  <Characters>2178</Characters>
  <Lines>18</Lines>
  <Paragraphs>13</Paragraphs>
  <TotalTime>40</TotalTime>
  <ScaleCrop>false</ScaleCrop>
  <LinksUpToDate>false</LinksUpToDate>
  <CharactersWithSpaces>6889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2019-12-23T10:48:00Z</dcterms:created>
  <dc:creator>nizy</dc:creator>
  <cp:lastModifiedBy>user</cp:lastModifiedBy>
  <cp:lastPrinted>2023-03-06T16:51:12Z</cp:lastPrinted>
  <dcterms:modified xsi:type="dcterms:W3CDTF">2023-03-06T16:51:13Z</dcterms:modified>
  <cp:revision>5</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0057E53D0C6C4375A3391D670B7AFBA2</vt:lpwstr>
  </property>
</Properties>
</file>