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right"/>
        <w:rPr>
          <w:rFonts w:hint="eastAsia" w:ascii="方正仿宋简体" w:hAnsi="方正仿宋简体" w:eastAsia="方正仿宋简体" w:cs="方正仿宋简体"/>
          <w:b w:val="0"/>
          <w:bCs w:val="0"/>
          <w:color w:val="000000"/>
          <w:sz w:val="32"/>
          <w:szCs w:val="32"/>
          <w:lang w:val="en-US" w:eastAsia="zh-CN"/>
        </w:rPr>
      </w:pPr>
      <w:r>
        <w:rPr>
          <w:rFonts w:hint="eastAsia" w:eastAsia="仿宋_GB2312"/>
          <w:b w:val="0"/>
          <w:bCs w:val="0"/>
          <w:color w:val="000000"/>
          <w:sz w:val="32"/>
          <w:szCs w:val="32"/>
          <w:lang w:val="en-US" w:eastAsia="zh-CN"/>
        </w:rPr>
        <w:t xml:space="preserve">     （A）</w:t>
      </w:r>
      <w:r>
        <w:rPr>
          <w:rFonts w:hint="eastAsia" w:ascii="方正仿宋简体" w:hAnsi="方正仿宋简体" w:eastAsia="方正仿宋简体" w:cs="方正仿宋简体"/>
          <w:b w:val="0"/>
          <w:bCs w:val="0"/>
          <w:color w:val="000000"/>
          <w:sz w:val="32"/>
          <w:szCs w:val="32"/>
          <w:lang w:val="en-US" w:eastAsia="zh-CN"/>
        </w:rPr>
        <w:t>类</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Times New Roman" w:hAnsi="Times New Roman" w:eastAsia="仿宋_GB2312"/>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Times New Roman" w:hAnsi="Times New Roman" w:eastAsia="仿宋_GB2312"/>
          <w:b w:val="0"/>
          <w:bCs w:val="0"/>
          <w:color w:val="000000"/>
          <w:sz w:val="32"/>
          <w:szCs w:val="32"/>
        </w:rPr>
      </w:pPr>
    </w:p>
    <w:p>
      <w:pPr>
        <w:pStyle w:val="11"/>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b w:val="0"/>
          <w:bCs w:val="0"/>
        </w:rPr>
      </w:pP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Times New Roman" w:hAnsi="Times New Roman" w:eastAsia="仿宋_GB2312"/>
          <w:b w:val="0"/>
          <w:bCs w:val="0"/>
          <w:color w:val="000000"/>
          <w:sz w:val="32"/>
          <w:szCs w:val="32"/>
        </w:rPr>
      </w:pPr>
    </w:p>
    <w:p>
      <w:pPr>
        <w:pStyle w:val="11"/>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b w:val="0"/>
          <w:bCs w:val="0"/>
        </w:rPr>
      </w:pP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Times New Roman" w:hAnsi="Times New Roman" w:eastAsia="仿宋_GB2312"/>
          <w:b w:val="0"/>
          <w:bCs w:val="0"/>
          <w:color w:val="000000"/>
          <w:sz w:val="32"/>
          <w:szCs w:val="32"/>
        </w:rPr>
      </w:pPr>
    </w:p>
    <w:p>
      <w:pPr>
        <w:spacing w:line="600" w:lineRule="exact"/>
        <w:jc w:val="center"/>
        <w:rPr>
          <w:rFonts w:ascii="Times New Roman" w:hAnsi="Times New Roman" w:eastAsia="方正小标宋简体"/>
          <w:b w:val="0"/>
          <w:bCs w:val="0"/>
          <w:sz w:val="44"/>
          <w:szCs w:val="44"/>
        </w:rPr>
      </w:pPr>
      <w:r>
        <w:rPr>
          <w:rFonts w:hint="eastAsia" w:ascii="Times New Roman" w:hAnsi="Times New Roman" w:eastAsia="仿宋_GB2312"/>
          <w:b w:val="0"/>
          <w:bCs w:val="0"/>
          <w:color w:val="000000"/>
          <w:sz w:val="32"/>
          <w:szCs w:val="32"/>
        </w:rPr>
        <w:t>济国资〔202</w:t>
      </w:r>
      <w:r>
        <w:rPr>
          <w:rFonts w:hint="eastAsia" w:eastAsia="仿宋_GB2312"/>
          <w:b w:val="0"/>
          <w:bCs w:val="0"/>
          <w:color w:val="000000"/>
          <w:sz w:val="32"/>
          <w:szCs w:val="32"/>
          <w:lang w:val="en-US" w:eastAsia="zh-CN"/>
        </w:rPr>
        <w:t>4</w:t>
      </w:r>
      <w:r>
        <w:rPr>
          <w:rFonts w:hint="eastAsia" w:ascii="Times New Roman" w:hAnsi="Times New Roman" w:eastAsia="仿宋_GB2312"/>
          <w:b w:val="0"/>
          <w:bCs w:val="0"/>
          <w:color w:val="000000"/>
          <w:sz w:val="32"/>
          <w:szCs w:val="32"/>
        </w:rPr>
        <w:t>〕</w:t>
      </w:r>
      <w:r>
        <w:rPr>
          <w:rFonts w:hint="eastAsia" w:eastAsia="仿宋_GB2312"/>
          <w:b w:val="0"/>
          <w:bCs w:val="0"/>
          <w:color w:val="000000"/>
          <w:sz w:val="32"/>
          <w:szCs w:val="32"/>
          <w:lang w:val="en-US" w:eastAsia="zh-CN"/>
        </w:rPr>
        <w:t>30</w:t>
      </w:r>
      <w:r>
        <w:rPr>
          <w:rFonts w:hint="eastAsia" w:ascii="Times New Roman" w:hAnsi="Times New Roman" w:eastAsia="仿宋_GB2312"/>
          <w:b w:val="0"/>
          <w:bCs w:val="0"/>
          <w:color w:val="000000"/>
          <w:sz w:val="32"/>
          <w:szCs w:val="32"/>
        </w:rPr>
        <w:t>号                  签发人：</w:t>
      </w:r>
      <w:r>
        <w:rPr>
          <w:rFonts w:hint="eastAsia" w:ascii="Times New Roman" w:hAnsi="Times New Roman" w:eastAsia="楷体_GB2312"/>
          <w:b w:val="0"/>
          <w:bCs w:val="0"/>
          <w:color w:val="000000"/>
          <w:sz w:val="32"/>
          <w:szCs w:val="32"/>
        </w:rPr>
        <w:t>张华山</w:t>
      </w:r>
    </w:p>
    <w:p>
      <w:pPr>
        <w:keepNext w:val="0"/>
        <w:keepLines w:val="0"/>
        <w:widowControl w:val="0"/>
        <w:suppressLineNumbers w:val="0"/>
        <w:spacing w:before="0" w:beforeAutospacing="0" w:after="0" w:afterAutospacing="0" w:line="800" w:lineRule="exact"/>
        <w:ind w:left="0" w:right="0"/>
        <w:jc w:val="center"/>
        <w:rPr>
          <w:rFonts w:hint="eastAsia" w:ascii="Times New Roman" w:hAnsi="Times New Roman" w:eastAsia="方正小标宋简体" w:cs="宋体"/>
          <w:b w:val="0"/>
          <w:bCs w:val="0"/>
          <w:kern w:val="2"/>
          <w:sz w:val="44"/>
          <w:szCs w:val="44"/>
          <w:lang w:val="en-US" w:eastAsia="zh-CN" w:bidi="ar"/>
        </w:rPr>
      </w:pPr>
    </w:p>
    <w:p>
      <w:pPr>
        <w:pStyle w:val="2"/>
        <w:rPr>
          <w:rFonts w:hint="eastAsia"/>
          <w:lang w:val="en-US" w:eastAsia="zh-CN"/>
        </w:rPr>
      </w:pPr>
      <w:bookmarkStart w:id="1" w:name="_GoBack"/>
      <w:bookmarkEnd w:id="1"/>
    </w:p>
    <w:p>
      <w:pPr>
        <w:pStyle w:val="2"/>
        <w:rPr>
          <w:rFonts w:hint="eastAsia"/>
          <w:lang w:val="en-US" w:eastAsia="zh-CN"/>
        </w:rPr>
      </w:pPr>
    </w:p>
    <w:p>
      <w:pPr>
        <w:keepNext w:val="0"/>
        <w:keepLines w:val="0"/>
        <w:pageBreakBefore w:val="0"/>
        <w:kinsoku/>
        <w:wordWrap/>
        <w:overflowPunct/>
        <w:topLinePunct w:val="0"/>
        <w:autoSpaceDE/>
        <w:autoSpaceDN/>
        <w:bidi w:val="0"/>
        <w:adjustRightInd/>
        <w:spacing w:line="560" w:lineRule="exact"/>
        <w:jc w:val="center"/>
        <w:rPr>
          <w:rFonts w:hint="eastAsia" w:ascii="方正小标宋简体" w:eastAsia="方正小标宋简体"/>
          <w:b w:val="0"/>
          <w:bCs w:val="0"/>
          <w:sz w:val="44"/>
          <w:szCs w:val="44"/>
          <w:lang w:eastAsia="zh-CN"/>
        </w:rPr>
      </w:pPr>
      <w:bookmarkStart w:id="0" w:name="标题"/>
      <w:bookmarkEnd w:id="0"/>
      <w:r>
        <w:rPr>
          <w:rFonts w:hint="eastAsia" w:ascii="方正小标宋简体" w:eastAsia="方正小标宋简体"/>
          <w:b w:val="0"/>
          <w:bCs w:val="0"/>
          <w:sz w:val="44"/>
          <w:szCs w:val="44"/>
        </w:rPr>
        <w:t>对市</w:t>
      </w:r>
      <w:r>
        <w:rPr>
          <w:rFonts w:hint="eastAsia" w:ascii="方正小标宋简体" w:eastAsia="方正小标宋简体"/>
          <w:b w:val="0"/>
          <w:bCs w:val="0"/>
          <w:sz w:val="44"/>
          <w:szCs w:val="44"/>
          <w:lang w:val="en-US" w:eastAsia="zh-CN"/>
        </w:rPr>
        <w:t>十八届人大代表第229</w:t>
      </w:r>
      <w:r>
        <w:rPr>
          <w:rFonts w:hint="eastAsia" w:ascii="方正小标宋简体" w:eastAsia="方正小标宋简体"/>
          <w:b w:val="0"/>
          <w:bCs w:val="0"/>
          <w:sz w:val="44"/>
          <w:szCs w:val="44"/>
          <w:lang w:eastAsia="zh-CN"/>
        </w:rPr>
        <w:t>号</w:t>
      </w:r>
    </w:p>
    <w:p>
      <w:pPr>
        <w:keepNext w:val="0"/>
        <w:keepLines w:val="0"/>
        <w:pageBreakBefore w:val="0"/>
        <w:kinsoku/>
        <w:wordWrap/>
        <w:overflowPunct/>
        <w:topLinePunct w:val="0"/>
        <w:autoSpaceDE/>
        <w:autoSpaceDN/>
        <w:bidi w:val="0"/>
        <w:adjustRightInd/>
        <w:spacing w:line="560" w:lineRule="exact"/>
        <w:jc w:val="center"/>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lang w:eastAsia="zh-CN"/>
        </w:rPr>
        <w:t>《关于国有企业和社会资本合作打造</w:t>
      </w:r>
    </w:p>
    <w:p>
      <w:pPr>
        <w:keepNext w:val="0"/>
        <w:keepLines w:val="0"/>
        <w:pageBreakBefore w:val="0"/>
        <w:kinsoku/>
        <w:wordWrap/>
        <w:overflowPunct/>
        <w:topLinePunct w:val="0"/>
        <w:autoSpaceDE/>
        <w:autoSpaceDN/>
        <w:bidi w:val="0"/>
        <w:adjustRightInd/>
        <w:spacing w:line="560" w:lineRule="exact"/>
        <w:jc w:val="center"/>
        <w:rPr>
          <w:rFonts w:hint="eastAsia" w:ascii="方正小标宋简体" w:eastAsia="方正小标宋简体"/>
          <w:b w:val="0"/>
          <w:bCs w:val="0"/>
          <w:sz w:val="44"/>
          <w:szCs w:val="44"/>
        </w:rPr>
      </w:pPr>
      <w:r>
        <w:rPr>
          <w:rFonts w:hint="eastAsia" w:ascii="方正小标宋简体" w:eastAsia="方正小标宋简体"/>
          <w:b w:val="0"/>
          <w:bCs w:val="0"/>
          <w:sz w:val="44"/>
          <w:szCs w:val="44"/>
          <w:lang w:eastAsia="zh-CN"/>
        </w:rPr>
        <w:t>乡村振兴齐鲁样板示范区的建议》</w:t>
      </w:r>
      <w:r>
        <w:rPr>
          <w:rFonts w:hint="eastAsia" w:ascii="方正小标宋简体" w:eastAsia="方正小标宋简体"/>
          <w:b w:val="0"/>
          <w:bCs w:val="0"/>
          <w:sz w:val="44"/>
          <w:szCs w:val="44"/>
        </w:rPr>
        <w:t>的答复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仿宋_GB2312"/>
          <w:b w:val="0"/>
          <w:bCs w:val="0"/>
          <w:color w:val="000000"/>
          <w:sz w:val="32"/>
          <w:szCs w:val="32"/>
        </w:rPr>
      </w:pPr>
      <w:r>
        <w:rPr>
          <w:rFonts w:hint="eastAsia" w:ascii="Times New Roman" w:hAnsi="Times New Roman" w:eastAsia="方正仿宋简体" w:cs="仿宋_GB2312"/>
          <w:b w:val="0"/>
          <w:bCs w:val="0"/>
          <w:color w:val="000000"/>
          <w:sz w:val="32"/>
          <w:szCs w:val="32"/>
        </w:rPr>
        <w:t>尊敬的侯晓晨委员：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简体" w:cs="仿宋_GB2312"/>
          <w:b w:val="0"/>
          <w:bCs w:val="0"/>
          <w:color w:val="000000"/>
          <w:sz w:val="32"/>
          <w:szCs w:val="32"/>
        </w:rPr>
      </w:pPr>
      <w:r>
        <w:rPr>
          <w:rFonts w:hint="eastAsia" w:ascii="Times New Roman" w:hAnsi="Times New Roman" w:eastAsia="方正仿宋简体" w:cs="仿宋_GB2312"/>
          <w:b w:val="0"/>
          <w:bCs w:val="0"/>
          <w:color w:val="000000"/>
          <w:sz w:val="32"/>
          <w:szCs w:val="32"/>
        </w:rPr>
        <w:t>您提出的关于国有企业和社会资本合作</w:t>
      </w:r>
      <w:r>
        <w:rPr>
          <w:rFonts w:hint="eastAsia" w:ascii="Times New Roman" w:hAnsi="Times New Roman" w:eastAsia="方正仿宋简体" w:cs="仿宋_GB2312"/>
          <w:b w:val="0"/>
          <w:bCs w:val="0"/>
          <w:color w:val="000000"/>
          <w:sz w:val="32"/>
          <w:szCs w:val="32"/>
          <w:lang w:eastAsia="zh-CN"/>
        </w:rPr>
        <w:t>，</w:t>
      </w:r>
      <w:r>
        <w:rPr>
          <w:rFonts w:hint="eastAsia" w:ascii="Times New Roman" w:hAnsi="Times New Roman" w:eastAsia="方正仿宋简体" w:cs="仿宋_GB2312"/>
          <w:b w:val="0"/>
          <w:bCs w:val="0"/>
          <w:color w:val="000000"/>
          <w:sz w:val="32"/>
          <w:szCs w:val="32"/>
        </w:rPr>
        <w:t>打造乡村振兴齐鲁样板示范区的建议</w:t>
      </w:r>
      <w:r>
        <w:rPr>
          <w:rFonts w:hint="eastAsia" w:ascii="Times New Roman" w:hAnsi="Times New Roman" w:eastAsia="方正仿宋简体" w:cs="仿宋_GB2312"/>
          <w:b w:val="0"/>
          <w:bCs w:val="0"/>
          <w:color w:val="000000"/>
          <w:sz w:val="32"/>
          <w:szCs w:val="32"/>
          <w:lang w:eastAsia="zh-CN"/>
        </w:rPr>
        <w:t>的</w:t>
      </w:r>
      <w:r>
        <w:rPr>
          <w:rFonts w:hint="eastAsia" w:ascii="Times New Roman" w:hAnsi="Times New Roman" w:eastAsia="方正仿宋简体" w:cs="仿宋_GB2312"/>
          <w:b w:val="0"/>
          <w:bCs w:val="0"/>
          <w:color w:val="000000"/>
          <w:sz w:val="32"/>
          <w:szCs w:val="32"/>
        </w:rPr>
        <w:t>提案收悉，现将办理意见和落实情况答复如下：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简体" w:cs="仿宋_GB2312"/>
          <w:b w:val="0"/>
          <w:bCs w:val="0"/>
          <w:sz w:val="32"/>
          <w:szCs w:val="32"/>
        </w:rPr>
      </w:pPr>
      <w:r>
        <w:rPr>
          <w:rFonts w:hint="eastAsia" w:ascii="Times New Roman" w:hAnsi="Times New Roman" w:eastAsia="方正仿宋简体" w:cs="仿宋_GB2312"/>
          <w:b w:val="0"/>
          <w:bCs w:val="0"/>
          <w:color w:val="000000"/>
          <w:sz w:val="32"/>
          <w:szCs w:val="32"/>
        </w:rPr>
        <w:t>市国资委</w:t>
      </w:r>
      <w:r>
        <w:rPr>
          <w:rFonts w:hint="eastAsia" w:ascii="Times New Roman" w:hAnsi="Times New Roman" w:eastAsia="方正仿宋简体" w:cs="仿宋_GB2312"/>
          <w:b w:val="0"/>
          <w:bCs w:val="0"/>
          <w:color w:val="000000"/>
          <w:sz w:val="32"/>
          <w:szCs w:val="32"/>
          <w:lang w:val="en-US" w:eastAsia="zh-CN"/>
        </w:rPr>
        <w:t>乡村振兴</w:t>
      </w:r>
      <w:r>
        <w:rPr>
          <w:rFonts w:hint="eastAsia" w:ascii="Times New Roman" w:hAnsi="Times New Roman" w:eastAsia="方正仿宋简体" w:cs="仿宋_GB2312"/>
          <w:b w:val="0"/>
          <w:bCs w:val="0"/>
          <w:color w:val="000000"/>
          <w:sz w:val="32"/>
          <w:szCs w:val="32"/>
        </w:rPr>
        <w:t>工作在市委、市政府的正确领导和</w:t>
      </w:r>
      <w:r>
        <w:rPr>
          <w:rFonts w:hint="eastAsia" w:ascii="Times New Roman" w:hAnsi="Times New Roman" w:eastAsia="方正仿宋简体" w:cs="仿宋_GB2312"/>
          <w:b w:val="0"/>
          <w:bCs w:val="0"/>
          <w:color w:val="000000"/>
          <w:sz w:val="32"/>
          <w:szCs w:val="32"/>
          <w:lang w:val="en-US" w:eastAsia="zh-CN"/>
        </w:rPr>
        <w:t>乡村振兴指挥</w:t>
      </w:r>
      <w:r>
        <w:rPr>
          <w:rFonts w:hint="eastAsia" w:ascii="Times New Roman" w:hAnsi="Times New Roman" w:eastAsia="方正仿宋简体" w:cs="仿宋_GB2312"/>
          <w:b w:val="0"/>
          <w:bCs w:val="0"/>
          <w:color w:val="000000"/>
          <w:sz w:val="32"/>
          <w:szCs w:val="32"/>
        </w:rPr>
        <w:t>部精心指导下，始终坚持以习近平新时代</w:t>
      </w:r>
      <w:r>
        <w:rPr>
          <w:rFonts w:hint="eastAsia" w:ascii="Times New Roman" w:hAnsi="Times New Roman" w:eastAsia="方正仿宋简体" w:cs="仿宋_GB2312"/>
          <w:b w:val="0"/>
          <w:bCs w:val="0"/>
          <w:color w:val="000000"/>
          <w:sz w:val="32"/>
          <w:szCs w:val="32"/>
          <w:lang w:eastAsia="zh-CN"/>
        </w:rPr>
        <w:t>中国</w:t>
      </w:r>
      <w:r>
        <w:rPr>
          <w:rFonts w:hint="eastAsia" w:ascii="Times New Roman" w:hAnsi="Times New Roman" w:eastAsia="方正仿宋简体" w:cs="仿宋_GB2312"/>
          <w:b w:val="0"/>
          <w:bCs w:val="0"/>
          <w:color w:val="000000"/>
          <w:sz w:val="32"/>
          <w:szCs w:val="32"/>
        </w:rPr>
        <w:t>特色社会主义思想为指导，</w:t>
      </w:r>
      <w:r>
        <w:rPr>
          <w:rFonts w:hint="eastAsia" w:ascii="Times New Roman" w:hAnsi="Times New Roman" w:eastAsia="方正仿宋简体" w:cs="仿宋_GB2312"/>
          <w:b w:val="0"/>
          <w:bCs w:val="0"/>
          <w:color w:val="000000"/>
          <w:sz w:val="32"/>
          <w:szCs w:val="32"/>
          <w:lang w:val="en-US" w:eastAsia="zh-CN"/>
        </w:rPr>
        <w:t>深入贯彻落实习近平总书记关于“三农”工作的重要论述</w:t>
      </w:r>
      <w:r>
        <w:rPr>
          <w:rFonts w:hint="eastAsia" w:ascii="Times New Roman" w:hAnsi="Times New Roman" w:eastAsia="方正仿宋简体" w:cs="仿宋_GB2312"/>
          <w:b w:val="0"/>
          <w:bCs w:val="0"/>
          <w:color w:val="000000"/>
          <w:sz w:val="32"/>
          <w:szCs w:val="32"/>
        </w:rPr>
        <w:t>，紧紧围绕市委、市政府的中心任务和工作重点，</w:t>
      </w:r>
      <w:r>
        <w:rPr>
          <w:rFonts w:hint="eastAsia" w:ascii="Times New Roman" w:hAnsi="Times New Roman" w:eastAsia="方正仿宋简体" w:cs="仿宋_GB2312"/>
          <w:b w:val="0"/>
          <w:bCs w:val="0"/>
          <w:color w:val="000000"/>
          <w:sz w:val="32"/>
          <w:szCs w:val="32"/>
          <w:lang w:val="en-US" w:eastAsia="zh-CN"/>
        </w:rPr>
        <w:t>精心谋划、精致组织、精准发力、精细落实，全力推进国有企业助力乡村振兴工作，并取得了较好进展，现将有关情况汇报如下：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强化组织领导，落实主体责任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黑体"/>
          <w:b w:val="0"/>
          <w:bCs w:val="0"/>
          <w:color w:val="000000"/>
          <w:sz w:val="32"/>
          <w:szCs w:val="32"/>
          <w:lang w:val="en-US" w:eastAsia="zh-CN"/>
        </w:rPr>
      </w:pPr>
      <w:r>
        <w:rPr>
          <w:rFonts w:hint="eastAsia" w:ascii="Times New Roman" w:hAnsi="Times New Roman" w:eastAsia="方正仿宋简体" w:cs="仿宋_GB2312"/>
          <w:b w:val="0"/>
          <w:bCs w:val="0"/>
          <w:color w:val="000000"/>
          <w:sz w:val="32"/>
          <w:szCs w:val="32"/>
          <w:lang w:val="en-US" w:eastAsia="zh-CN"/>
        </w:rPr>
        <w:t>按照《2024年济宁市乡村振兴指挥部工作方案》要求，市国资委作为成员单位，积极贯彻落实中央和省、市委乡村振兴决策部署，研究制定年度工作计划并抓好落实，全面落实《济宁市国企助力乡村振兴实施办法》，推动国有企业助力乡村振兴工作协调机制实施。积极推进国有企业与片区结对工作，根据市乡村振兴指挥部工作安排，4-5月份前组织开展“国有企业助力乡村振兴”主题活动：组织一次支部联建、搭建一个发展平台、包装一个产业项目、组织一次外出招商、开展一次专题调研，推动国企与片区结对工作取得实实在在的成效，为建设农业强市和打造乡村振兴齐鲁样板引领做出积极贡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压实国企责任，提高发展动力</w:t>
      </w:r>
    </w:p>
    <w:p>
      <w:pPr>
        <w:pStyle w:val="13"/>
        <w:keepNext w:val="0"/>
        <w:keepLines w:val="0"/>
        <w:pageBreakBefore w:val="0"/>
        <w:kinsoku/>
        <w:wordWrap/>
        <w:overflowPunct/>
        <w:topLinePunct w:val="0"/>
        <w:autoSpaceDE/>
        <w:autoSpaceDN/>
        <w:bidi w:val="0"/>
        <w:adjustRightInd/>
        <w:spacing w:line="600" w:lineRule="exact"/>
        <w:ind w:left="0" w:leftChars="0" w:firstLine="640" w:firstLineChars="200"/>
        <w:rPr>
          <w:rFonts w:hint="default"/>
          <w:b w:val="0"/>
          <w:bCs w:val="0"/>
          <w:sz w:val="32"/>
          <w:szCs w:val="32"/>
          <w:lang w:val="en-US" w:eastAsia="zh-CN"/>
        </w:rPr>
      </w:pPr>
      <w:r>
        <w:rPr>
          <w:rFonts w:hint="eastAsia" w:ascii="Times New Roman" w:hAnsi="Times New Roman" w:eastAsia="方正仿宋简体" w:cs="仿宋_GB2312"/>
          <w:b w:val="0"/>
          <w:bCs w:val="0"/>
          <w:color w:val="000000"/>
          <w:sz w:val="32"/>
          <w:szCs w:val="32"/>
          <w:lang w:val="en-US" w:eastAsia="zh-CN"/>
        </w:rPr>
        <w:t>根据《国有企业助力乡村振兴主题活动实施方案》要求，在市乡村振兴指挥部统一安排部署下，各市管企业发挥主体作用，深入推进国有企业与结对片区全方位合作。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b w:val="0"/>
          <w:bCs w:val="0"/>
          <w:sz w:val="32"/>
          <w:szCs w:val="32"/>
          <w:lang w:val="en-US" w:eastAsia="zh-CN"/>
        </w:rPr>
      </w:pPr>
      <w:r>
        <w:rPr>
          <w:rFonts w:hint="eastAsia" w:ascii="方正楷体简体" w:hAnsi="方正楷体简体" w:eastAsia="方正楷体简体" w:cs="方正楷体简体"/>
          <w:b w:val="0"/>
          <w:bCs w:val="0"/>
          <w:color w:val="000000"/>
          <w:sz w:val="32"/>
          <w:szCs w:val="32"/>
          <w:lang w:val="en-US" w:eastAsia="zh-CN"/>
        </w:rPr>
        <w:t>（一）组织一次支部联建。</w:t>
      </w:r>
      <w:r>
        <w:rPr>
          <w:rFonts w:hint="eastAsia" w:ascii="Times New Roman" w:hAnsi="Times New Roman" w:eastAsia="方正仿宋简体" w:cs="仿宋_GB2312"/>
          <w:b w:val="0"/>
          <w:bCs w:val="0"/>
          <w:color w:val="000000"/>
          <w:kern w:val="2"/>
          <w:sz w:val="32"/>
          <w:szCs w:val="32"/>
          <w:lang w:val="en-US" w:eastAsia="zh-CN" w:bidi="ar-SA"/>
        </w:rPr>
        <w:t>济宁能源和喻屯镇政府沟通，5月25日在喻屯镇“创智水乡”乡村振兴示范片区，进行支部联建。山东公用组织党员干部前往城前镇马兰山村开展了“三会一课”，走访慰问了8名老党员、困难党员群众，并签署了《党建共建协议》。文旅集团与微山县留庄镇运河里村党组织进行了沟通对接，集团机关第二党支部与留庄镇运河里村党支部开展支部联建，目前已初步拟定《“党建领航国企助力乡村振兴”党组织联建共建活动实施方案》、协议书、“一对一”结对签约流程等，视双方时间安排，按照实施方案开展联建活动。土发集团于4月28日赴梁宝寺镇引河乡村振兴示范片区进行座谈，商谈由农业发展集团党总支进行下步的支部联建，5月22日农业发展集团党总支与嘉祥县梁宝寺镇引河乡村振兴示范片区开展支部联建活动。济宁公交开展“帮扶工作”主题党日活动。鲁泰控股机关第一党支部于4月25日赴王鲁镇孟楼乡村振兴示范片区与王鲁镇孟楼党支部开展联建活动，参观为民服务中心、手工艺品加工、藕虾共养等项目。济宁经发到清河镇袁家村、王楼村开展走访慰问活动，给困难党员送去关怀和温暖，以实际行动为困难党员办好事、办实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方正楷体简体" w:hAnsi="方正楷体简体" w:eastAsia="方正楷体简体" w:cs="方正楷体简体"/>
          <w:b w:val="0"/>
          <w:bCs w:val="0"/>
          <w:color w:val="000000"/>
          <w:sz w:val="32"/>
          <w:szCs w:val="32"/>
          <w:lang w:val="en-US" w:eastAsia="zh-CN"/>
        </w:rPr>
        <w:t>（二）搭建一个发展平台。</w:t>
      </w:r>
      <w:r>
        <w:rPr>
          <w:rFonts w:hint="eastAsia" w:ascii="Times New Roman" w:hAnsi="Times New Roman" w:eastAsia="方正仿宋简体" w:cs="仿宋_GB2312"/>
          <w:b w:val="0"/>
          <w:bCs w:val="0"/>
          <w:color w:val="000000"/>
          <w:kern w:val="2"/>
          <w:sz w:val="32"/>
          <w:szCs w:val="32"/>
          <w:lang w:val="en-US" w:eastAsia="zh-CN" w:bidi="ar-SA"/>
        </w:rPr>
        <w:t>济宁能源权属企业融汇物产与喻屯镇三家稻米加工企业进行对接，达成合作意向，依托江北粮食物流园粮食业务，在喻屯镇稻米上市后，通过公司集采、企业即采、稻米回购等形式，做大做强三家稻谷加工企业，增加收益，实现互利共赢。山东公用商业板块推进与城前镇深度合作，在利客商超内布局城前镇特产专营店、利客茗茶自营店，宣传推广城前镇农产品，并依托利客海洋世界项目为载体，与城前镇在文旅项目方面合作。济宁城投将权属子公司济宁市城投文化旅游产业有限公司划为乡村振兴业务板块实施主体，负责具体实施乡村振兴结对帮扶工作。文旅集团赴微山县留庄镇运河里乡村振兴示范片区实地考察运河里艺术街区、梧桐栖居高端民宿、桥上人家片区等，将当地特色苇编、荷叶茶等产品在“山东手造·济宁好礼”文创商品展示馆、文创商品研发中心、“一码游济宁”平台进行推广、销售，形成线上、线下相结合的营销模式。土发集团明确由二级板块农业发展集团负责乡村振兴结对工作，下步与示范片区深入开展合作，在更广范围、更深领域开展全方位结对。济宁公交广告传媒公司自媒体宣传、公交车车载媒体发布招商广告等手段，为示范区“引流”，持续吸引资金、汇集人才。鲁泰控股根据鱼台县“江北鱼米之乡”的特点，搭建稻米销售平台。济宁经发计划在权属企业济宁经发创业投资有限公司增设乡村振兴板块投资业务，目前正在办理相关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b w:val="0"/>
          <w:bCs w:val="0"/>
          <w:sz w:val="32"/>
          <w:szCs w:val="32"/>
          <w:lang w:val="en-US" w:eastAsia="zh-CN"/>
        </w:rPr>
      </w:pPr>
      <w:r>
        <w:rPr>
          <w:rFonts w:hint="eastAsia" w:ascii="方正楷体简体" w:hAnsi="方正楷体简体" w:eastAsia="方正楷体简体" w:cs="方正楷体简体"/>
          <w:b w:val="0"/>
          <w:bCs w:val="0"/>
          <w:color w:val="000000"/>
          <w:sz w:val="32"/>
          <w:szCs w:val="32"/>
          <w:lang w:val="en-US" w:eastAsia="zh-CN"/>
        </w:rPr>
        <w:t>（三）包装一个产业项目。</w:t>
      </w:r>
      <w:r>
        <w:rPr>
          <w:rFonts w:hint="eastAsia" w:ascii="Times New Roman" w:hAnsi="Times New Roman" w:eastAsia="方正仿宋简体" w:cs="仿宋_GB2312"/>
          <w:b w:val="0"/>
          <w:bCs w:val="0"/>
          <w:color w:val="000000"/>
          <w:kern w:val="2"/>
          <w:sz w:val="32"/>
          <w:szCs w:val="32"/>
          <w:lang w:val="en-US" w:eastAsia="zh-CN" w:bidi="ar-SA"/>
        </w:rPr>
        <w:t>济宁能源采购喻屯甜瓜，在自营生活超市设立“乡助力乡村振兴”喻屯甜瓜专柜，定期在各企业举行“送清凉”活动，发放喻屯甜瓜。采购农户养殖小龙虾，在企业食堂及餐饮酒店举行“喻屯龙虾节”活动。山东公用积极与城前镇沟通，对产业规划等问题开展交流探索。文旅集团拟策划包装数字化陆基循环水产养殖项目，目前处于项目前期考察阶段。土发集团依托片区现有大豆种业基础，已与豆黄金进行初步洽谈合作，商定策划包装一个大豆深加工项目。鲁泰控股结合联建片区传统习俗，合作举办传统活动。济宁经发4月22日与清河镇积极沟通，根据清河镇产业特色编制了《清河镇招商手册》，在下一步招商工作中公司将园区招商工作与清河镇招商工作同谋划、同部署、同推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b w:val="0"/>
          <w:bCs w:val="0"/>
          <w:sz w:val="32"/>
          <w:szCs w:val="32"/>
          <w:lang w:val="en-US" w:eastAsia="zh-CN"/>
        </w:rPr>
      </w:pPr>
      <w:r>
        <w:rPr>
          <w:rFonts w:hint="eastAsia" w:ascii="方正楷体简体" w:hAnsi="方正楷体简体" w:eastAsia="方正楷体简体" w:cs="方正楷体简体"/>
          <w:b w:val="0"/>
          <w:bCs w:val="0"/>
          <w:color w:val="000000"/>
          <w:sz w:val="32"/>
          <w:szCs w:val="32"/>
          <w:lang w:val="en-US" w:eastAsia="zh-CN"/>
        </w:rPr>
        <w:t>（四）组织一次外出招商。</w:t>
      </w:r>
      <w:r>
        <w:rPr>
          <w:rFonts w:hint="eastAsia" w:ascii="Times New Roman" w:hAnsi="Times New Roman" w:eastAsia="方正仿宋简体" w:cs="仿宋_GB2312"/>
          <w:b w:val="0"/>
          <w:bCs w:val="0"/>
          <w:color w:val="000000"/>
          <w:kern w:val="2"/>
          <w:sz w:val="32"/>
          <w:szCs w:val="32"/>
          <w:lang w:val="en-US" w:eastAsia="zh-CN" w:bidi="ar-SA"/>
        </w:rPr>
        <w:t>山东公用于5月22日至24日，组织城前镇政府、权属公司浙江商达公用环保有关负责人，前往杭州市临安区指南村等地开展了观摩学习、招商引资活动。文旅集团拟于近期赴威海开展招商引资。土发集团于4月17日至20日，与梁宝寺相关班子成员及当地种业企业赴安徽八公山镇等地参观考察大豆产业的先进做法，探讨合作的方向。济宁经发3月18日经发集团由党委副书记、工会主席汪宗猛带队到清河镇调研巩庄乡村振兴片区情况，并表示将积极协助清河镇包装项目区内资源进行招商引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仿宋_GB2312"/>
          <w:b w:val="0"/>
          <w:bCs w:val="0"/>
          <w:color w:val="000000"/>
          <w:kern w:val="2"/>
          <w:sz w:val="32"/>
          <w:szCs w:val="32"/>
          <w:lang w:val="en-US" w:eastAsia="zh-CN" w:bidi="ar-SA"/>
        </w:rPr>
      </w:pPr>
      <w:r>
        <w:rPr>
          <w:rFonts w:hint="eastAsia" w:ascii="方正楷体简体" w:hAnsi="方正楷体简体" w:eastAsia="方正楷体简体" w:cs="方正楷体简体"/>
          <w:b w:val="0"/>
          <w:bCs w:val="0"/>
          <w:color w:val="000000"/>
          <w:sz w:val="32"/>
          <w:szCs w:val="32"/>
          <w:lang w:val="en-US" w:eastAsia="zh-CN"/>
        </w:rPr>
        <w:t>（五）开展一次专题调研。</w:t>
      </w:r>
      <w:r>
        <w:rPr>
          <w:rFonts w:hint="eastAsia" w:ascii="Times New Roman" w:hAnsi="Times New Roman" w:eastAsia="方正仿宋简体" w:cs="仿宋_GB2312"/>
          <w:b w:val="0"/>
          <w:bCs w:val="0"/>
          <w:color w:val="000000"/>
          <w:kern w:val="2"/>
          <w:sz w:val="32"/>
          <w:szCs w:val="32"/>
          <w:lang w:val="en-US" w:eastAsia="zh-CN" w:bidi="ar-SA"/>
        </w:rPr>
        <w:t>济宁能源到喻屯镇进行座谈交流，实地考察了济宁红四方米业、喻丰优质稻米、济宁市恒兴米业三家稻谷加工企业。山东公用分别于4月24日、5月10日组织权属企业水务集团、商业集团、环科集团前往城前镇灵泉渔业养殖基地、灵泉山茶文化产业园、越峰山古村等地进行了实地调研，初步制订了符合当地产业特色的帮扶措施。文旅集团先后实地考察调研了运河里艺术街区、梧桐栖居高端民宿、桥上人家片区等文旅项目，组织微山县、留庄镇等部门单位召开了座谈交流会，重点围绕当地文旅项目进行了深入探讨沟通交流。土发集团于4月28日赴梁宝寺镇引河乡村振兴示范片区进行调研，详细了解了以大豆为主业的产业，包括加工技术、产品开发与创新、市场需求等方面。济宁公交于4月9日、5月23日到金乡县羊山镇乡村振兴示范片区对接交流，实地调研项目进展情况。鲁泰控股于5月16日到王鲁镇孟楼乡村振兴示范片区开展环境提升专题调研，全面了解孟楼村、张庙村村环境现状及提升计划。济宁经发于5月21日联合清河镇就渔光互补项目前往山东公用环保集团进行实地调研。</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三、发挥国企优势，助力乡村经济高质量发展</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（一）助力乡村振兴示范区建设。</w:t>
      </w:r>
      <w:r>
        <w:rPr>
          <w:rFonts w:hint="eastAsia" w:ascii="Times New Roman" w:hAnsi="Times New Roman" w:eastAsia="方正仿宋简体" w:cs="仿宋_GB2312"/>
          <w:b w:val="0"/>
          <w:bCs w:val="0"/>
          <w:color w:val="000000"/>
          <w:kern w:val="2"/>
          <w:sz w:val="32"/>
          <w:szCs w:val="32"/>
          <w:lang w:val="en-US" w:eastAsia="zh-CN" w:bidi="ar-SA"/>
        </w:rPr>
        <w:t>2021年，孔子文旅集团为助力泗水县龙湾湖乡村振兴示范区发展，与山东等闲谷艺术粮仓文化发展有限公司合资成立了山东儒兴龙湾产业发展有限公司（其中，济宁孔子文旅集团占股60%），投资3500余万元建设了龙湾·良舍高端民宿、山东手造展示展销中心等功能区域，共同打造了集文化、制作、体验为一体，具有创客集聚功能的“等闲谷艺术小镇”。自项目运营管理以来，通过线上抖音、快手、个人博客、APP等融媒体平台进行深度推广，线下与当地政府、企业、民间团队等合作组织开展多形式活动，使该项目知名度不断提升，获得“2022山东文旅新风尚——十佳网红民宿”、“2022年山东省十佳建筑设计民宿”、“山东精品民宿十佳品牌”、“2022年山东省五星级旅游民宿”等奖项。投资600余万元建设“山东手造·济宁好礼”展示展销中心项目，把优秀传统文化与乡村文化振兴有机融合，将“山东手造”和“非遗项目”融入创意工坊，塑造有历史记忆、文化脉络、地域符号的文化街区。</w:t>
      </w:r>
    </w:p>
    <w:p>
      <w:pPr>
        <w:keepNext w:val="0"/>
        <w:keepLines w:val="0"/>
        <w:pageBreakBefore w:val="0"/>
        <w:widowControl/>
        <w:numPr>
          <w:ilvl w:val="0"/>
          <w:numId w:val="0"/>
        </w:numPr>
        <w:suppressLineNumbers w:val="0"/>
        <w:kinsoku/>
        <w:wordWrap/>
        <w:overflowPunct/>
        <w:topLinePunct w:val="0"/>
        <w:autoSpaceDE/>
        <w:autoSpaceDN/>
        <w:bidi w:val="0"/>
        <w:adjustRightInd/>
        <w:spacing w:line="600" w:lineRule="exact"/>
        <w:ind w:left="0" w:leftChars="0" w:firstLine="640" w:firstLineChars="200"/>
        <w:jc w:val="both"/>
        <w:rPr>
          <w:rFonts w:hint="default" w:ascii="黑体" w:hAnsi="黑体" w:eastAsia="黑体" w:cs="黑体"/>
          <w:b w:val="0"/>
          <w:bCs w:val="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（二）加大人才招引培养力度，为乡村振兴提供人才保障。</w:t>
      </w:r>
      <w:r>
        <w:rPr>
          <w:rFonts w:hint="eastAsia" w:ascii="Times New Roman" w:hAnsi="Times New Roman" w:eastAsia="方正仿宋简体" w:cs="仿宋_GB2312"/>
          <w:b w:val="0"/>
          <w:bCs w:val="0"/>
          <w:color w:val="000000"/>
          <w:kern w:val="2"/>
          <w:sz w:val="32"/>
          <w:szCs w:val="32"/>
          <w:lang w:val="en-US" w:eastAsia="zh-CN" w:bidi="ar-SA"/>
        </w:rPr>
        <w:t>为吸引更多的人才回流，一方面，文旅集团大力推进校地合作，积极推动与青岛大学、曲阜师范大学、青岛科技大学、青岛农业大学、孔子文化交流中心、济宁设计师协会、圣源尼山书院等高校、学术团体建立联系，共建实践创新基地。另一方面，在等闲谷艺术小镇开展“乡村振兴合伙人”高级研修班、“泉乡工匠”手绘技能培训、清华大学乡村振兴实践等活动60余场次，为当地发展提供了富有创新力与创造性的人才基础，促进地方经济发展。形成了文化艺术、创客设计、地方生态与区域经济的良性互动与资源共生，高效带动和助推了地方劳动力就业与社会经济文化的长足与良性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简体"/>
          <w:b w:val="0"/>
          <w:bCs w:val="0"/>
          <w:sz w:val="32"/>
          <w:szCs w:val="32"/>
          <w:lang w:val="en-US" w:eastAsia="zh-CN"/>
        </w:rPr>
      </w:pPr>
      <w:r>
        <w:rPr>
          <w:rFonts w:hint="eastAsia" w:ascii="Times New Roman" w:hAnsi="Times New Roman" w:eastAsia="方正仿宋简体" w:cs="仿宋_GB2312"/>
          <w:b w:val="0"/>
          <w:bCs w:val="0"/>
          <w:sz w:val="32"/>
          <w:szCs w:val="32"/>
          <w:lang w:val="en-US" w:eastAsia="zh-CN"/>
        </w:rPr>
        <w:t>下一步，</w:t>
      </w:r>
      <w:r>
        <w:rPr>
          <w:rFonts w:hint="eastAsia" w:ascii="Times New Roman" w:hAnsi="Times New Roman" w:eastAsia="方正仿宋简体"/>
          <w:b w:val="0"/>
          <w:bCs w:val="0"/>
          <w:sz w:val="32"/>
          <w:szCs w:val="32"/>
          <w:lang w:val="en-US" w:eastAsia="zh-CN"/>
        </w:rPr>
        <w:t>市国资委</w:t>
      </w:r>
      <w:r>
        <w:rPr>
          <w:rFonts w:hint="eastAsia" w:ascii="Times New Roman" w:hAnsi="Times New Roman" w:eastAsia="方正仿宋简体"/>
          <w:b w:val="0"/>
          <w:bCs w:val="0"/>
          <w:sz w:val="32"/>
          <w:szCs w:val="32"/>
        </w:rPr>
        <w:t>将</w:t>
      </w:r>
      <w:r>
        <w:rPr>
          <w:rFonts w:hint="eastAsia" w:ascii="Times New Roman" w:hAnsi="Times New Roman" w:eastAsia="方正仿宋简体"/>
          <w:b w:val="0"/>
          <w:bCs w:val="0"/>
          <w:sz w:val="32"/>
          <w:szCs w:val="32"/>
          <w:lang w:val="en-US" w:eastAsia="zh-CN"/>
        </w:rPr>
        <w:t>在市委市政府坚强领导和市乡村振兴指挥部指示下，稳扎稳打、真抓实干，</w:t>
      </w:r>
      <w:r>
        <w:rPr>
          <w:rFonts w:hint="eastAsia" w:ascii="Times New Roman" w:hAnsi="Times New Roman" w:eastAsia="方正仿宋简体"/>
          <w:b w:val="0"/>
          <w:bCs w:val="0"/>
          <w:sz w:val="32"/>
          <w:szCs w:val="32"/>
        </w:rPr>
        <w:t>通过多种方式调动</w:t>
      </w:r>
      <w:r>
        <w:rPr>
          <w:rFonts w:hint="eastAsia" w:ascii="Times New Roman" w:hAnsi="Times New Roman" w:eastAsia="方正仿宋简体"/>
          <w:b w:val="0"/>
          <w:bCs w:val="0"/>
          <w:sz w:val="32"/>
          <w:szCs w:val="32"/>
          <w:lang w:val="en-US" w:eastAsia="zh-CN"/>
        </w:rPr>
        <w:t>国有企业</w:t>
      </w:r>
      <w:r>
        <w:rPr>
          <w:rFonts w:hint="eastAsia" w:ascii="Times New Roman" w:hAnsi="Times New Roman" w:eastAsia="方正仿宋简体"/>
          <w:b w:val="0"/>
          <w:bCs w:val="0"/>
          <w:sz w:val="32"/>
          <w:szCs w:val="32"/>
        </w:rPr>
        <w:t>积极性，为助力巩固脱贫攻坚成果取得新成效、</w:t>
      </w:r>
      <w:r>
        <w:rPr>
          <w:rFonts w:hint="eastAsia" w:ascii="Times New Roman" w:hAnsi="Times New Roman" w:eastAsia="方正仿宋简体"/>
          <w:b w:val="0"/>
          <w:bCs w:val="0"/>
          <w:sz w:val="32"/>
          <w:szCs w:val="32"/>
          <w:lang w:val="en-US" w:eastAsia="zh-CN"/>
        </w:rPr>
        <w:t>为打造乡村振兴齐鲁样板贡献更大力量。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eastAsia="方正仿宋简体"/>
          <w:b w:val="0"/>
          <w:bCs w:val="0"/>
          <w:sz w:val="32"/>
          <w:szCs w:val="32"/>
          <w:lang w:val="en-US" w:eastAsia="zh-CN"/>
        </w:rPr>
      </w:pPr>
      <w:r>
        <w:rPr>
          <w:rFonts w:hint="eastAsia" w:ascii="楷体_GB2312" w:hAnsi="楷体_GB2312" w:eastAsia="楷体_GB2312" w:cs="楷体_GB2312"/>
          <w:b w:val="0"/>
          <w:bCs w:val="0"/>
          <w:sz w:val="32"/>
          <w:szCs w:val="32"/>
          <w:lang w:val="en-US" w:eastAsia="zh-CN"/>
        </w:rPr>
        <w:t>（一）强化党建引领，开展支部联建。</w:t>
      </w:r>
      <w:r>
        <w:rPr>
          <w:rFonts w:hint="eastAsia" w:ascii="Times New Roman" w:hAnsi="Times New Roman" w:eastAsia="方正仿宋简体" w:cs="Times New Roman"/>
          <w:b w:val="0"/>
          <w:bCs w:val="0"/>
          <w:sz w:val="32"/>
          <w:szCs w:val="32"/>
          <w:lang w:val="en-US" w:eastAsia="zh-CN"/>
        </w:rPr>
        <w:t>组织</w:t>
      </w:r>
      <w:r>
        <w:rPr>
          <w:rFonts w:hint="eastAsia" w:eastAsia="方正仿宋简体" w:cs="Times New Roman"/>
          <w:b w:val="0"/>
          <w:bCs w:val="0"/>
          <w:sz w:val="32"/>
          <w:szCs w:val="32"/>
          <w:lang w:val="en-US" w:eastAsia="zh-CN"/>
        </w:rPr>
        <w:t>企业基层党组织</w:t>
      </w:r>
      <w:r>
        <w:rPr>
          <w:rFonts w:hint="eastAsia" w:ascii="Times New Roman" w:hAnsi="Times New Roman" w:eastAsia="方正仿宋简体" w:cs="Times New Roman"/>
          <w:b w:val="0"/>
          <w:bCs w:val="0"/>
          <w:sz w:val="32"/>
          <w:szCs w:val="32"/>
          <w:lang w:val="en-US" w:eastAsia="zh-CN"/>
        </w:rPr>
        <w:t>前往</w:t>
      </w:r>
      <w:r>
        <w:rPr>
          <w:rFonts w:hint="eastAsia" w:eastAsia="方正仿宋简体" w:cs="Times New Roman"/>
          <w:b w:val="0"/>
          <w:bCs w:val="0"/>
          <w:sz w:val="32"/>
          <w:szCs w:val="32"/>
          <w:lang w:val="en-US" w:eastAsia="zh-CN"/>
        </w:rPr>
        <w:t>联建片区</w:t>
      </w:r>
      <w:r>
        <w:rPr>
          <w:rFonts w:hint="eastAsia" w:ascii="Times New Roman" w:hAnsi="Times New Roman" w:eastAsia="方正仿宋简体" w:cs="Times New Roman"/>
          <w:b w:val="0"/>
          <w:bCs w:val="0"/>
          <w:sz w:val="32"/>
          <w:szCs w:val="32"/>
          <w:lang w:val="en-US" w:eastAsia="zh-CN"/>
        </w:rPr>
        <w:t>开展支部联建活动，通过“三会一课”、走访慰问等方式，开展联建共建活动，以党建工作新成效不断开创村企联合发展新局面，在强化党建引领的同时，激发乡村振兴新动能。</w:t>
      </w:r>
    </w:p>
    <w:p>
      <w:pPr>
        <w:keepNext w:val="0"/>
        <w:keepLines w:val="0"/>
        <w:pageBreakBefore w:val="0"/>
        <w:widowControl/>
        <w:suppressLineNumbers w:val="0"/>
        <w:kinsoku/>
        <w:wordWrap/>
        <w:overflowPunct/>
        <w:topLinePunct w:val="0"/>
        <w:autoSpaceDE/>
        <w:autoSpaceDN/>
        <w:bidi w:val="0"/>
        <w:adjustRightInd/>
        <w:spacing w:line="600" w:lineRule="exact"/>
        <w:ind w:left="0" w:leftChars="0" w:firstLine="640" w:firstLineChars="200"/>
        <w:jc w:val="left"/>
        <w:rPr>
          <w:rFonts w:hint="eastAsia" w:ascii="Times New Roman" w:hAnsi="Times New Roman" w:eastAsia="方正仿宋简体"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（二）加强调研，精心谋划产业发展。</w:t>
      </w:r>
      <w:r>
        <w:rPr>
          <w:rFonts w:hint="eastAsia" w:ascii="Times New Roman" w:hAnsi="Times New Roman" w:eastAsia="方正仿宋简体" w:cs="Times New Roman"/>
          <w:b w:val="0"/>
          <w:bCs w:val="0"/>
          <w:sz w:val="32"/>
          <w:szCs w:val="32"/>
          <w:lang w:val="en-US" w:eastAsia="zh-CN"/>
        </w:rPr>
        <w:t>与结对片区加强沟通，详细了解示范区资源特点、发展优势，通过与结对示范片区深入座谈，研究制订符合实际的帮扶措施，为推动结对工作健康开展打下坚实基础。</w:t>
      </w:r>
    </w:p>
    <w:p>
      <w:pPr>
        <w:pStyle w:val="13"/>
        <w:keepNext w:val="0"/>
        <w:keepLines w:val="0"/>
        <w:pageBreakBefore w:val="0"/>
        <w:kinsoku/>
        <w:wordWrap/>
        <w:overflowPunct/>
        <w:topLinePunct w:val="0"/>
        <w:autoSpaceDE/>
        <w:autoSpaceDN/>
        <w:bidi w:val="0"/>
        <w:adjustRightInd/>
        <w:spacing w:line="600" w:lineRule="exact"/>
        <w:ind w:left="0" w:leftChars="0" w:firstLine="640" w:firstLineChars="200"/>
        <w:rPr>
          <w:rFonts w:hint="eastAsia" w:ascii="Times New Roman" w:hAnsi="Times New Roman" w:eastAsia="方正仿宋简体" w:cs="Times New Roman"/>
          <w:b w:val="0"/>
          <w:bCs w:val="0"/>
          <w:sz w:val="32"/>
          <w:szCs w:val="32"/>
          <w:lang w:val="en-US" w:eastAsia="zh-CN" w:bidi="ar-SA"/>
        </w:rPr>
      </w:pPr>
      <w:r>
        <w:rPr>
          <w:rFonts w:hint="eastAsia" w:ascii="楷体_GB2312" w:hAnsi="楷体_GB2312" w:eastAsia="楷体_GB2312" w:cs="楷体_GB2312"/>
          <w:b w:val="0"/>
          <w:bCs w:val="0"/>
          <w:sz w:val="32"/>
          <w:szCs w:val="32"/>
          <w:lang w:val="en-US" w:eastAsia="zh-CN"/>
        </w:rPr>
        <w:t>（三）压实责任，持续凝聚发展合力。</w:t>
      </w:r>
      <w:r>
        <w:rPr>
          <w:rFonts w:hint="eastAsia" w:ascii="Times New Roman" w:hAnsi="Times New Roman" w:eastAsia="方正仿宋简体" w:cs="Times New Roman"/>
          <w:b w:val="0"/>
          <w:bCs w:val="0"/>
          <w:sz w:val="32"/>
          <w:szCs w:val="32"/>
          <w:lang w:val="en-US" w:eastAsia="zh-CN" w:bidi="ar-SA"/>
        </w:rPr>
        <w:t>通过投资、共建、帮扶等，将自身优势转化为具体行动，主动对接片区需求，制定工作方案，创新推进机制，实现多层次、多渠道、多模式的合作，实现合作共赢。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简体" w:cs="Times New Roman"/>
          <w:b w:val="0"/>
          <w:bCs w:val="0"/>
          <w:sz w:val="32"/>
          <w:szCs w:val="32"/>
          <w:lang w:val="en-US" w:eastAsia="zh-CN" w:bidi="ar-SA"/>
        </w:rPr>
      </w:pPr>
      <w:r>
        <w:rPr>
          <w:rFonts w:hint="eastAsia" w:ascii="Times New Roman" w:hAnsi="Times New Roman" w:eastAsia="方正仿宋简体" w:cs="Times New Roman"/>
          <w:b w:val="0"/>
          <w:bCs w:val="0"/>
          <w:sz w:val="32"/>
          <w:szCs w:val="32"/>
          <w:lang w:val="en-US" w:eastAsia="zh-CN" w:bidi="ar-SA"/>
        </w:rPr>
        <w:t>十分感谢您对我市国有企业乡村振兴工作的关心，欢迎您对国企乡村振兴工作多提宝贵意见，希望今后继续得到您的更多关注和支持。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760" w:firstLineChars="18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xml:space="preserve">济宁市国资委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 xml:space="preserve">日  </w:t>
      </w:r>
    </w:p>
    <w:p>
      <w:pPr>
        <w:keepNext w:val="0"/>
        <w:keepLines w:val="0"/>
        <w:pageBreakBefore w:val="0"/>
        <w:kinsoku/>
        <w:wordWrap/>
        <w:overflowPunct/>
        <w:topLinePunct w:val="0"/>
        <w:autoSpaceDE/>
        <w:autoSpaceDN/>
        <w:bidi w:val="0"/>
        <w:adjustRightInd/>
        <w:snapToGrid w:val="0"/>
        <w:spacing w:line="600" w:lineRule="exact"/>
        <w:ind w:left="0" w:leftChars="0" w:firstLine="528" w:firstLineChars="200"/>
        <w:rPr>
          <w:rFonts w:hint="eastAsia" w:eastAsia="方正仿宋简体" w:cs="方正仿宋简体"/>
          <w:b w:val="0"/>
          <w:bCs w:val="0"/>
          <w:spacing w:val="-28"/>
          <w:sz w:val="32"/>
          <w:szCs w:val="32"/>
          <w:lang w:val="en-US" w:eastAsia="zh-CN"/>
        </w:rPr>
      </w:pPr>
    </w:p>
    <w:p>
      <w:pPr>
        <w:keepNext w:val="0"/>
        <w:keepLines w:val="0"/>
        <w:pageBreakBefore w:val="0"/>
        <w:kinsoku/>
        <w:wordWrap/>
        <w:overflowPunct/>
        <w:topLinePunct w:val="0"/>
        <w:autoSpaceDE/>
        <w:autoSpaceDN/>
        <w:bidi w:val="0"/>
        <w:adjustRightInd/>
        <w:snapToGrid w:val="0"/>
        <w:spacing w:line="600" w:lineRule="exact"/>
        <w:ind w:left="0" w:leftChars="0" w:firstLine="528" w:firstLineChars="200"/>
        <w:rPr>
          <w:rFonts w:hint="eastAsia" w:eastAsia="方正仿宋简体" w:cs="方正仿宋简体"/>
          <w:b w:val="0"/>
          <w:bCs w:val="0"/>
          <w:spacing w:val="-28"/>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简体" w:cs="Times New Roman"/>
          <w:b w:val="0"/>
          <w:bCs w:val="0"/>
          <w:sz w:val="32"/>
          <w:szCs w:val="32"/>
          <w:lang w:val="en-US" w:eastAsia="zh-CN" w:bidi="ar-SA"/>
        </w:rPr>
      </w:pPr>
      <w:r>
        <w:rPr>
          <w:rFonts w:hint="eastAsia" w:ascii="Times New Roman" w:hAnsi="Times New Roman" w:eastAsia="方正仿宋简体" w:cs="Times New Roman"/>
          <w:b w:val="0"/>
          <w:bCs w:val="0"/>
          <w:sz w:val="32"/>
          <w:szCs w:val="32"/>
          <w:lang w:val="en-US" w:eastAsia="zh-CN" w:bidi="ar-SA"/>
        </w:rPr>
        <w:t>联系单位及电话：济宁市国资委  2606178</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简体" w:cs="Times New Roman"/>
          <w:b w:val="0"/>
          <w:bCs w:val="0"/>
          <w:sz w:val="32"/>
          <w:szCs w:val="32"/>
          <w:lang w:val="en-US" w:eastAsia="zh-CN" w:bidi="ar-SA"/>
        </w:rPr>
      </w:pPr>
      <w:r>
        <w:rPr>
          <w:rFonts w:hint="eastAsia" w:ascii="Times New Roman" w:hAnsi="Times New Roman" w:eastAsia="方正仿宋简体" w:cs="Times New Roman"/>
          <w:b w:val="0"/>
          <w:bCs w:val="0"/>
          <w:sz w:val="32"/>
          <w:szCs w:val="32"/>
          <w:lang w:val="en-US" w:eastAsia="zh-CN" w:bidi="ar-SA"/>
        </w:rPr>
        <w:t>抄送：市人大人事代表工作委员会，市政府督查室</w:t>
      </w:r>
    </w:p>
    <w:p>
      <w:pPr>
        <w:pStyle w:val="8"/>
        <w:keepNext w:val="0"/>
        <w:keepLines w:val="0"/>
        <w:pageBreakBefore w:val="0"/>
        <w:kinsoku/>
        <w:wordWrap/>
        <w:overflowPunct/>
        <w:topLinePunct w:val="0"/>
        <w:autoSpaceDE/>
        <w:autoSpaceDN/>
        <w:bidi w:val="0"/>
        <w:adjustRightInd/>
        <w:spacing w:after="0" w:line="600" w:lineRule="exact"/>
        <w:ind w:left="0" w:leftChars="0" w:firstLine="640" w:firstLineChars="200"/>
        <w:rPr>
          <w:rFonts w:hint="default" w:ascii="Times New Roman" w:hAnsi="Times New Roman" w:eastAsia="方正仿宋简体" w:cs="Times New Roman"/>
          <w:b w:val="0"/>
          <w:bCs w:val="0"/>
          <w:sz w:val="32"/>
          <w:szCs w:val="32"/>
        </w:rPr>
      </w:pPr>
    </w:p>
    <w:p>
      <w:pPr>
        <w:pStyle w:val="11"/>
        <w:rPr>
          <w:rFonts w:ascii="Times New Roman" w:hAnsi="Times New Roman" w:eastAsia="仿宋_GB2312" w:cs="Times New Roman"/>
          <w:b w:val="0"/>
          <w:bCs w:val="0"/>
          <w:sz w:val="28"/>
          <w:szCs w:val="28"/>
        </w:rPr>
      </w:pPr>
    </w:p>
    <w:p>
      <w:pPr>
        <w:pStyle w:val="11"/>
        <w:rPr>
          <w:rFonts w:ascii="Times New Roman" w:hAnsi="Times New Roman" w:eastAsia="仿宋_GB2312" w:cs="Times New Roman"/>
          <w:b w:val="0"/>
          <w:bCs w:val="0"/>
          <w:sz w:val="28"/>
          <w:szCs w:val="28"/>
        </w:rPr>
      </w:pPr>
    </w:p>
    <w:p>
      <w:pPr>
        <w:keepNext w:val="0"/>
        <w:keepLines w:val="0"/>
        <w:pageBreakBefore w:val="0"/>
        <w:widowControl w:val="0"/>
        <w:tabs>
          <w:tab w:val="right" w:pos="8620"/>
        </w:tabs>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b w:val="0"/>
          <w:bCs w:val="0"/>
          <w:lang w:val="en-US" w:eastAsia="zh-CN"/>
        </w:rPr>
      </w:pPr>
      <w:r>
        <w:rPr>
          <w:rFonts w:ascii="Times New Roman" w:hAnsi="Times New Roman" w:eastAsia="仿宋_GB2312" w:cs="Times New Roman"/>
          <w:b w:val="0"/>
          <w:bCs w:val="0"/>
          <w:sz w:val="28"/>
          <w:szCs w:val="28"/>
        </w:rPr>
        <mc:AlternateContent>
          <mc:Choice Requires="wps">
            <w:drawing>
              <wp:anchor distT="0" distB="0" distL="114300" distR="114300" simplePos="0" relativeHeight="251665408" behindDoc="0" locked="0" layoutInCell="1" allowOverlap="1">
                <wp:simplePos x="0" y="0"/>
                <wp:positionH relativeFrom="column">
                  <wp:posOffset>-45720</wp:posOffset>
                </wp:positionH>
                <wp:positionV relativeFrom="paragraph">
                  <wp:posOffset>372745</wp:posOffset>
                </wp:positionV>
                <wp:extent cx="5457825" cy="20320"/>
                <wp:effectExtent l="0" t="6350" r="9525" b="11430"/>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flipV="true">
                          <a:off x="0" y="0"/>
                          <a:ext cx="5457825" cy="20320"/>
                        </a:xfrm>
                        <a:prstGeom prst="line">
                          <a:avLst/>
                        </a:prstGeom>
                        <a:noFill/>
                        <a:ln w="12700" cmpd="sng">
                          <a:solidFill>
                            <a:schemeClr val="tx1"/>
                          </a:solidFill>
                          <a:prstDash val="solid"/>
                          <a:round/>
                        </a:ln>
                        <a:effectLst/>
                      </wps:spPr>
                      <wps:bodyPr/>
                    </wps:wsp>
                  </a:graphicData>
                </a:graphic>
              </wp:anchor>
            </w:drawing>
          </mc:Choice>
          <mc:Fallback>
            <w:pict>
              <v:line id="_x0000_s1026" o:spid="_x0000_s1026" o:spt="20" style="position:absolute;left:0pt;flip:y;margin-left:-3.6pt;margin-top:29.35pt;height:1.6pt;width:429.75pt;z-index:251665408;mso-width-relative:page;mso-height-relative:page;" filled="f" stroked="t" coordsize="21600,21600" o:gfxdata="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WsnEX9gAAAAIAQAADwAAAAAAAAABACAAAAA4AAAAZHJz&#10;L2Rvd25yZXYueG1sUEsBAhQAFAAAAAgAh07iQGGUa3nuAQAAowMAAA4AAAAAAAAAAQAgAAAAPQEA&#10;AGRycy9lMm9Eb2MueG1sUEsFBgAAAAAGAAYAWQEAAJ0FAAAAAA==&#10;">
                <v:fill on="f" focussize="0,0"/>
                <v:stroke weight="1pt" color="#000000 [3213]" joinstyle="round"/>
                <v:imagedata o:title=""/>
                <o:lock v:ext="edit" aspectratio="f"/>
              </v:line>
            </w:pict>
          </mc:Fallback>
        </mc:AlternateContent>
      </w:r>
      <w:r>
        <w:rPr>
          <w:rFonts w:ascii="Times New Roman" w:hAnsi="Times New Roman" w:eastAsia="仿宋_GB2312" w:cs="Times New Roman"/>
          <w:b w:val="0"/>
          <w:bCs w:val="0"/>
          <w:sz w:val="28"/>
          <w:szCs w:val="28"/>
        </w:rPr>
        <mc:AlternateContent>
          <mc:Choice Requires="wps">
            <w:drawing>
              <wp:anchor distT="0" distB="0" distL="114300" distR="114300" simplePos="0" relativeHeight="251664384" behindDoc="0" locked="0" layoutInCell="1" allowOverlap="1">
                <wp:simplePos x="0" y="0"/>
                <wp:positionH relativeFrom="column">
                  <wp:posOffset>-45720</wp:posOffset>
                </wp:positionH>
                <wp:positionV relativeFrom="paragraph">
                  <wp:posOffset>38100</wp:posOffset>
                </wp:positionV>
                <wp:extent cx="5457825" cy="0"/>
                <wp:effectExtent l="0" t="0" r="0" b="0"/>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457825"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3.6pt;margin-top:3pt;height:0pt;width:429.75pt;z-index:251664384;mso-width-relative:page;mso-height-relative:page;" filled="f" stroked="t" coordsize="21600,21600" o:gfxdata="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vJFCH1gAA&#10;AAYBAAAPAAAAAAAAAAEAIAAAADgAAABkcnMvZG93bnJldi54bWxQSwECFAAUAAAACACHTuJA+xwN&#10;MtEBAABuAwAADgAAAAAAAAABACAAAAA7AQAAZHJzL2Uyb0RvYy54bWxQSwUGAAAAAAYABgBZAQAA&#10;fgUAAAAA&#10;">
                <v:fill on="f" focussize="0,0"/>
                <v:stroke weight="1pt" color="#000000" joinstyle="round"/>
                <v:imagedata o:title=""/>
                <o:lock v:ext="edit" aspectratio="f"/>
              </v:line>
            </w:pict>
          </mc:Fallback>
        </mc:AlternateContent>
      </w:r>
      <w:r>
        <w:rPr>
          <w:rFonts w:ascii="Times New Roman" w:hAnsi="Times New Roman" w:eastAsia="仿宋_GB2312" w:cs="Times New Roman"/>
          <w:b w:val="0"/>
          <w:bCs w:val="0"/>
          <w:sz w:val="28"/>
          <w:szCs w:val="28"/>
        </w:rPr>
        <w:t>济宁市国资委办公室</w:t>
      </w:r>
      <w:r>
        <w:rPr>
          <w:rFonts w:hint="eastAsia" w:ascii="Times New Roman" w:hAnsi="Times New Roman" w:eastAsia="仿宋_GB2312" w:cs="Times New Roman"/>
          <w:b w:val="0"/>
          <w:bCs w:val="0"/>
          <w:sz w:val="28"/>
          <w:szCs w:val="28"/>
          <w:lang w:val="en-US" w:eastAsia="zh-CN"/>
        </w:rPr>
        <w:t xml:space="preserve">   </w:t>
      </w:r>
      <w:r>
        <w:rPr>
          <w:rFonts w:hint="eastAsia" w:eastAsia="仿宋_GB2312" w:cs="Times New Roman"/>
          <w:b w:val="0"/>
          <w:bCs w:val="0"/>
          <w:sz w:val="28"/>
          <w:szCs w:val="28"/>
          <w:lang w:val="en-US" w:eastAsia="zh-CN"/>
        </w:rPr>
        <w:t xml:space="preserve">   </w:t>
      </w:r>
      <w:r>
        <w:rPr>
          <w:rFonts w:hint="eastAsia" w:ascii="Times New Roman" w:hAnsi="Times New Roman" w:eastAsia="仿宋_GB2312" w:cs="Times New Roman"/>
          <w:b w:val="0"/>
          <w:bCs w:val="0"/>
          <w:sz w:val="28"/>
          <w:szCs w:val="28"/>
          <w:lang w:val="en-US" w:eastAsia="zh-CN"/>
        </w:rPr>
        <w:t xml:space="preserve">     </w:t>
      </w:r>
      <w:r>
        <w:rPr>
          <w:rFonts w:hint="eastAsia" w:eastAsia="仿宋_GB2312" w:cs="Times New Roman"/>
          <w:b w:val="0"/>
          <w:bCs w:val="0"/>
          <w:sz w:val="28"/>
          <w:szCs w:val="28"/>
          <w:lang w:val="en-US" w:eastAsia="zh-CN"/>
        </w:rPr>
        <w:t xml:space="preserve"> </w:t>
      </w:r>
      <w:r>
        <w:rPr>
          <w:rFonts w:hint="eastAsia" w:ascii="Times New Roman" w:hAnsi="Times New Roman" w:eastAsia="仿宋_GB2312" w:cs="Times New Roman"/>
          <w:b w:val="0"/>
          <w:bCs w:val="0"/>
          <w:sz w:val="28"/>
          <w:szCs w:val="28"/>
          <w:lang w:val="en-US" w:eastAsia="zh-CN"/>
        </w:rPr>
        <w:t xml:space="preserve">         </w:t>
      </w:r>
      <w:r>
        <w:rPr>
          <w:rFonts w:ascii="Times New Roman" w:hAnsi="Times New Roman" w:eastAsia="仿宋_GB2312" w:cs="Times New Roman"/>
          <w:b w:val="0"/>
          <w:bCs w:val="0"/>
          <w:sz w:val="28"/>
          <w:szCs w:val="28"/>
        </w:rPr>
        <w:t>202</w:t>
      </w:r>
      <w:r>
        <w:rPr>
          <w:rFonts w:hint="eastAsia" w:eastAsia="仿宋_GB2312" w:cs="Times New Roman"/>
          <w:b w:val="0"/>
          <w:bCs w:val="0"/>
          <w:sz w:val="28"/>
          <w:szCs w:val="28"/>
          <w:lang w:val="en-US" w:eastAsia="zh-CN"/>
        </w:rPr>
        <w:t>4</w:t>
      </w:r>
      <w:r>
        <w:rPr>
          <w:rFonts w:ascii="Times New Roman" w:hAnsi="Times New Roman" w:eastAsia="仿宋_GB2312" w:cs="Times New Roman"/>
          <w:b w:val="0"/>
          <w:bCs w:val="0"/>
          <w:sz w:val="28"/>
          <w:szCs w:val="28"/>
        </w:rPr>
        <w:t>年</w:t>
      </w:r>
      <w:r>
        <w:rPr>
          <w:rFonts w:hint="eastAsia" w:eastAsia="仿宋_GB2312" w:cs="Times New Roman"/>
          <w:b w:val="0"/>
          <w:bCs w:val="0"/>
          <w:sz w:val="28"/>
          <w:szCs w:val="28"/>
          <w:lang w:val="en-US" w:eastAsia="zh-CN"/>
        </w:rPr>
        <w:t>6</w:t>
      </w:r>
      <w:r>
        <w:rPr>
          <w:rFonts w:ascii="Times New Roman" w:hAnsi="Times New Roman" w:eastAsia="仿宋_GB2312" w:cs="Times New Roman"/>
          <w:b w:val="0"/>
          <w:bCs w:val="0"/>
          <w:sz w:val="28"/>
          <w:szCs w:val="28"/>
        </w:rPr>
        <w:t>月</w:t>
      </w:r>
      <w:r>
        <w:rPr>
          <w:rFonts w:hint="eastAsia" w:eastAsia="仿宋_GB2312" w:cs="Times New Roman"/>
          <w:b w:val="0"/>
          <w:bCs w:val="0"/>
          <w:sz w:val="28"/>
          <w:szCs w:val="28"/>
          <w:lang w:val="en-US" w:eastAsia="zh-CN"/>
        </w:rPr>
        <w:t>6</w:t>
      </w:r>
      <w:r>
        <w:rPr>
          <w:rFonts w:ascii="Times New Roman" w:hAnsi="Times New Roman" w:eastAsia="仿宋_GB2312" w:cs="Times New Roman"/>
          <w:b w:val="0"/>
          <w:bCs w:val="0"/>
          <w:sz w:val="28"/>
          <w:szCs w:val="28"/>
        </w:rPr>
        <w:t>日印</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PÃÃ¬'3">
    <w:altName w:val="DejaVu Math TeX Gyre"/>
    <w:panose1 w:val="00000000000000000000"/>
    <w:charset w:val="4D"/>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简体">
    <w:panose1 w:val="03000509000000000000"/>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hint="eastAsia" w:asciiTheme="minorEastAsia" w:hAnsiTheme="minorEastAsia" w:eastAsiaTheme="minorEastAsia" w:cstheme="minorEastAsia"/>
        <w:b w:val="0"/>
        <w:bCs w:val="0"/>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09237"/>
    <w:multiLevelType w:val="singleLevel"/>
    <w:tmpl w:val="10109237"/>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7B4D3"/>
    <w:rsid w:val="267F2D3E"/>
    <w:rsid w:val="6EBF6469"/>
    <w:rsid w:val="6F588D86"/>
    <w:rsid w:val="7A77B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EndnoteText"/>
    <w:basedOn w:val="1"/>
    <w:next w:val="3"/>
    <w:qFormat/>
    <w:uiPriority w:val="0"/>
    <w:pPr>
      <w:snapToGrid w:val="0"/>
      <w:jc w:val="left"/>
      <w:textAlignment w:val="baseline"/>
    </w:pPr>
  </w:style>
  <w:style w:type="paragraph" w:customStyle="1" w:styleId="3">
    <w:name w:val="BodyText"/>
    <w:basedOn w:val="1"/>
    <w:qFormat/>
    <w:uiPriority w:val="0"/>
    <w:pPr>
      <w:spacing w:after="120"/>
      <w:textAlignment w:val="baseline"/>
    </w:pPr>
  </w:style>
  <w:style w:type="paragraph" w:styleId="4">
    <w:name w:val="Plain Text"/>
    <w:basedOn w:val="1"/>
    <w:qFormat/>
    <w:uiPriority w:val="0"/>
    <w:rPr>
      <w:rFonts w:hint="eastAsia" w:ascii="宋体" w:hAnsi="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pPr>
    <w:rPr>
      <w:szCs w:val="21"/>
    </w:rPr>
  </w:style>
  <w:style w:type="paragraph" w:styleId="8">
    <w:name w:val="Body Text First Indent 2"/>
    <w:basedOn w:val="7"/>
    <w:qFormat/>
    <w:uiPriority w:val="0"/>
    <w:pPr>
      <w:ind w:left="420" w:leftChars="200" w:firstLine="420"/>
    </w:pPr>
    <w:rPr>
      <w:szCs w:val="24"/>
    </w:rPr>
  </w:style>
  <w:style w:type="paragraph" w:customStyle="1" w:styleId="11">
    <w:name w:val="正文首行缩进 21"/>
    <w:qFormat/>
    <w:uiPriority w:val="0"/>
    <w:pPr>
      <w:widowControl w:val="0"/>
      <w:ind w:left="420" w:leftChars="200" w:firstLine="420" w:firstLineChars="200"/>
      <w:jc w:val="both"/>
    </w:pPr>
    <w:rPr>
      <w:rFonts w:ascii="Times New Roman" w:hAnsi="Times New Roman" w:eastAsia="宋体" w:cs="Times New Roman"/>
      <w:kern w:val="2"/>
      <w:sz w:val="21"/>
      <w:szCs w:val="22"/>
      <w:lang w:val="en-US" w:eastAsia="zh-CN" w:bidi="ar-SA"/>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文件格式"/>
    <w:qFormat/>
    <w:uiPriority w:val="0"/>
    <w:pPr>
      <w:spacing w:line="460" w:lineRule="atLeast"/>
      <w:ind w:left="1" w:firstLine="419"/>
      <w:jc w:val="both"/>
      <w:textAlignment w:val="bottom"/>
    </w:pPr>
    <w:rPr>
      <w:rFonts w:ascii="Calibri" w:hAnsi="Calibri" w:eastAsia="仿宋_GB2312" w:cs="Times New Roman"/>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2023-12-19T17:40:00Z</dcterms:created>
  <dc:creator>user</dc:creator>
  <cp:lastModifiedBy>user</cp:lastModifiedBy>
  <cp:lastPrinted>2024-06-07T18:14:44Z</cp:lastPrinted>
  <dcterms:modified xsi:type="dcterms:W3CDTF">2024-06-07T18:15:25Z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