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val="0"/>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color w:val="000000" w:themeColor="text1"/>
          <w:kern w:val="0"/>
          <w:sz w:val="48"/>
          <w:szCs w:val="48"/>
          <w:lang w:val="en-US" w:eastAsia="zh-CN" w:bidi="ar"/>
          <w14:textFill>
            <w14:solidFill>
              <w14:schemeClr w14:val="tx1"/>
            </w14:solidFill>
          </w14:textFill>
        </w:rPr>
      </w:pPr>
    </w:p>
    <w:p>
      <w:pPr>
        <w:keepNext w:val="0"/>
        <w:keepLines w:val="0"/>
        <w:pageBreakBefore w:val="0"/>
        <w:widowControl/>
        <w:suppressLineNumbers w:val="0"/>
        <w:kinsoku/>
        <w:wordWrap w:val="0"/>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color w:val="000000" w:themeColor="text1"/>
          <w:kern w:val="0"/>
          <w:sz w:val="48"/>
          <w:szCs w:val="48"/>
          <w:lang w:val="en-US" w:eastAsia="zh-CN" w:bidi="ar"/>
          <w14:textFill>
            <w14:solidFill>
              <w14:schemeClr w14:val="tx1"/>
            </w14:solidFill>
          </w14:textFill>
        </w:rPr>
      </w:pPr>
      <w:r>
        <w:rPr>
          <w:rFonts w:hint="eastAsia" w:ascii="方正小标宋简体" w:hAnsi="方正小标宋简体" w:eastAsia="方正小标宋简体" w:cs="方正小标宋简体"/>
          <w:b/>
          <w:color w:val="000000" w:themeColor="text1"/>
          <w:kern w:val="0"/>
          <w:sz w:val="48"/>
          <w:szCs w:val="48"/>
          <w:lang w:val="en-US" w:eastAsia="zh-CN" w:bidi="ar"/>
          <w14:textFill>
            <w14:solidFill>
              <w14:schemeClr w14:val="tx1"/>
            </w14:solidFill>
          </w14:textFill>
        </w:rPr>
        <w:t>济宁市教育局2020年政府信息公开</w:t>
      </w:r>
    </w:p>
    <w:p>
      <w:pPr>
        <w:keepNext w:val="0"/>
        <w:keepLines w:val="0"/>
        <w:pageBreakBefore w:val="0"/>
        <w:widowControl/>
        <w:suppressLineNumbers w:val="0"/>
        <w:kinsoku/>
        <w:wordWrap w:val="0"/>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color w:val="000000" w:themeColor="text1"/>
          <w:sz w:val="48"/>
          <w:szCs w:val="48"/>
          <w14:textFill>
            <w14:solidFill>
              <w14:schemeClr w14:val="tx1"/>
            </w14:solidFill>
          </w14:textFill>
        </w:rPr>
      </w:pPr>
      <w:r>
        <w:rPr>
          <w:rFonts w:hint="eastAsia" w:ascii="方正小标宋简体" w:hAnsi="方正小标宋简体" w:eastAsia="方正小标宋简体" w:cs="方正小标宋简体"/>
          <w:b/>
          <w:color w:val="000000" w:themeColor="text1"/>
          <w:kern w:val="0"/>
          <w:sz w:val="48"/>
          <w:szCs w:val="48"/>
          <w:lang w:val="en-US" w:eastAsia="zh-CN" w:bidi="ar"/>
          <w14:textFill>
            <w14:solidFill>
              <w14:schemeClr w14:val="tx1"/>
            </w14:solidFill>
          </w14:textFill>
        </w:rPr>
        <w:t>工作年度报告</w:t>
      </w:r>
    </w:p>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50" w:lineRule="atLeast"/>
        <w:ind w:left="255"/>
        <w:textAlignment w:val="auto"/>
        <w:rPr>
          <w:color w:val="333333"/>
          <w:sz w:val="24"/>
          <w:szCs w:val="24"/>
        </w:rPr>
      </w:pPr>
    </w:p>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50" w:lineRule="atLeast"/>
        <w:ind w:left="255" w:firstLine="480" w:firstLineChars="200"/>
        <w:textAlignment w:val="auto"/>
        <w:rPr>
          <w:rFonts w:hint="eastAsia" w:ascii="方正黑体简体" w:hAnsi="方正黑体简体" w:eastAsia="方正黑体简体" w:cs="方正黑体简体"/>
          <w:b/>
          <w:bCs w:val="0"/>
          <w:color w:val="000000" w:themeColor="text1"/>
          <w:sz w:val="32"/>
          <w:szCs w:val="32"/>
          <w14:textFill>
            <w14:solidFill>
              <w14:schemeClr w14:val="tx1"/>
            </w14:solidFill>
          </w14:textFill>
        </w:rPr>
      </w:pPr>
      <w:r>
        <w:rPr>
          <w:rFonts w:hint="eastAsia" w:ascii="方正黑体简体" w:hAnsi="方正黑体简体" w:eastAsia="方正黑体简体" w:cs="方正黑体简体"/>
          <w:color w:val="333333"/>
          <w:sz w:val="24"/>
          <w:szCs w:val="24"/>
        </w:rPr>
        <w:t> </w:t>
      </w:r>
      <w:r>
        <w:rPr>
          <w:rStyle w:val="7"/>
          <w:rFonts w:hint="eastAsia" w:ascii="方正黑体简体" w:hAnsi="方正黑体简体" w:eastAsia="方正黑体简体" w:cs="方正黑体简体"/>
          <w:b/>
          <w:bCs w:val="0"/>
          <w:color w:val="000000" w:themeColor="text1"/>
          <w:sz w:val="32"/>
          <w:szCs w:val="32"/>
          <w14:textFill>
            <w14:solidFill>
              <w14:schemeClr w14:val="tx1"/>
            </w14:solidFill>
          </w14:textFill>
        </w:rPr>
        <w:t>一、总体情况</w:t>
      </w:r>
    </w:p>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645"/>
        <w:jc w:val="both"/>
        <w:textAlignment w:val="auto"/>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2020年，济宁市教育局认真贯彻落实《中华人民共和国政府信息公开条例》，把政务公开与部门工作相结合，重新调整局政务公开领导小组，建立职责明确的政府信息公开工作领导机制和责任体系，严格规范做好会议公开、政策解读、重大决策预公开、督查审计整改情况公开、建议提案复文公开和互动交流等工作。同时严格要求全市各级教育行政部门政务公开和各级各类学校信息公开工作，以公开促落实、促规范、促服务，持续提升全市教育事业透明度。</w:t>
      </w:r>
    </w:p>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eastAsia" w:ascii="方正楷体简体" w:hAnsi="方正楷体简体" w:eastAsia="方正楷体简体" w:cs="方正楷体简体"/>
          <w:b/>
          <w:bCs w:val="0"/>
          <w:color w:val="000000" w:themeColor="text1"/>
          <w:sz w:val="32"/>
          <w:szCs w:val="32"/>
          <w:shd w:val="clear" w:fill="FFFFFF"/>
          <w14:textFill>
            <w14:solidFill>
              <w14:schemeClr w14:val="tx1"/>
            </w14:solidFill>
          </w14:textFill>
        </w:rPr>
        <w:t>（一）主动公开情况。</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2020年，市教育局根据政府信息公开目录，先后完善、更新了组织机构、建议提案办理情况、教育信息、公共文化体育等内容。进一步规范行政权力公开，深入开展部门行政权力事项清理的同时，向社会公布市教体局权责清单、“互联网+监管”事项等内容，有效地保障了社会公众的知情权和监督权。全年主动公开信息701条，其中，概况类信息更新226条，政务动态信息126条，目录信息349条。解读信息发布59条。</w:t>
      </w:r>
    </w:p>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pPr>
      <w:r>
        <w:rPr>
          <w:rFonts w:hint="default" w:ascii="方正楷体简体" w:hAnsi="方正楷体简体" w:eastAsia="方正楷体简体" w:cs="方正楷体简体"/>
          <w:b/>
          <w:bCs w:val="0"/>
          <w:color w:val="000000" w:themeColor="text1"/>
          <w:sz w:val="32"/>
          <w:szCs w:val="32"/>
          <w:shd w:val="clear" w:fill="FFFFFF"/>
          <w14:textFill>
            <w14:solidFill>
              <w14:schemeClr w14:val="tx1"/>
            </w14:solidFill>
          </w14:textFill>
        </w:rPr>
        <w:t>（二）依申请公开情况。</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认真落实上级要求，具体工作人员，定期登录济宁市互动交流平台，密切关注依申请公开情况。建立依申请公开接收、登记、办理、审核、答复、归档等项工作流程。注重加强与申请人的主动沟通，做到依申请公开办理依法有据、严谨规范、慎重稳妥。全年共受理政府信息公开申请数7件，按时办结按时答复7件。其中，收到在线申请7件，信函申请0件。全年政府信息公开行政复议1件，行政复议败诉案件0件，行政诉讼0件，行政诉讼败诉案件0件。</w:t>
      </w:r>
    </w:p>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pPr>
      <w:r>
        <w:rPr>
          <w:rFonts w:hint="default" w:ascii="方正楷体简体" w:hAnsi="方正楷体简体" w:eastAsia="方正楷体简体" w:cs="方正楷体简体"/>
          <w:b/>
          <w:bCs w:val="0"/>
          <w:color w:val="000000" w:themeColor="text1"/>
          <w:sz w:val="32"/>
          <w:szCs w:val="32"/>
          <w:shd w:val="clear" w:fill="FFFFFF"/>
          <w14:textFill>
            <w14:solidFill>
              <w14:schemeClr w14:val="tx1"/>
            </w14:solidFill>
          </w14:textFill>
        </w:rPr>
        <w:t>（三）加强平台建设。</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2020年，市教育局实行多渠道公开政府信息，维护群众的知晓权，主要通过济宁市政府门户网站、济宁市教育局网站、“济宁微教育”微信公众号、《济宁日报教育专刊》等渠道公开政府信息；依托“济宁教育微信公众号” 建设济宁市教育民意通服务平台，结合行风热线栏目、济宁新闻网网络问政平台、社情民意调查中心等渠道，及时回应群众关切；整合全市教育行政部门和各级各类学校资源，建立起“1个信息管理平台+“1个微信公众号”的群众意见收集平台，家长在“平台上”提诉求，教育系统干部教师“平台下”服务，做好政策解读工作，增强政府信息公开的针对性、时效性。全年网站总访问量达到5033572次，微信订阅数达44873次，收到留言6422条，全部答复办结，平均办理时间1天。</w:t>
      </w:r>
    </w:p>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default" w:ascii="Times New Roman" w:hAnsi="Times New Roman" w:eastAsia="方正仿宋简体" w:cs="Times New Roman"/>
          <w:b/>
          <w:bCs w:val="0"/>
          <w:color w:val="000000" w:themeColor="text1"/>
          <w:sz w:val="32"/>
          <w:szCs w:val="32"/>
          <w14:textFill>
            <w14:solidFill>
              <w14:schemeClr w14:val="tx1"/>
            </w14:solidFill>
          </w14:textFill>
        </w:rPr>
      </w:pPr>
      <w:r>
        <w:rPr>
          <w:rFonts w:hint="default" w:ascii="方正楷体简体" w:hAnsi="方正楷体简体" w:eastAsia="方正楷体简体" w:cs="方正楷体简体"/>
          <w:b/>
          <w:bCs w:val="0"/>
          <w:color w:val="000000" w:themeColor="text1"/>
          <w:sz w:val="32"/>
          <w:szCs w:val="32"/>
          <w:shd w:val="clear" w:fill="FFFFFF"/>
          <w14:textFill>
            <w14:solidFill>
              <w14:schemeClr w14:val="tx1"/>
            </w14:solidFill>
          </w14:textFill>
        </w:rPr>
        <w:t>（四）强化监督保障。</w:t>
      </w:r>
      <w:r>
        <w:rPr>
          <w:rFonts w:hint="default" w:ascii="Times New Roman" w:hAnsi="Times New Roman" w:eastAsia="方正仿宋简体" w:cs="Times New Roman"/>
          <w:b/>
          <w:bCs w:val="0"/>
          <w:color w:val="000000" w:themeColor="text1"/>
          <w:sz w:val="32"/>
          <w:szCs w:val="32"/>
          <w:shd w:val="clear" w:fill="FFFFFF"/>
          <w14:textFill>
            <w14:solidFill>
              <w14:schemeClr w14:val="tx1"/>
            </w14:solidFill>
          </w14:textFill>
        </w:rPr>
        <w:t>坚持应公开全公开，明确规定，凡是运用行政权力办理的与群众利益相关的事项只要不涉及国家保密规定的，都要依照信息公开条例向社会公开。要求各县市区教育局严格按照《2020年重新修订教育领域基层政务公开标准目录》要求，对于需要公开的信息进行全面梳理，要求及时公开。尤其是对教育招生、教师职称评审、聘任、教育救助、学生评优、学校建设工程项目等重要信息事项都及时进行公开。</w:t>
      </w:r>
    </w:p>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50" w:lineRule="atLeast"/>
        <w:ind w:left="255"/>
        <w:textAlignment w:val="auto"/>
        <w:rPr>
          <w:rFonts w:hint="eastAsia" w:ascii="方正黑体简体" w:hAnsi="方正黑体简体" w:eastAsia="方正黑体简体" w:cs="方正黑体简体"/>
          <w:b/>
          <w:bCs/>
          <w:color w:val="000000" w:themeColor="text1"/>
          <w:sz w:val="32"/>
          <w:szCs w:val="32"/>
          <w14:textFill>
            <w14:solidFill>
              <w14:schemeClr w14:val="tx1"/>
            </w14:solidFill>
          </w14:textFill>
        </w:rPr>
      </w:pPr>
      <w:r>
        <w:rPr>
          <w:rFonts w:hint="eastAsia" w:ascii="方正黑体简体" w:hAnsi="方正黑体简体" w:eastAsia="方正黑体简体" w:cs="方正黑体简体"/>
          <w:b/>
          <w:bCs/>
          <w:color w:val="000000" w:themeColor="text1"/>
          <w:sz w:val="32"/>
          <w:szCs w:val="32"/>
          <w14:textFill>
            <w14:solidFill>
              <w14:schemeClr w14:val="tx1"/>
            </w14:solidFill>
          </w14:textFill>
        </w:rPr>
        <w:t>二、主动公开政府信息情况</w:t>
      </w:r>
    </w:p>
    <w:tbl>
      <w:tblPr>
        <w:tblStyle w:val="5"/>
        <w:tblW w:w="9104" w:type="dxa"/>
        <w:jc w:val="center"/>
        <w:tblInd w:w="0" w:type="dxa"/>
        <w:shd w:val="clear" w:color="auto" w:fill="auto"/>
        <w:tblLayout w:type="fixed"/>
        <w:tblCellMar>
          <w:top w:w="15" w:type="dxa"/>
          <w:left w:w="15" w:type="dxa"/>
          <w:bottom w:w="15" w:type="dxa"/>
          <w:right w:w="15" w:type="dxa"/>
        </w:tblCellMar>
      </w:tblPr>
      <w:tblGrid>
        <w:gridCol w:w="3120"/>
        <w:gridCol w:w="2107"/>
        <w:gridCol w:w="1601"/>
        <w:gridCol w:w="2276"/>
      </w:tblGrid>
      <w:tr>
        <w:tblPrEx>
          <w:shd w:val="clear" w:color="auto" w:fill="auto"/>
          <w:tblLayout w:type="fixed"/>
          <w:tblCellMar>
            <w:top w:w="15" w:type="dxa"/>
            <w:left w:w="15" w:type="dxa"/>
            <w:bottom w:w="15" w:type="dxa"/>
            <w:right w:w="15" w:type="dxa"/>
          </w:tblCellMar>
        </w:tblPrEx>
        <w:trPr>
          <w:trHeight w:val="495" w:hRule="atLeast"/>
          <w:jc w:val="center"/>
        </w:trPr>
        <w:tc>
          <w:tcPr>
            <w:tcW w:w="9104"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第二十条第（一）项</w:t>
            </w:r>
          </w:p>
        </w:tc>
      </w:tr>
      <w:tr>
        <w:tblPrEx>
          <w:tblLayout w:type="fixed"/>
          <w:tblCellMar>
            <w:top w:w="15" w:type="dxa"/>
            <w:left w:w="15" w:type="dxa"/>
            <w:bottom w:w="15" w:type="dxa"/>
            <w:right w:w="15" w:type="dxa"/>
          </w:tblCellMar>
        </w:tblPrEx>
        <w:trPr>
          <w:trHeight w:val="88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信息内容</w:t>
            </w:r>
          </w:p>
        </w:tc>
        <w:tc>
          <w:tcPr>
            <w:tcW w:w="210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本年新</w:t>
            </w:r>
          </w:p>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制作数量</w:t>
            </w:r>
          </w:p>
        </w:tc>
        <w:tc>
          <w:tcPr>
            <w:tcW w:w="1601"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right="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本年新</w:t>
            </w:r>
          </w:p>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right="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default"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公开数量</w:t>
            </w:r>
          </w:p>
        </w:tc>
        <w:tc>
          <w:tcPr>
            <w:tcW w:w="22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right="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对外公开总</w:t>
            </w:r>
          </w:p>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right="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数量</w:t>
            </w:r>
          </w:p>
        </w:tc>
      </w:tr>
      <w:tr>
        <w:tblPrEx>
          <w:tblLayout w:type="fixed"/>
          <w:tblCellMar>
            <w:top w:w="15" w:type="dxa"/>
            <w:left w:w="15" w:type="dxa"/>
            <w:bottom w:w="15" w:type="dxa"/>
            <w:right w:w="15" w:type="dxa"/>
          </w:tblCellMar>
        </w:tblPrEx>
        <w:trPr>
          <w:trHeight w:val="52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规章</w:t>
            </w:r>
          </w:p>
        </w:tc>
        <w:tc>
          <w:tcPr>
            <w:tcW w:w="21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　　0</w:t>
            </w:r>
          </w:p>
        </w:tc>
        <w:tc>
          <w:tcPr>
            <w:tcW w:w="160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 0</w:t>
            </w:r>
          </w:p>
        </w:tc>
        <w:tc>
          <w:tcPr>
            <w:tcW w:w="22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　0</w:t>
            </w:r>
          </w:p>
        </w:tc>
      </w:tr>
      <w:tr>
        <w:tblPrEx>
          <w:tblLayout w:type="fixed"/>
          <w:tblCellMar>
            <w:top w:w="15" w:type="dxa"/>
            <w:left w:w="15" w:type="dxa"/>
            <w:bottom w:w="15" w:type="dxa"/>
            <w:right w:w="15" w:type="dxa"/>
          </w:tblCellMar>
        </w:tblPrEx>
        <w:trPr>
          <w:trHeight w:val="46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规范性文件</w:t>
            </w:r>
          </w:p>
        </w:tc>
        <w:tc>
          <w:tcPr>
            <w:tcW w:w="21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　　51</w:t>
            </w:r>
          </w:p>
        </w:tc>
        <w:tc>
          <w:tcPr>
            <w:tcW w:w="160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 2</w:t>
            </w:r>
          </w:p>
        </w:tc>
        <w:tc>
          <w:tcPr>
            <w:tcW w:w="22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　2</w:t>
            </w:r>
          </w:p>
        </w:tc>
      </w:tr>
      <w:tr>
        <w:tblPrEx>
          <w:tblLayout w:type="fixed"/>
          <w:tblCellMar>
            <w:top w:w="15" w:type="dxa"/>
            <w:left w:w="15" w:type="dxa"/>
            <w:bottom w:w="15" w:type="dxa"/>
            <w:right w:w="15" w:type="dxa"/>
          </w:tblCellMar>
        </w:tblPrEx>
        <w:trPr>
          <w:trHeight w:val="480" w:hRule="atLeast"/>
          <w:jc w:val="center"/>
        </w:trPr>
        <w:tc>
          <w:tcPr>
            <w:tcW w:w="9104"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第二十条第（五）项</w:t>
            </w:r>
          </w:p>
        </w:tc>
      </w:tr>
      <w:tr>
        <w:tblPrEx>
          <w:tblLayout w:type="fixed"/>
          <w:tblCellMar>
            <w:top w:w="15" w:type="dxa"/>
            <w:left w:w="15" w:type="dxa"/>
            <w:bottom w:w="15" w:type="dxa"/>
            <w:right w:w="15" w:type="dxa"/>
          </w:tblCellMar>
        </w:tblPrEx>
        <w:trPr>
          <w:trHeight w:val="63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信息内容</w:t>
            </w:r>
          </w:p>
        </w:tc>
        <w:tc>
          <w:tcPr>
            <w:tcW w:w="210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right="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上一年项目数量</w:t>
            </w:r>
          </w:p>
        </w:tc>
        <w:tc>
          <w:tcPr>
            <w:tcW w:w="1601"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right="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本年增/减</w:t>
            </w:r>
          </w:p>
        </w:tc>
        <w:tc>
          <w:tcPr>
            <w:tcW w:w="22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right="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处理决定数量</w:t>
            </w:r>
          </w:p>
        </w:tc>
      </w:tr>
      <w:tr>
        <w:tblPrEx>
          <w:tblLayout w:type="fixed"/>
          <w:tblCellMar>
            <w:top w:w="15" w:type="dxa"/>
            <w:left w:w="15" w:type="dxa"/>
            <w:bottom w:w="15" w:type="dxa"/>
            <w:right w:w="15" w:type="dxa"/>
          </w:tblCellMar>
        </w:tblPrEx>
        <w:trPr>
          <w:trHeight w:val="52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行政许可</w:t>
            </w:r>
          </w:p>
        </w:tc>
        <w:tc>
          <w:tcPr>
            <w:tcW w:w="21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default"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0</w:t>
            </w:r>
          </w:p>
        </w:tc>
        <w:tc>
          <w:tcPr>
            <w:tcW w:w="160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default"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0</w:t>
            </w:r>
          </w:p>
        </w:tc>
        <w:tc>
          <w:tcPr>
            <w:tcW w:w="22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0</w:t>
            </w:r>
          </w:p>
        </w:tc>
      </w:tr>
      <w:tr>
        <w:tblPrEx>
          <w:tblLayout w:type="fixed"/>
          <w:tblCellMar>
            <w:top w:w="15" w:type="dxa"/>
            <w:left w:w="15" w:type="dxa"/>
            <w:bottom w:w="15" w:type="dxa"/>
            <w:right w:w="15" w:type="dxa"/>
          </w:tblCellMar>
        </w:tblPrEx>
        <w:trPr>
          <w:trHeight w:val="55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right="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其他对外管理服务事项</w:t>
            </w:r>
          </w:p>
        </w:tc>
        <w:tc>
          <w:tcPr>
            <w:tcW w:w="21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0</w:t>
            </w:r>
          </w:p>
        </w:tc>
        <w:tc>
          <w:tcPr>
            <w:tcW w:w="160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0</w:t>
            </w:r>
          </w:p>
        </w:tc>
        <w:tc>
          <w:tcPr>
            <w:tcW w:w="22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0</w:t>
            </w:r>
          </w:p>
        </w:tc>
      </w:tr>
      <w:tr>
        <w:tblPrEx>
          <w:tblLayout w:type="fixed"/>
          <w:tblCellMar>
            <w:top w:w="15" w:type="dxa"/>
            <w:left w:w="15" w:type="dxa"/>
            <w:bottom w:w="15" w:type="dxa"/>
            <w:right w:w="15" w:type="dxa"/>
          </w:tblCellMar>
        </w:tblPrEx>
        <w:trPr>
          <w:trHeight w:val="405" w:hRule="atLeast"/>
          <w:jc w:val="center"/>
        </w:trPr>
        <w:tc>
          <w:tcPr>
            <w:tcW w:w="9104"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第二十条第（六）项</w:t>
            </w:r>
          </w:p>
        </w:tc>
      </w:tr>
      <w:tr>
        <w:tblPrEx>
          <w:tblLayout w:type="fixed"/>
          <w:tblCellMar>
            <w:top w:w="15" w:type="dxa"/>
            <w:left w:w="15" w:type="dxa"/>
            <w:bottom w:w="15" w:type="dxa"/>
            <w:right w:w="15" w:type="dxa"/>
          </w:tblCellMar>
        </w:tblPrEx>
        <w:trPr>
          <w:trHeight w:val="63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信息内容</w:t>
            </w:r>
          </w:p>
        </w:tc>
        <w:tc>
          <w:tcPr>
            <w:tcW w:w="210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right="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上一年项目数量</w:t>
            </w:r>
          </w:p>
        </w:tc>
        <w:tc>
          <w:tcPr>
            <w:tcW w:w="1601"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right="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本年增/减</w:t>
            </w:r>
          </w:p>
        </w:tc>
        <w:tc>
          <w:tcPr>
            <w:tcW w:w="22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right="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处理决定数量</w:t>
            </w:r>
          </w:p>
        </w:tc>
      </w:tr>
      <w:tr>
        <w:tblPrEx>
          <w:tblLayout w:type="fixed"/>
          <w:tblCellMar>
            <w:top w:w="15" w:type="dxa"/>
            <w:left w:w="15" w:type="dxa"/>
            <w:bottom w:w="15" w:type="dxa"/>
            <w:right w:w="15" w:type="dxa"/>
          </w:tblCellMar>
        </w:tblPrEx>
        <w:trPr>
          <w:trHeight w:val="43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行政处罚</w:t>
            </w:r>
          </w:p>
        </w:tc>
        <w:tc>
          <w:tcPr>
            <w:tcW w:w="21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0</w:t>
            </w:r>
          </w:p>
        </w:tc>
        <w:tc>
          <w:tcPr>
            <w:tcW w:w="160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　0</w:t>
            </w:r>
          </w:p>
        </w:tc>
        <w:tc>
          <w:tcPr>
            <w:tcW w:w="22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0</w:t>
            </w:r>
          </w:p>
        </w:tc>
      </w:tr>
      <w:tr>
        <w:tblPrEx>
          <w:tblLayout w:type="fixed"/>
          <w:tblCellMar>
            <w:top w:w="15" w:type="dxa"/>
            <w:left w:w="15" w:type="dxa"/>
            <w:bottom w:w="15" w:type="dxa"/>
            <w:right w:w="15" w:type="dxa"/>
          </w:tblCellMar>
        </w:tblPrEx>
        <w:trPr>
          <w:trHeight w:val="40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行政强制</w:t>
            </w:r>
          </w:p>
        </w:tc>
        <w:tc>
          <w:tcPr>
            <w:tcW w:w="21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0</w:t>
            </w:r>
          </w:p>
        </w:tc>
        <w:tc>
          <w:tcPr>
            <w:tcW w:w="160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　0</w:t>
            </w:r>
          </w:p>
        </w:tc>
        <w:tc>
          <w:tcPr>
            <w:tcW w:w="22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0</w:t>
            </w:r>
          </w:p>
        </w:tc>
      </w:tr>
      <w:tr>
        <w:tblPrEx>
          <w:tblLayout w:type="fixed"/>
          <w:tblCellMar>
            <w:top w:w="15" w:type="dxa"/>
            <w:left w:w="15" w:type="dxa"/>
            <w:bottom w:w="15" w:type="dxa"/>
            <w:right w:w="15" w:type="dxa"/>
          </w:tblCellMar>
        </w:tblPrEx>
        <w:trPr>
          <w:trHeight w:val="480" w:hRule="atLeast"/>
          <w:jc w:val="center"/>
        </w:trPr>
        <w:tc>
          <w:tcPr>
            <w:tcW w:w="9104"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第二十条第（八）项</w:t>
            </w:r>
          </w:p>
        </w:tc>
      </w:tr>
      <w:tr>
        <w:tblPrEx>
          <w:tblLayout w:type="fixed"/>
          <w:tblCellMar>
            <w:top w:w="15" w:type="dxa"/>
            <w:left w:w="15" w:type="dxa"/>
            <w:bottom w:w="15" w:type="dxa"/>
            <w:right w:w="15" w:type="dxa"/>
          </w:tblCellMar>
        </w:tblPrEx>
        <w:trPr>
          <w:trHeight w:val="27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信息内容</w:t>
            </w:r>
          </w:p>
        </w:tc>
        <w:tc>
          <w:tcPr>
            <w:tcW w:w="21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right="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上一年项目数量</w:t>
            </w:r>
          </w:p>
        </w:tc>
        <w:tc>
          <w:tcPr>
            <w:tcW w:w="3877" w:type="dxa"/>
            <w:gridSpan w:val="2"/>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本年增/减</w:t>
            </w:r>
          </w:p>
        </w:tc>
      </w:tr>
      <w:tr>
        <w:tblPrEx>
          <w:tblLayout w:type="fixed"/>
          <w:tblCellMar>
            <w:top w:w="15" w:type="dxa"/>
            <w:left w:w="15" w:type="dxa"/>
            <w:bottom w:w="15" w:type="dxa"/>
            <w:right w:w="15" w:type="dxa"/>
          </w:tblCellMar>
        </w:tblPrEx>
        <w:trPr>
          <w:trHeight w:val="55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行政事业性收费</w:t>
            </w:r>
          </w:p>
        </w:tc>
        <w:tc>
          <w:tcPr>
            <w:tcW w:w="21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0</w:t>
            </w:r>
          </w:p>
        </w:tc>
        <w:tc>
          <w:tcPr>
            <w:tcW w:w="3877"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0</w:t>
            </w:r>
          </w:p>
        </w:tc>
      </w:tr>
      <w:tr>
        <w:tblPrEx>
          <w:tblLayout w:type="fixed"/>
          <w:tblCellMar>
            <w:top w:w="15" w:type="dxa"/>
            <w:left w:w="15" w:type="dxa"/>
            <w:bottom w:w="15" w:type="dxa"/>
            <w:right w:w="15" w:type="dxa"/>
          </w:tblCellMar>
        </w:tblPrEx>
        <w:trPr>
          <w:trHeight w:val="480" w:hRule="atLeast"/>
          <w:jc w:val="center"/>
        </w:trPr>
        <w:tc>
          <w:tcPr>
            <w:tcW w:w="9104"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第二十条第（九）项</w:t>
            </w:r>
          </w:p>
        </w:tc>
      </w:tr>
      <w:tr>
        <w:tblPrEx>
          <w:tblLayout w:type="fixed"/>
          <w:tblCellMar>
            <w:top w:w="15" w:type="dxa"/>
            <w:left w:w="15" w:type="dxa"/>
            <w:bottom w:w="15" w:type="dxa"/>
            <w:right w:w="15" w:type="dxa"/>
          </w:tblCellMar>
        </w:tblPrEx>
        <w:trPr>
          <w:trHeight w:val="585"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信息内容</w:t>
            </w:r>
          </w:p>
        </w:tc>
        <w:tc>
          <w:tcPr>
            <w:tcW w:w="21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right="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采购项目数量</w:t>
            </w:r>
          </w:p>
        </w:tc>
        <w:tc>
          <w:tcPr>
            <w:tcW w:w="3877" w:type="dxa"/>
            <w:gridSpan w:val="2"/>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采购总金额</w:t>
            </w:r>
          </w:p>
        </w:tc>
      </w:tr>
      <w:tr>
        <w:tblPrEx>
          <w:tblLayout w:type="fixed"/>
          <w:tblCellMar>
            <w:top w:w="15" w:type="dxa"/>
            <w:left w:w="15" w:type="dxa"/>
            <w:bottom w:w="15" w:type="dxa"/>
            <w:right w:w="15" w:type="dxa"/>
          </w:tblCellMar>
        </w:tblPrEx>
        <w:trPr>
          <w:trHeight w:val="540" w:hRule="atLeast"/>
          <w:jc w:val="center"/>
        </w:trPr>
        <w:tc>
          <w:tcPr>
            <w:tcW w:w="3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政府集中采购</w:t>
            </w:r>
          </w:p>
        </w:tc>
        <w:tc>
          <w:tcPr>
            <w:tcW w:w="210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 0</w:t>
            </w:r>
          </w:p>
        </w:tc>
        <w:tc>
          <w:tcPr>
            <w:tcW w:w="3877"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4"/>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255" w:right="0" w:firstLine="420"/>
              <w:jc w:val="both"/>
              <w:textAlignment w:val="auto"/>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pPr>
            <w:r>
              <w:rPr>
                <w:rFonts w:hint="eastAsia" w:ascii="方正楷体简体" w:hAnsi="方正楷体简体" w:eastAsia="方正楷体简体" w:cs="方正楷体简体"/>
                <w:b/>
                <w:bCs w:val="0"/>
                <w:color w:val="000000" w:themeColor="text1"/>
                <w:sz w:val="24"/>
                <w:szCs w:val="24"/>
                <w:shd w:val="clear" w:fill="FFFFFF"/>
                <w14:textFill>
                  <w14:solidFill>
                    <w14:schemeClr w14:val="tx1"/>
                  </w14:solidFill>
                </w14:textFill>
              </w:rPr>
              <w:t> 0.00万元</w:t>
            </w:r>
          </w:p>
        </w:tc>
      </w:tr>
    </w:tbl>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firstLine="622" w:firstLineChars="200"/>
        <w:textAlignment w:val="auto"/>
        <w:rPr>
          <w:rStyle w:val="7"/>
          <w:rFonts w:hint="eastAsia" w:ascii="方正黑体简体" w:hAnsi="方正黑体简体" w:eastAsia="方正黑体简体" w:cs="方正黑体简体"/>
          <w:b/>
          <w:bCs w:val="0"/>
          <w:color w:val="333333"/>
          <w:sz w:val="31"/>
          <w:szCs w:val="31"/>
          <w:shd w:val="clear" w:fill="FFFFFF"/>
        </w:rPr>
      </w:pPr>
    </w:p>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方正黑体简体" w:hAnsi="方正黑体简体" w:eastAsia="方正黑体简体" w:cs="方正黑体简体"/>
          <w:b/>
          <w:bCs w:val="0"/>
          <w:color w:val="000000" w:themeColor="text1"/>
          <w:sz w:val="32"/>
          <w:szCs w:val="32"/>
          <w14:textFill>
            <w14:solidFill>
              <w14:schemeClr w14:val="tx1"/>
            </w14:solidFill>
          </w14:textFill>
        </w:rPr>
      </w:pPr>
      <w:r>
        <w:rPr>
          <w:rStyle w:val="7"/>
          <w:rFonts w:hint="eastAsia" w:ascii="方正黑体简体" w:hAnsi="方正黑体简体" w:eastAsia="方正黑体简体" w:cs="方正黑体简体"/>
          <w:b/>
          <w:bCs w:val="0"/>
          <w:color w:val="000000" w:themeColor="text1"/>
          <w:sz w:val="32"/>
          <w:szCs w:val="32"/>
          <w:shd w:val="clear" w:fill="FFFFFF"/>
          <w14:textFill>
            <w14:solidFill>
              <w14:schemeClr w14:val="tx1"/>
            </w14:solidFill>
          </w14:textFill>
        </w:rPr>
        <w:t>三、收到和处理政府信息公开申请情况</w:t>
      </w:r>
    </w:p>
    <w:tbl>
      <w:tblPr>
        <w:tblStyle w:val="5"/>
        <w:tblW w:w="99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827"/>
        <w:gridCol w:w="826"/>
        <w:gridCol w:w="2443"/>
        <w:gridCol w:w="793"/>
        <w:gridCol w:w="758"/>
        <w:gridCol w:w="932"/>
        <w:gridCol w:w="674"/>
        <w:gridCol w:w="838"/>
        <w:gridCol w:w="674"/>
        <w:gridCol w:w="1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Ex>
        <w:trPr>
          <w:jc w:val="center"/>
        </w:trPr>
        <w:tc>
          <w:tcPr>
            <w:tcW w:w="4096" w:type="dxa"/>
            <w:gridSpan w:val="3"/>
            <w:vMerge w:val="restart"/>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（本列数据的勾稽关系为：第一项加第二项之和，等于第三项加第四项之和）</w:t>
            </w:r>
          </w:p>
        </w:tc>
        <w:tc>
          <w:tcPr>
            <w:tcW w:w="5866" w:type="dxa"/>
            <w:gridSpan w:val="7"/>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4096" w:type="dxa"/>
            <w:gridSpan w:val="3"/>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793" w:type="dxa"/>
            <w:vMerge w:val="restart"/>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自然人</w:t>
            </w:r>
          </w:p>
        </w:tc>
        <w:tc>
          <w:tcPr>
            <w:tcW w:w="3876" w:type="dxa"/>
            <w:gridSpan w:val="5"/>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法人或其他组织</w:t>
            </w:r>
          </w:p>
        </w:tc>
        <w:tc>
          <w:tcPr>
            <w:tcW w:w="1197" w:type="dxa"/>
            <w:vMerge w:val="restart"/>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4096" w:type="dxa"/>
            <w:gridSpan w:val="3"/>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793"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商业企业</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科研机构</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社会公益组织</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法律服务机构</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其他</w:t>
            </w:r>
          </w:p>
        </w:tc>
        <w:tc>
          <w:tcPr>
            <w:tcW w:w="1197"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4096" w:type="dxa"/>
            <w:gridSpan w:val="3"/>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一、本年新收政府信息公开申请数量</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7</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4096" w:type="dxa"/>
            <w:gridSpan w:val="3"/>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二、上年结转政府信息公开申请数量</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827" w:type="dxa"/>
            <w:vMerge w:val="restart"/>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三、本年度办理结果</w:t>
            </w:r>
          </w:p>
        </w:tc>
        <w:tc>
          <w:tcPr>
            <w:tcW w:w="3269" w:type="dxa"/>
            <w:gridSpan w:val="2"/>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ascii="楷体" w:hAnsi="楷体" w:eastAsia="楷体" w:cs="楷体"/>
                <w:b/>
                <w:bCs/>
                <w:color w:val="000000" w:themeColor="text1"/>
                <w:sz w:val="21"/>
                <w:szCs w:val="21"/>
                <w14:textFill>
                  <w14:solidFill>
                    <w14:schemeClr w14:val="tx1"/>
                  </w14:solidFill>
                </w14:textFill>
              </w:rPr>
              <w:t>（一）予以公开</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7</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827"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3269" w:type="dxa"/>
            <w:gridSpan w:val="2"/>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（二）部分公开（区分处理的，只计这一情形，不计其他情形）</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827"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826" w:type="dxa"/>
            <w:vMerge w:val="restart"/>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（三）不予公开</w:t>
            </w:r>
          </w:p>
        </w:tc>
        <w:tc>
          <w:tcPr>
            <w:tcW w:w="244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1.属于国家秘密</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827"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826"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244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2.其他法律行政法规禁止公开</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827"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826"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244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3.危及“三安全一稳定”</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827"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826"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244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4.保护第三方合法权益</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827"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826"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244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5.属于三类内部事务信息</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827"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826"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244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6.属于四类过程性信息</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827"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826"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244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7.属于行政执法案卷</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827"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826"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244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8.属于行政查询事项</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827"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826" w:type="dxa"/>
            <w:vMerge w:val="restart"/>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（四）无法提供</w:t>
            </w:r>
          </w:p>
        </w:tc>
        <w:tc>
          <w:tcPr>
            <w:tcW w:w="244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1.本机关不掌握相关政府信息</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827"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826"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244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2.没有现成信息需要另行制作</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827"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826"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244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3.补正后申请内容仍不明确</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827"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826" w:type="dxa"/>
            <w:vMerge w:val="restart"/>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（五）不予处理</w:t>
            </w:r>
          </w:p>
        </w:tc>
        <w:tc>
          <w:tcPr>
            <w:tcW w:w="244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1.信访举报投诉类申请</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827"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826"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244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2.重复申请</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827"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826"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244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3.要求提供公开出版物</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827"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826"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244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4.无正当理由大量反复申请</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827"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826"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244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5.要求行政机关确认或重新出具已获取信息</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827"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3269" w:type="dxa"/>
            <w:gridSpan w:val="2"/>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（六）其他处理</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827" w:type="dxa"/>
            <w:vMerge w:val="continue"/>
            <w:shd w:val="clear" w:color="auto" w:fill="auto"/>
            <w:tcMar>
              <w:top w:w="0" w:type="dxa"/>
              <w:left w:w="105" w:type="dxa"/>
              <w:bottom w:w="0" w:type="dxa"/>
              <w:right w:w="105" w:type="dxa"/>
            </w:tcMar>
            <w:vAlign w:val="center"/>
          </w:tcPr>
          <w:p>
            <w:pPr>
              <w:rPr>
                <w:rFonts w:hint="eastAsia" w:ascii="宋体"/>
                <w:b/>
                <w:bCs/>
                <w:color w:val="000000" w:themeColor="text1"/>
                <w:sz w:val="21"/>
                <w:szCs w:val="21"/>
                <w14:textFill>
                  <w14:solidFill>
                    <w14:schemeClr w14:val="tx1"/>
                  </w14:solidFill>
                </w14:textFill>
              </w:rPr>
            </w:pPr>
          </w:p>
        </w:tc>
        <w:tc>
          <w:tcPr>
            <w:tcW w:w="3269" w:type="dxa"/>
            <w:gridSpan w:val="2"/>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楷体" w:hAnsi="楷体" w:eastAsia="楷体" w:cs="楷体"/>
                <w:b/>
                <w:bCs/>
                <w:color w:val="000000" w:themeColor="text1"/>
                <w:sz w:val="21"/>
                <w:szCs w:val="21"/>
                <w14:textFill>
                  <w14:solidFill>
                    <w14:schemeClr w14:val="tx1"/>
                  </w14:solidFill>
                </w14:textFill>
              </w:rPr>
              <w:t>（七）总计</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7</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r>
              <w:rPr>
                <w:rFonts w:hint="default" w:ascii="Calibri" w:hAnsi="Calibri" w:cs="Calibri"/>
                <w:b/>
                <w:bCs/>
                <w:color w:val="000000" w:themeColor="text1"/>
                <w:sz w:val="21"/>
                <w:szCs w:val="21"/>
                <w14:textFill>
                  <w14:solidFill>
                    <w14:schemeClr w14:val="tx1"/>
                  </w14:solidFill>
                </w14:textFill>
              </w:rPr>
              <w:t> </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jc w:val="center"/>
        </w:trPr>
        <w:tc>
          <w:tcPr>
            <w:tcW w:w="4096" w:type="dxa"/>
            <w:gridSpan w:val="3"/>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left"/>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四、结转下年度继续办理</w:t>
            </w:r>
          </w:p>
        </w:tc>
        <w:tc>
          <w:tcPr>
            <w:tcW w:w="793"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75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932"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838"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674"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000000" w:themeColor="text1"/>
                <w:sz w:val="21"/>
                <w:szCs w:val="21"/>
                <w14:textFill>
                  <w14:solidFill>
                    <w14:schemeClr w14:val="tx1"/>
                  </w14:solidFill>
                </w14:textFill>
              </w:rPr>
            </w:pPr>
            <w:r>
              <w:rPr>
                <w:rFonts w:hint="default" w:ascii="Calibri" w:hAnsi="Calibri" w:cs="Calibri"/>
                <w:b/>
                <w:bCs/>
                <w:color w:val="000000" w:themeColor="text1"/>
                <w:sz w:val="21"/>
                <w:szCs w:val="21"/>
                <w14:textFill>
                  <w14:solidFill>
                    <w14:schemeClr w14:val="tx1"/>
                  </w14:solidFill>
                </w14:textFill>
              </w:rPr>
              <w:t> </w:t>
            </w:r>
            <w:r>
              <w:rPr>
                <w:rFonts w:hint="eastAsia" w:ascii="宋体" w:hAnsi="宋体" w:eastAsia="宋体" w:cs="宋体"/>
                <w:b/>
                <w:bCs/>
                <w:color w:val="000000" w:themeColor="text1"/>
                <w:sz w:val="21"/>
                <w:szCs w:val="21"/>
                <w14:textFill>
                  <w14:solidFill>
                    <w14:schemeClr w14:val="tx1"/>
                  </w14:solidFill>
                </w14:textFill>
              </w:rPr>
              <w:t>0</w:t>
            </w:r>
          </w:p>
        </w:tc>
        <w:tc>
          <w:tcPr>
            <w:tcW w:w="1197" w:type="dxa"/>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line="450" w:lineRule="atLeast"/>
              <w:ind w:left="0" w:right="0"/>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0</w:t>
            </w:r>
          </w:p>
        </w:tc>
      </w:tr>
    </w:tbl>
    <w:p>
      <w:pPr>
        <w:pStyle w:val="4"/>
        <w:keepNext w:val="0"/>
        <w:keepLines w:val="0"/>
        <w:widowControl/>
        <w:suppressLineNumbers w:val="0"/>
        <w:shd w:val="clear" w:fill="FFFFFF"/>
        <w:wordWrap w:val="0"/>
        <w:spacing w:before="300" w:beforeAutospacing="0" w:after="0" w:afterAutospacing="0" w:line="450" w:lineRule="atLeast"/>
        <w:ind w:right="0"/>
        <w:jc w:val="both"/>
        <w:rPr>
          <w:rFonts w:hint="eastAsia" w:ascii="方正黑体简体" w:hAnsi="方正黑体简体" w:eastAsia="方正黑体简体" w:cs="方正黑体简体"/>
          <w:color w:val="000000" w:themeColor="text1"/>
          <w:sz w:val="32"/>
          <w:szCs w:val="32"/>
          <w14:textFill>
            <w14:solidFill>
              <w14:schemeClr w14:val="tx1"/>
            </w14:solidFill>
          </w14:textFill>
        </w:rPr>
      </w:pPr>
      <w:r>
        <w:rPr>
          <w:rStyle w:val="7"/>
          <w:rFonts w:hint="eastAsia" w:ascii="方正黑体简体" w:hAnsi="方正黑体简体" w:eastAsia="方正黑体简体" w:cs="方正黑体简体"/>
          <w:b/>
          <w:color w:val="000000" w:themeColor="text1"/>
          <w:sz w:val="32"/>
          <w:szCs w:val="32"/>
          <w:shd w:val="clear" w:fill="FFFFFF"/>
          <w14:textFill>
            <w14:solidFill>
              <w14:schemeClr w14:val="tx1"/>
            </w14:solidFill>
          </w14:textFill>
        </w:rPr>
        <w:t>四、政府信息公开行政复议、行政诉讼情况</w:t>
      </w:r>
    </w:p>
    <w:tbl>
      <w:tblPr>
        <w:tblStyle w:val="5"/>
        <w:tblW w:w="9797"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275"/>
        <w:gridCol w:w="553"/>
        <w:gridCol w:w="553"/>
        <w:gridCol w:w="553"/>
        <w:gridCol w:w="611"/>
        <w:gridCol w:w="541"/>
        <w:gridCol w:w="554"/>
        <w:gridCol w:w="554"/>
        <w:gridCol w:w="576"/>
        <w:gridCol w:w="587"/>
        <w:gridCol w:w="576"/>
        <w:gridCol w:w="576"/>
        <w:gridCol w:w="576"/>
        <w:gridCol w:w="576"/>
        <w:gridCol w:w="113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rPr>
          <w:jc w:val="center"/>
        </w:trPr>
        <w:tc>
          <w:tcPr>
            <w:tcW w:w="354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行政复议</w:t>
            </w:r>
          </w:p>
        </w:tc>
        <w:tc>
          <w:tcPr>
            <w:tcW w:w="6252"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27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结果维持</w:t>
            </w:r>
          </w:p>
        </w:tc>
        <w:tc>
          <w:tcPr>
            <w:tcW w:w="553"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结果纠正</w:t>
            </w:r>
          </w:p>
        </w:tc>
        <w:tc>
          <w:tcPr>
            <w:tcW w:w="553"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其他结果</w:t>
            </w:r>
          </w:p>
        </w:tc>
        <w:tc>
          <w:tcPr>
            <w:tcW w:w="553"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尚未审结</w:t>
            </w:r>
          </w:p>
        </w:tc>
        <w:tc>
          <w:tcPr>
            <w:tcW w:w="611"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总计</w:t>
            </w:r>
          </w:p>
        </w:tc>
        <w:tc>
          <w:tcPr>
            <w:tcW w:w="2812"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未经复议直接起诉</w:t>
            </w:r>
          </w:p>
        </w:tc>
        <w:tc>
          <w:tcPr>
            <w:tcW w:w="344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27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b/>
                <w:bCs/>
                <w:sz w:val="24"/>
                <w:szCs w:val="24"/>
              </w:rPr>
            </w:pPr>
          </w:p>
        </w:tc>
        <w:tc>
          <w:tcPr>
            <w:tcW w:w="553"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b/>
                <w:bCs/>
                <w:sz w:val="24"/>
                <w:szCs w:val="24"/>
              </w:rPr>
            </w:pPr>
          </w:p>
        </w:tc>
        <w:tc>
          <w:tcPr>
            <w:tcW w:w="553"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b/>
                <w:bCs/>
                <w:sz w:val="24"/>
                <w:szCs w:val="24"/>
              </w:rPr>
            </w:pPr>
          </w:p>
        </w:tc>
        <w:tc>
          <w:tcPr>
            <w:tcW w:w="553"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b/>
                <w:bCs/>
                <w:sz w:val="24"/>
                <w:szCs w:val="24"/>
              </w:rPr>
            </w:pPr>
          </w:p>
        </w:tc>
        <w:tc>
          <w:tcPr>
            <w:tcW w:w="611"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b/>
                <w:bCs/>
                <w:sz w:val="24"/>
                <w:szCs w:val="24"/>
              </w:rPr>
            </w:pPr>
          </w:p>
        </w:tc>
        <w:tc>
          <w:tcPr>
            <w:tcW w:w="54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结果维持</w:t>
            </w:r>
          </w:p>
        </w:tc>
        <w:tc>
          <w:tcPr>
            <w:tcW w:w="55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结果纠正</w:t>
            </w:r>
          </w:p>
        </w:tc>
        <w:tc>
          <w:tcPr>
            <w:tcW w:w="554"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其他结果</w:t>
            </w:r>
          </w:p>
        </w:tc>
        <w:tc>
          <w:tcPr>
            <w:tcW w:w="57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尚未审结</w:t>
            </w:r>
          </w:p>
        </w:tc>
        <w:tc>
          <w:tcPr>
            <w:tcW w:w="58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总计</w:t>
            </w:r>
          </w:p>
        </w:tc>
        <w:tc>
          <w:tcPr>
            <w:tcW w:w="57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结果维持</w:t>
            </w:r>
          </w:p>
        </w:tc>
        <w:tc>
          <w:tcPr>
            <w:tcW w:w="57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结果纠正</w:t>
            </w:r>
          </w:p>
        </w:tc>
        <w:tc>
          <w:tcPr>
            <w:tcW w:w="57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其他结果</w:t>
            </w:r>
          </w:p>
        </w:tc>
        <w:tc>
          <w:tcPr>
            <w:tcW w:w="57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尚未审结</w:t>
            </w:r>
          </w:p>
        </w:tc>
        <w:tc>
          <w:tcPr>
            <w:tcW w:w="113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jc w:val="center"/>
        </w:trPr>
        <w:tc>
          <w:tcPr>
            <w:tcW w:w="127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default" w:ascii="Calibri" w:hAnsi="Calibri" w:cs="Calibri"/>
                <w:b/>
                <w:bCs/>
                <w:color w:val="333333"/>
                <w:sz w:val="19"/>
                <w:szCs w:val="19"/>
              </w:rPr>
              <w:t> 1</w:t>
            </w:r>
          </w:p>
        </w:tc>
        <w:tc>
          <w:tcPr>
            <w:tcW w:w="55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0</w:t>
            </w:r>
          </w:p>
        </w:tc>
        <w:tc>
          <w:tcPr>
            <w:tcW w:w="55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0</w:t>
            </w:r>
          </w:p>
        </w:tc>
        <w:tc>
          <w:tcPr>
            <w:tcW w:w="55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default" w:ascii="Calibri" w:hAnsi="Calibri" w:cs="Calibri"/>
                <w:b/>
                <w:bCs/>
                <w:color w:val="333333"/>
                <w:sz w:val="19"/>
                <w:szCs w:val="19"/>
              </w:rPr>
              <w:t> </w:t>
            </w:r>
            <w:r>
              <w:rPr>
                <w:rFonts w:hint="eastAsia" w:ascii="宋体" w:hAnsi="宋体" w:eastAsia="宋体" w:cs="宋体"/>
                <w:b/>
                <w:bCs/>
                <w:color w:val="333333"/>
                <w:sz w:val="19"/>
                <w:szCs w:val="19"/>
              </w:rPr>
              <w:t>0</w:t>
            </w:r>
          </w:p>
        </w:tc>
        <w:tc>
          <w:tcPr>
            <w:tcW w:w="61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default" w:ascii="Calibri" w:hAnsi="Calibri" w:cs="Calibri"/>
                <w:b/>
                <w:bCs/>
                <w:color w:val="333333"/>
                <w:sz w:val="19"/>
                <w:szCs w:val="19"/>
              </w:rPr>
              <w:t>1</w:t>
            </w:r>
          </w:p>
        </w:tc>
        <w:tc>
          <w:tcPr>
            <w:tcW w:w="54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 0</w:t>
            </w:r>
          </w:p>
        </w:tc>
        <w:tc>
          <w:tcPr>
            <w:tcW w:w="55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0</w:t>
            </w:r>
          </w:p>
        </w:tc>
        <w:tc>
          <w:tcPr>
            <w:tcW w:w="55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0</w:t>
            </w:r>
          </w:p>
        </w:tc>
        <w:tc>
          <w:tcPr>
            <w:tcW w:w="5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 0</w:t>
            </w:r>
          </w:p>
        </w:tc>
        <w:tc>
          <w:tcPr>
            <w:tcW w:w="58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 0</w:t>
            </w:r>
          </w:p>
        </w:tc>
        <w:tc>
          <w:tcPr>
            <w:tcW w:w="5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 0</w:t>
            </w:r>
          </w:p>
        </w:tc>
        <w:tc>
          <w:tcPr>
            <w:tcW w:w="5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 0</w:t>
            </w:r>
          </w:p>
        </w:tc>
        <w:tc>
          <w:tcPr>
            <w:tcW w:w="5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 0</w:t>
            </w:r>
          </w:p>
        </w:tc>
        <w:tc>
          <w:tcPr>
            <w:tcW w:w="57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180" w:afterAutospacing="0" w:line="450" w:lineRule="atLeast"/>
              <w:ind w:left="0" w:right="0"/>
              <w:jc w:val="center"/>
              <w:rPr>
                <w:b/>
                <w:bCs/>
                <w:color w:val="333333"/>
                <w:sz w:val="24"/>
                <w:szCs w:val="24"/>
              </w:rPr>
            </w:pPr>
            <w:r>
              <w:rPr>
                <w:rFonts w:hint="eastAsia" w:ascii="宋体" w:hAnsi="宋体" w:eastAsia="宋体" w:cs="宋体"/>
                <w:b/>
                <w:bCs/>
                <w:color w:val="333333"/>
                <w:sz w:val="19"/>
                <w:szCs w:val="19"/>
              </w:rPr>
              <w:t> 0</w:t>
            </w:r>
          </w:p>
        </w:tc>
        <w:tc>
          <w:tcPr>
            <w:tcW w:w="113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keepNext w:val="0"/>
              <w:keepLines w:val="0"/>
              <w:widowControl/>
              <w:suppressLineNumbers w:val="0"/>
              <w:spacing w:before="0" w:beforeAutospacing="0" w:after="0" w:afterAutospacing="0" w:line="450" w:lineRule="atLeast"/>
              <w:ind w:left="0" w:right="0"/>
              <w:rPr>
                <w:b/>
                <w:bCs/>
                <w:color w:val="333333"/>
                <w:sz w:val="24"/>
                <w:szCs w:val="24"/>
              </w:rPr>
            </w:pPr>
            <w:r>
              <w:rPr>
                <w:rFonts w:hint="eastAsia" w:ascii="宋体" w:hAnsi="宋体" w:eastAsia="宋体" w:cs="宋体"/>
                <w:b/>
                <w:bCs/>
                <w:color w:val="333333"/>
                <w:sz w:val="24"/>
                <w:szCs w:val="24"/>
              </w:rPr>
              <w:t>0</w:t>
            </w:r>
          </w:p>
        </w:tc>
      </w:tr>
    </w:tbl>
    <w:p>
      <w:pPr>
        <w:pStyle w:val="4"/>
        <w:keepNext w:val="0"/>
        <w:keepLines w:val="0"/>
        <w:widowControl/>
        <w:suppressLineNumbers w:val="0"/>
        <w:shd w:val="clear" w:fill="FFFFFF"/>
        <w:wordWrap w:val="0"/>
        <w:spacing w:before="300" w:beforeAutospacing="0" w:after="0" w:afterAutospacing="0" w:line="450" w:lineRule="atLeast"/>
        <w:ind w:left="256" w:right="0" w:firstLine="420"/>
        <w:jc w:val="both"/>
        <w:rPr>
          <w:rStyle w:val="7"/>
          <w:rFonts w:hint="eastAsia" w:ascii="黑体" w:hAnsi="宋体" w:eastAsia="黑体" w:cs="黑体"/>
          <w:b/>
          <w:color w:val="333333"/>
          <w:sz w:val="31"/>
          <w:szCs w:val="31"/>
          <w:shd w:val="clear" w:fill="FFFFFF"/>
        </w:rPr>
      </w:pPr>
    </w:p>
    <w:p>
      <w:pPr>
        <w:pStyle w:val="4"/>
        <w:keepNext w:val="0"/>
        <w:keepLines w:val="0"/>
        <w:widowControl/>
        <w:suppressLineNumbers w:val="0"/>
        <w:shd w:val="clear" w:fill="FFFFFF"/>
        <w:wordWrap w:val="0"/>
        <w:spacing w:before="300" w:beforeAutospacing="0" w:after="0" w:afterAutospacing="0" w:line="450" w:lineRule="atLeast"/>
        <w:ind w:left="256" w:right="0" w:firstLine="420"/>
        <w:jc w:val="both"/>
        <w:rPr>
          <w:rFonts w:hint="eastAsia" w:ascii="方正黑体简体" w:hAnsi="方正黑体简体" w:eastAsia="方正黑体简体" w:cs="方正黑体简体"/>
          <w:color w:val="000000" w:themeColor="text1"/>
          <w:sz w:val="32"/>
          <w:szCs w:val="32"/>
          <w14:textFill>
            <w14:solidFill>
              <w14:schemeClr w14:val="tx1"/>
            </w14:solidFill>
          </w14:textFill>
        </w:rPr>
      </w:pPr>
      <w:r>
        <w:rPr>
          <w:rStyle w:val="7"/>
          <w:rFonts w:hint="eastAsia" w:ascii="方正黑体简体" w:hAnsi="方正黑体简体" w:eastAsia="方正黑体简体" w:cs="方正黑体简体"/>
          <w:b/>
          <w:color w:val="000000" w:themeColor="text1"/>
          <w:sz w:val="32"/>
          <w:szCs w:val="32"/>
          <w:shd w:val="clear" w:fill="FFFFFF"/>
          <w14:textFill>
            <w14:solidFill>
              <w14:schemeClr w14:val="tx1"/>
            </w14:solidFill>
          </w14:textFill>
        </w:rPr>
        <w:t>五、存在的主要问题及改进情况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2020年存在的主要问题：一是是政务信息公开的主动性还不够强，对政府信息公开重要性的认识仍需进一步提高。二是目前本机关政策解读仍以图片和文字解读为主，政策解读的形式有待于进一步丰富。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今后的工作中，我们将认真按照市政府的各项要求，做好以下几项工作：一是明确责任，进一步做好《中华人民共和国政府信息公开条例》的实施工作，持续将政府信息公开工作纳入考核项目，进一步做好全市教育系统信息公开工作；二是加强管理，进一步增强信息公开工作实效；三是加大宣传，提高信息公开的社会参与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黑体简体" w:hAnsi="方正黑体简体" w:eastAsia="方正黑体简体" w:cs="方正黑体简体"/>
          <w:b/>
          <w:bCs/>
          <w:sz w:val="32"/>
          <w:szCs w:val="32"/>
        </w:rPr>
      </w:pPr>
      <w:r>
        <w:rPr>
          <w:rFonts w:hint="eastAsia" w:ascii="方正黑体简体" w:hAnsi="方正黑体简体" w:eastAsia="方正黑体简体" w:cs="方正黑体简体"/>
          <w:b/>
          <w:bCs/>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市教育局高度重视人大建议政协提案的办理工作，每年都将建议提案的办理列入重要议事日程，将认真办理人大建议政协提案作为拉近与人大代表政协委员了解教育支持教育的重要工作，努力提高人民群众对教育工作的满意度。2020年市教育局共收到人大建议20件，政协提案49件，已经全部完成面对面答复，办结率100%。</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市教育局扎实推动直属各单位、市直各学校的信息公开工作，截至2020年12月31日, 直属各单位、市直各学校主动公开信息8132条，其中，在网站公开信息4121条，济宁微教育、美篇、济宁日报、济宁晚报等发布信息4011条，所公开的信息主要涵盖了学校概况、现行规章、学校发展规划与计划、教学科研管理、财务与资产管理、党的建设、党风廉政建设、干部人事与人才工作、基本建设与维修工程、招生工作、学校收费、学生工作、教职工管理与权益保障、安全管理制度、应急预案、其他事项等16个方面的内容,及时公开了群众关心的教育工作情况，搭建了家校合育的新桥梁。</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hint="eastAsia" w:ascii="Times New Roman" w:hAnsi="Times New Roman" w:eastAsia="方正仿宋简体" w:cs="Times New Roman"/>
          <w:b/>
          <w:bCs/>
          <w:sz w:val="32"/>
          <w:szCs w:val="32"/>
          <w:lang w:eastAsia="zh-CN"/>
        </w:rPr>
      </w:pPr>
      <w:r>
        <w:rPr>
          <w:rFonts w:hint="eastAsia" w:ascii="Times New Roman" w:hAnsi="Times New Roman" w:eastAsia="方正仿宋简体" w:cs="Times New Roman"/>
          <w:b/>
          <w:bCs/>
          <w:sz w:val="32"/>
          <w:szCs w:val="32"/>
          <w:lang w:val="en-US" w:eastAsia="zh-CN"/>
        </w:rPr>
        <w:t xml:space="preserve">                               </w:t>
      </w:r>
      <w:r>
        <w:rPr>
          <w:rFonts w:hint="eastAsia" w:ascii="Times New Roman" w:hAnsi="Times New Roman" w:eastAsia="方正仿宋简体" w:cs="Times New Roman"/>
          <w:b/>
          <w:bCs/>
          <w:sz w:val="32"/>
          <w:szCs w:val="32"/>
          <w:lang w:eastAsia="zh-CN"/>
        </w:rPr>
        <w:t>济宁市教育局</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right"/>
        <w:textAlignment w:val="auto"/>
        <w:rPr>
          <w:rFonts w:hint="default" w:ascii="Times New Roman" w:hAnsi="Times New Roman" w:eastAsia="方正仿宋简体" w:cs="Times New Roman"/>
          <w:b/>
          <w:bCs/>
          <w:sz w:val="32"/>
          <w:szCs w:val="32"/>
          <w:lang w:val="en-US" w:eastAsia="zh-CN"/>
        </w:rPr>
      </w:pPr>
      <w:bookmarkStart w:id="0" w:name="_GoBack"/>
      <w:bookmarkEnd w:id="0"/>
      <w:r>
        <w:rPr>
          <w:rFonts w:hint="eastAsia" w:ascii="Times New Roman" w:hAnsi="Times New Roman" w:eastAsia="方正仿宋简体" w:cs="Times New Roman"/>
          <w:b/>
          <w:bCs/>
          <w:sz w:val="32"/>
          <w:szCs w:val="32"/>
          <w:lang w:val="en-US" w:eastAsia="zh-CN"/>
        </w:rPr>
        <w:t>2021年1月25日</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rPr>
                              <w:rFonts w:hint="eastAsia" w:eastAsiaTheme="minorEastAsia"/>
                              <w:lang w:eastAsia="zh-CN"/>
                            </w:rPr>
                          </w:pPr>
                          <w:r>
                            <w:rPr>
                              <w:rFonts w:hint="eastAsia" w:ascii="仿宋_GB2312" w:hAnsi="仿宋_GB2312" w:eastAsia="仿宋_GB2312" w:cs="仿宋_GB2312"/>
                              <w:b/>
                              <w:bCs/>
                              <w:sz w:val="28"/>
                              <w:szCs w:val="28"/>
                              <w:lang w:eastAsia="zh-CN"/>
                            </w:rPr>
                            <w:fldChar w:fldCharType="begin"/>
                          </w:r>
                          <w:r>
                            <w:rPr>
                              <w:rFonts w:hint="eastAsia" w:ascii="仿宋_GB2312" w:hAnsi="仿宋_GB2312" w:eastAsia="仿宋_GB2312" w:cs="仿宋_GB2312"/>
                              <w:b/>
                              <w:bCs/>
                              <w:sz w:val="28"/>
                              <w:szCs w:val="28"/>
                              <w:lang w:eastAsia="zh-CN"/>
                            </w:rPr>
                            <w:instrText xml:space="preserve"> PAGE  \* MERGEFORMAT </w:instrText>
                          </w:r>
                          <w:r>
                            <w:rPr>
                              <w:rFonts w:hint="eastAsia" w:ascii="仿宋_GB2312" w:hAnsi="仿宋_GB2312" w:eastAsia="仿宋_GB2312" w:cs="仿宋_GB2312"/>
                              <w:b/>
                              <w:bCs/>
                              <w:sz w:val="28"/>
                              <w:szCs w:val="28"/>
                              <w:lang w:eastAsia="zh-CN"/>
                            </w:rPr>
                            <w:fldChar w:fldCharType="separate"/>
                          </w:r>
                          <w:r>
                            <w:rPr>
                              <w:rFonts w:hint="eastAsia" w:ascii="仿宋_GB2312" w:hAnsi="仿宋_GB2312" w:eastAsia="仿宋_GB2312" w:cs="仿宋_GB2312"/>
                              <w:b/>
                              <w:bCs/>
                              <w:sz w:val="28"/>
                              <w:szCs w:val="28"/>
                              <w:lang w:eastAsia="zh-CN"/>
                            </w:rPr>
                            <w:t>1</w:t>
                          </w:r>
                          <w:r>
                            <w:rPr>
                              <w:rFonts w:hint="eastAsia" w:ascii="仿宋_GB2312" w:hAnsi="仿宋_GB2312" w:eastAsia="仿宋_GB2312" w:cs="仿宋_GB2312"/>
                              <w:b/>
                              <w:bCs/>
                              <w:sz w:val="28"/>
                              <w:szCs w:val="28"/>
                              <w:lang w:eastAsia="zh-CN"/>
                            </w:rPr>
                            <w:fldChar w:fldCharType="end"/>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C02fSzFAQAAawMAAA4AAAAAAAAAAQAgAAAAHgEAAGRycy9lMm9Eb2MueG1s&#10;UEsFBgAAAAAGAAYAWQEAAFUFAAAAAA==&#10;">
              <v:fill on="f" focussize="0,0"/>
              <v:stroke on="f"/>
              <v:imagedata o:title=""/>
              <o:lock v:ext="edit" aspectratio="f"/>
              <v:textbox inset="0mm,0mm,0mm,0mm" style="mso-fit-shape-to-text:t;">
                <w:txbxContent>
                  <w:p>
                    <w:pPr>
                      <w:pStyle w:val="2"/>
                      <w:rPr>
                        <w:rFonts w:hint="eastAsia" w:eastAsiaTheme="minorEastAsia"/>
                        <w:lang w:eastAsia="zh-CN"/>
                      </w:rPr>
                    </w:pPr>
                    <w:r>
                      <w:rPr>
                        <w:rFonts w:hint="eastAsia" w:ascii="仿宋_GB2312" w:hAnsi="仿宋_GB2312" w:eastAsia="仿宋_GB2312" w:cs="仿宋_GB2312"/>
                        <w:b/>
                        <w:bCs/>
                        <w:sz w:val="28"/>
                        <w:szCs w:val="28"/>
                        <w:lang w:eastAsia="zh-CN"/>
                      </w:rPr>
                      <w:fldChar w:fldCharType="begin"/>
                    </w:r>
                    <w:r>
                      <w:rPr>
                        <w:rFonts w:hint="eastAsia" w:ascii="仿宋_GB2312" w:hAnsi="仿宋_GB2312" w:eastAsia="仿宋_GB2312" w:cs="仿宋_GB2312"/>
                        <w:b/>
                        <w:bCs/>
                        <w:sz w:val="28"/>
                        <w:szCs w:val="28"/>
                        <w:lang w:eastAsia="zh-CN"/>
                      </w:rPr>
                      <w:instrText xml:space="preserve"> PAGE  \* MERGEFORMAT </w:instrText>
                    </w:r>
                    <w:r>
                      <w:rPr>
                        <w:rFonts w:hint="eastAsia" w:ascii="仿宋_GB2312" w:hAnsi="仿宋_GB2312" w:eastAsia="仿宋_GB2312" w:cs="仿宋_GB2312"/>
                        <w:b/>
                        <w:bCs/>
                        <w:sz w:val="28"/>
                        <w:szCs w:val="28"/>
                        <w:lang w:eastAsia="zh-CN"/>
                      </w:rPr>
                      <w:fldChar w:fldCharType="separate"/>
                    </w:r>
                    <w:r>
                      <w:rPr>
                        <w:rFonts w:hint="eastAsia" w:ascii="仿宋_GB2312" w:hAnsi="仿宋_GB2312" w:eastAsia="仿宋_GB2312" w:cs="仿宋_GB2312"/>
                        <w:b/>
                        <w:bCs/>
                        <w:sz w:val="28"/>
                        <w:szCs w:val="28"/>
                        <w:lang w:eastAsia="zh-CN"/>
                      </w:rPr>
                      <w:t>1</w:t>
                    </w:r>
                    <w:r>
                      <w:rPr>
                        <w:rFonts w:hint="eastAsia" w:ascii="仿宋_GB2312" w:hAnsi="仿宋_GB2312" w:eastAsia="仿宋_GB2312" w:cs="仿宋_GB2312"/>
                        <w:b/>
                        <w:bCs/>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E0B"/>
    <w:rsid w:val="00027305"/>
    <w:rsid w:val="005529B1"/>
    <w:rsid w:val="00C03E0B"/>
    <w:rsid w:val="00C66A22"/>
    <w:rsid w:val="00D9663E"/>
    <w:rsid w:val="00FD6619"/>
    <w:rsid w:val="1D230D33"/>
    <w:rsid w:val="37B0719F"/>
    <w:rsid w:val="5CBF2194"/>
    <w:rsid w:val="5F6E0E91"/>
    <w:rsid w:val="671910DE"/>
    <w:rsid w:val="7CE046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spacing w:before="100" w:beforeAutospacing="1" w:after="100" w:afterAutospacing="1"/>
      <w:jc w:val="left"/>
    </w:pPr>
    <w:rPr>
      <w:rFonts w:ascii="Calibri" w:hAnsi="Calibri" w:eastAsia="宋体" w:cs="Times New Roman"/>
      <w:kern w:val="0"/>
      <w:sz w:val="24"/>
      <w:szCs w:val="24"/>
    </w:rPr>
  </w:style>
  <w:style w:type="character" w:styleId="7">
    <w:name w:val="Strong"/>
    <w:basedOn w:val="6"/>
    <w:qFormat/>
    <w:uiPriority w:val="22"/>
    <w:rPr>
      <w:b/>
    </w:rPr>
  </w:style>
  <w:style w:type="paragraph" w:customStyle="1" w:styleId="8">
    <w:name w:val="样式1"/>
    <w:basedOn w:val="1"/>
    <w:uiPriority w:val="0"/>
    <w:rPr>
      <w:rFonts w:asciiTheme="minorAscii" w:hAnsiTheme="minorAsci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64</Words>
  <Characters>367</Characters>
  <Lines>3</Lines>
  <Paragraphs>1</Paragraphs>
  <TotalTime>38</TotalTime>
  <ScaleCrop>false</ScaleCrop>
  <LinksUpToDate>false</LinksUpToDate>
  <CharactersWithSpaces>430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2021-06-21T01:13:00Z</dcterms:created>
  <dc:creator>微软用户</dc:creator>
  <cp:lastModifiedBy>一木果木又寸1396328652</cp:lastModifiedBy>
  <dcterms:modified xsi:type="dcterms:W3CDTF">2021-06-21T02:59:35Z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y fmtid="{D5CDD505-2E9C-101B-9397-08002B2CF9AE}" pid="3" name="KSOSaveFontToCloudKey">
    <vt:lpwstr>702540993_cloud</vt:lpwstr>
  </property>
</Properties>
</file>