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CB3A5"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济宁市大数据局</w:t>
      </w:r>
    </w:p>
    <w:p w14:paraId="2A537204">
      <w:pPr>
        <w:pStyle w:val="3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eastAsia" w:ascii="微软雅黑" w:hAnsi="微软雅黑" w:eastAsia="微软雅黑" w:cs="微软雅黑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2024年政府信息公开工作年度报告</w:t>
      </w:r>
    </w:p>
    <w:p w14:paraId="605614C8"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</w:rPr>
      </w:pPr>
    </w:p>
    <w:p w14:paraId="04CE3356">
      <w:pPr>
        <w:pStyle w:val="3"/>
        <w:widowControl/>
        <w:spacing w:before="0" w:beforeAutospacing="0" w:after="0" w:afterAutospacing="0" w:line="585" w:lineRule="atLeast"/>
        <w:ind w:firstLine="630"/>
        <w:jc w:val="both"/>
        <w:rPr>
          <w:rStyle w:val="6"/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本报告由济宁市大数据局按照《中华人民共和国政府信息公开条例》（以下简称《条例》）和《中华人民共和国政府信息公开工作年度报告格式》（国办公开办函〔2021〕30号）要求编制。</w:t>
      </w:r>
    </w:p>
    <w:p w14:paraId="138DE450">
      <w:pPr>
        <w:pStyle w:val="3"/>
        <w:widowControl/>
        <w:spacing w:before="0" w:beforeAutospacing="0" w:after="0" w:afterAutospacing="0" w:line="585" w:lineRule="atLeast"/>
        <w:ind w:firstLine="630"/>
        <w:jc w:val="both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7AD4C8D5">
      <w:pPr>
        <w:pStyle w:val="3"/>
        <w:widowControl/>
        <w:spacing w:before="0" w:beforeAutospacing="0" w:after="0" w:afterAutospacing="0" w:line="585" w:lineRule="atLeast"/>
        <w:ind w:firstLine="630"/>
        <w:jc w:val="both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本报告所列数据的统计期限自2024年1月1日起至2024年12月31日止。本报告电子版可在“中国·济宁”政府门户网站（https://www.jining.gov.cn/）查阅或下载。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shd w:val="clear" w:color="auto" w:fill="FFFFFF"/>
        </w:rPr>
        <w:t>如对本报告有疑问，请与</w:t>
      </w:r>
      <w:r>
        <w:rPr>
          <w:rStyle w:val="6"/>
          <w:rFonts w:hint="default" w:ascii="Times New Roman" w:hAnsi="Times New Roman" w:eastAsia="方正仿宋简体" w:cs="Times New Roman"/>
          <w:kern w:val="2"/>
          <w:sz w:val="32"/>
          <w:szCs w:val="32"/>
        </w:rPr>
        <w:t>济宁市大数据局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shd w:val="clear" w:color="auto" w:fill="FFFFFF"/>
        </w:rPr>
        <w:t>联系（地址：济宁市太白湖新区省运会指挥中心，联系电话：0537-2969109）。</w:t>
      </w:r>
    </w:p>
    <w:p w14:paraId="3B5A949C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一、总体情况</w:t>
      </w:r>
    </w:p>
    <w:p w14:paraId="28CB34D1">
      <w:pPr>
        <w:numPr>
          <w:ilvl w:val="0"/>
          <w:numId w:val="1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主动公开情况</w:t>
      </w:r>
    </w:p>
    <w:p w14:paraId="37CCD580">
      <w:pPr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2024年以来，我局坚持把政务公开工作作为优化政务环境、提升机关效能的一项重要工作来抓，不断加强组织领导，优化工作思路，强化推进措施，狠抓落实，较好完成了2024年政务公开工作，逐步形成“公开为常态、不公开为例外”的良好局面。2024年通过市人民政府门户网站主动公开政府信息19条。同时，及时将领导简介及分工、机构概况、内设机构设置、政府信息公开指南、依申请公开指南、依申请公开流程图在政府网站上公开并更新。</w:t>
      </w:r>
    </w:p>
    <w:p w14:paraId="36C49F36">
      <w:pPr>
        <w:numPr>
          <w:ilvl w:val="0"/>
          <w:numId w:val="1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依申请公开情况</w:t>
      </w:r>
    </w:p>
    <w:p w14:paraId="304E5CA9">
      <w:pPr>
        <w:ind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2024年，我局无依申请公开事项。</w:t>
      </w:r>
    </w:p>
    <w:p w14:paraId="6A5318B2">
      <w:pPr>
        <w:numPr>
          <w:ilvl w:val="0"/>
          <w:numId w:val="1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政府信息管理情况</w:t>
      </w:r>
    </w:p>
    <w:p w14:paraId="405FE0ED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对照公开要求细致全面公开内容，动态更新市大数据局主动公开基本目录。规范信息发布审查机制，严格落实政府信息发布审查制度，不断规范局信息公开发布流程，做好网站信息检查，把严信息发布保密关、质量关。加强信息宣传培训，进一步提升信息公开工作水平，提升信息公开质量。</w:t>
      </w:r>
    </w:p>
    <w:p w14:paraId="3AD0FBC4">
      <w:pPr>
        <w:numPr>
          <w:ilvl w:val="0"/>
          <w:numId w:val="1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政府信息公开平台建设情况</w:t>
      </w:r>
    </w:p>
    <w:p w14:paraId="6441106C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我局依托济宁市政府信息公开平台，规范推进政府信息公开工作，及时公开应主动公开的信息。为做好内容保障工作，明确专人负责政府信息公开平台的日常维护工作，定期开展清理排查,确保信息公开的准确性和时效性。</w:t>
      </w:r>
    </w:p>
    <w:p w14:paraId="3FE8303B">
      <w:pPr>
        <w:numPr>
          <w:ilvl w:val="0"/>
          <w:numId w:val="1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监督保障情况</w:t>
      </w:r>
    </w:p>
    <w:p w14:paraId="254FAE31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切实加强政府信息公开工作制度建设,规范工作程序，明确业务科室职责，督促各科室落实各项公开内容，不断提升政府信息公开水平。积极参加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2024年全市政务公开工作推进暨培训会议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等信息公开的学习培训，提高工作人员的业务能力，确保政府信息公开工作有序、规范开展。</w:t>
      </w:r>
    </w:p>
    <w:p w14:paraId="0DA07F68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二、主动公开政府信息情况</w:t>
      </w:r>
    </w:p>
    <w:p w14:paraId="7C15893B"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</w:rPr>
      </w:pPr>
    </w:p>
    <w:tbl>
      <w:tblPr>
        <w:tblStyle w:val="4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08B9EF81"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391A3823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53AC8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40EE0E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2013EF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71979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545726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14:paraId="2744A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44CB0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CB4CBA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957E9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E710DD">
            <w:pPr>
              <w:widowControl/>
              <w:jc w:val="left"/>
              <w:rPr>
                <w:b/>
              </w:rPr>
            </w:pPr>
            <w:r>
              <w:rPr>
                <w:rFonts w:cs="Calibri"/>
                <w:b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14:paraId="110F4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F8BC0A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74BF9E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7FC425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083182">
            <w:pPr>
              <w:widowControl/>
              <w:jc w:val="left"/>
              <w:rPr>
                <w:b/>
              </w:rPr>
            </w:pPr>
            <w:r>
              <w:rPr>
                <w:rFonts w:cs="Calibri"/>
                <w:b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14:paraId="3744FD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061831C1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47D06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CFACDF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B127F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68515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7FE831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34D191">
            <w:pPr>
              <w:widowControl/>
              <w:jc w:val="left"/>
              <w:rPr>
                <w:b/>
              </w:rPr>
            </w:pPr>
            <w:r>
              <w:rPr>
                <w:rFonts w:cs="Calibri"/>
                <w:b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14:paraId="67C4FF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6B31C6C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44911D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13C7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3452D5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508015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88BE5B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91DFD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0</w:t>
            </w:r>
          </w:p>
        </w:tc>
      </w:tr>
      <w:tr w14:paraId="6E326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C1D6D2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22ED97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　0</w:t>
            </w:r>
          </w:p>
        </w:tc>
      </w:tr>
      <w:tr w14:paraId="33870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3A7861D0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5B4DA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3BB714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A7FCF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046839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10C8C9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BF72BE">
            <w:pPr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0</w:t>
            </w:r>
          </w:p>
        </w:tc>
      </w:tr>
    </w:tbl>
    <w:p w14:paraId="0FE3E930">
      <w:pPr>
        <w:pStyle w:val="3"/>
        <w:widowControl/>
        <w:shd w:val="clear" w:color="auto" w:fill="FFFFFF"/>
        <w:spacing w:before="0" w:beforeAutospacing="0" w:after="0" w:afterAutospacing="0"/>
        <w:jc w:val="both"/>
        <w:rPr>
          <w:rFonts w:hint="eastAsia" w:ascii="黑体" w:hAnsi="黑体" w:eastAsia="黑体" w:cs="黑体"/>
          <w:b/>
          <w:sz w:val="32"/>
          <w:szCs w:val="32"/>
          <w:shd w:val="clear" w:color="auto" w:fill="FFFFFF"/>
        </w:rPr>
      </w:pPr>
    </w:p>
    <w:p w14:paraId="6E49B5AE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三、收到和处理政府信息公开申请情况</w:t>
      </w:r>
    </w:p>
    <w:p w14:paraId="0A353871">
      <w:pPr>
        <w:pStyle w:val="3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b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0"/>
        <w:gridCol w:w="698"/>
        <w:gridCol w:w="687"/>
        <w:gridCol w:w="687"/>
        <w:gridCol w:w="687"/>
        <w:gridCol w:w="687"/>
        <w:gridCol w:w="687"/>
        <w:gridCol w:w="696"/>
      </w:tblGrid>
      <w:tr w14:paraId="4389B2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DBA4B4">
            <w:pPr>
              <w:widowControl/>
              <w:jc w:val="left"/>
              <w:rPr>
                <w:b/>
              </w:rPr>
            </w:pPr>
            <w:r>
              <w:rPr>
                <w:rFonts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40310E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3ACB6C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68831B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2DC4E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C7EBB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84F4FB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385FBB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70F917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FB82C4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F00AF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商业</w:t>
            </w:r>
          </w:p>
          <w:p w14:paraId="682A1C3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0968DC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科研</w:t>
            </w:r>
          </w:p>
          <w:p w14:paraId="64A796F6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A65AD3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01BD3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475CBF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263EC7">
            <w:pPr>
              <w:rPr>
                <w:rFonts w:hint="eastAsia" w:ascii="宋体"/>
                <w:b/>
                <w:sz w:val="24"/>
              </w:rPr>
            </w:pPr>
          </w:p>
        </w:tc>
      </w:tr>
      <w:tr w14:paraId="044C91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F1B1F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5EF4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DC3B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FD60F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844E7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0F9256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4C259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970612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D503A5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D912D3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691E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AE5E7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31F2FD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1ACFE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4098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B60D7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135D8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03AFE8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0B0601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975C56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B2FE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39F98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784C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BB995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88E7E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151DD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1024F8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0AD9E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3332F9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5C874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b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E0012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BD1D4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2ABB14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2416B6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9693C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093FB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FCD218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070D3A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406435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7A81AA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22E26E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52788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B187FA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8167F6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8DC59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7E527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192184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91542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12117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13853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608DB2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A66A82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5696BE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EF1D0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94FFC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B9F302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C3FF1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EA122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83855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9BE7F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817BF5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8E09ED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83C41F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E94A76">
            <w:pPr>
              <w:widowControl/>
              <w:ind w:firstLine="201" w:firstLineChars="100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414A6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6CA6BE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0BD4F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C4F92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4EE11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0CC7E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C011E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D7242C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5CF5F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867126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06A353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F0235C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421495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D3DC8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6E4AD7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75F8E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045C7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58045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C1E3B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9A3B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FC0755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6DB82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B2A83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9EC6D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B6C0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233ED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C913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82F11B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23CFC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ABB2D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C4CF4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9832E7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9E386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05419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0BE50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6CB20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E3CC0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AA183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D030E0D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2EF33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794EB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1D7904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9667EF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276BB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A15A1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CC2532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D0E9E2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D2072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E7E0C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942CD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42DE8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441D17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33C7F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158404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61CDD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55E76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C9F4C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B9485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77B21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1B8FC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4626D1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C03A9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8D4310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8A438C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2614DE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69CB5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7ECD7F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24F8D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06E64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5358D9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1A17A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645D0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739844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31A36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F041DE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C76D79B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8A3E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0196389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759215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582A2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6581B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2C7F0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5369C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D0B251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B09139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A200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DEF794B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590E4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B4F41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D05B08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35CF3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90910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E365B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F20678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C98A7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BAFEA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7CF252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B83C33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E291A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CCFE0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36810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77EC5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F4EAE38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7EBC69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5DE798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D2FE6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3FC79B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25861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BF5589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6D57C4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1BDE1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3F0365E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3D732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F7BC5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27DF9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E7524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4FED8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648FA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081AE3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338449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06700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D89025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58B58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D0CDE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DD88B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CA259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2B614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0D719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F84362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DB5CB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0CD424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685D4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4B8269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6FFCC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2FED1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AA54B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804568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78B3E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BB10A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0B331D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60334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C6A98">
            <w:pPr>
              <w:widowControl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0D9AB8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5C9CE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0F81B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ACCE3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3401E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5F2571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22E935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0FDAC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22B017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9838A8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E1BBCA">
            <w:pPr>
              <w:widowControl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3F512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36569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885417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37E0F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3D617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DCEA1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A419350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AA80F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2824A5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350590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E60B8">
            <w:pPr>
              <w:widowControl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E21E7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7B2E5F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6D9F0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D2197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C3B6B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50EF2D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283172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A1345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77555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FE078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8B79CB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3478A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0257F1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0983F4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B74533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1F064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83389A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18522E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4F1753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D553C8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132925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FDB58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08C0F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BAFF6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F609C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3AAED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11ADC9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A94533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9DB35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8FCA4C">
            <w:pPr>
              <w:widowControl/>
              <w:jc w:val="left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8DEA07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E6436B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E0180D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1FFE3C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752713">
            <w:pPr>
              <w:widowControl/>
              <w:jc w:val="center"/>
              <w:rPr>
                <w:b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084D3">
            <w:pPr>
              <w:widowControl/>
              <w:jc w:val="center"/>
              <w:rPr>
                <w:b/>
              </w:rPr>
            </w:pPr>
            <w:r>
              <w:rPr>
                <w:rFonts w:hint="eastAsia" w:cs="Calibri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6F0586">
            <w:pPr>
              <w:ind w:firstLine="241" w:firstLineChars="1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0</w:t>
            </w:r>
          </w:p>
        </w:tc>
      </w:tr>
    </w:tbl>
    <w:p w14:paraId="72DC8816">
      <w:pPr>
        <w:widowControl/>
        <w:shd w:val="clear" w:color="auto" w:fill="FFFFFF"/>
        <w:jc w:val="center"/>
        <w:rPr>
          <w:rFonts w:hint="eastAsia" w:ascii="宋体" w:hAnsi="宋体" w:cs="宋体"/>
          <w:b/>
          <w:sz w:val="24"/>
        </w:rPr>
      </w:pPr>
    </w:p>
    <w:p w14:paraId="3842472E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四、政府信息公开行政复议、行政诉讼情况</w:t>
      </w:r>
    </w:p>
    <w:p w14:paraId="4F9C5AA6">
      <w:pPr>
        <w:widowControl/>
        <w:shd w:val="clear" w:color="auto" w:fill="FFFFFF"/>
        <w:jc w:val="center"/>
        <w:rPr>
          <w:rFonts w:hint="eastAsia" w:ascii="宋体" w:hAnsi="宋体" w:cs="宋体"/>
          <w:b/>
          <w:sz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ACBFB5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B79BFA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D80FF4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08A42B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376F74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45E24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A86CCB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71D7E0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3EBE4C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E46557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1DD7F5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55A9BA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982A3C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BB74BD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DD69E4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B3BD26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085C7A">
            <w:pPr>
              <w:rPr>
                <w:rFonts w:hint="eastAsia" w:ascii="宋体"/>
                <w:b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E547BC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258F95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864730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CFF549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5DFF5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7D540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209784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725553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F6786E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A3FD4D">
            <w:pPr>
              <w:widowControl/>
              <w:jc w:val="center"/>
              <w:rPr>
                <w:b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2CA694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DB7D50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0987F3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B0F5A2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79408D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EA9D41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1EC5F0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AA9B011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D66F83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2E6CF8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F5314A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C23D52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8E5F2C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B02F51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7E42A8">
            <w:pPr>
              <w:widowControl/>
              <w:jc w:val="center"/>
              <w:rPr>
                <w:b/>
              </w:rPr>
            </w:pPr>
            <w:r>
              <w:rPr>
                <w:rFonts w:hint="eastAsia" w:ascii="黑体" w:hAnsi="宋体" w:eastAsia="黑体" w:cs="黑体"/>
                <w:b/>
                <w:kern w:val="0"/>
                <w:sz w:val="20"/>
                <w:szCs w:val="20"/>
                <w:lang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0FF1FD">
            <w:pPr>
              <w:rPr>
                <w:rFonts w:hint="eastAsia"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0</w:t>
            </w:r>
          </w:p>
        </w:tc>
      </w:tr>
    </w:tbl>
    <w:p w14:paraId="4D82C783">
      <w:pPr>
        <w:widowControl/>
        <w:jc w:val="left"/>
        <w:rPr>
          <w:b/>
        </w:rPr>
      </w:pPr>
    </w:p>
    <w:p w14:paraId="1130223F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五、存在的主要问题及改进情况</w:t>
      </w:r>
    </w:p>
    <w:p w14:paraId="0E21D6AB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我局2024年政府信息公开工作存在的问题：对政府信息公开的认识还有待提升，政务公开业务培训还需要进一步加强。下一步，我局将紧紧围绕市政府重点工作，不断提升政务公开能力和水平，强化政务公开意识，确保高质量完成年度工作目标，提升全市大数据工作领域政务公开质量。</w:t>
      </w:r>
    </w:p>
    <w:p w14:paraId="236BA125">
      <w:pPr>
        <w:pStyle w:val="3"/>
        <w:widowControl/>
        <w:shd w:val="clear" w:color="auto" w:fill="FFFFFF"/>
        <w:spacing w:before="0" w:beforeAutospacing="0" w:after="0" w:afterAutospacing="0"/>
        <w:ind w:firstLine="640" w:firstLineChars="200"/>
        <w:jc w:val="both"/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b w:val="0"/>
          <w:bCs/>
          <w:sz w:val="32"/>
          <w:szCs w:val="32"/>
          <w:shd w:val="clear" w:color="auto" w:fill="FFFFFF"/>
        </w:rPr>
        <w:t>六、其他需要报告的事项</w:t>
      </w:r>
    </w:p>
    <w:bookmarkEnd w:id="0"/>
    <w:p w14:paraId="2FEAA32E">
      <w:pPr>
        <w:numPr>
          <w:ilvl w:val="0"/>
          <w:numId w:val="2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依据《政府信息公开信息处理费管理办法》收取信息处理费的情况</w:t>
      </w:r>
    </w:p>
    <w:p w14:paraId="2A7FBE15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我局2024年未收取信息处理费。</w:t>
      </w:r>
    </w:p>
    <w:p w14:paraId="254BFFDF">
      <w:pPr>
        <w:numPr>
          <w:ilvl w:val="0"/>
          <w:numId w:val="2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本行政机关落实上级年度政务公开工作要点情况</w:t>
      </w:r>
    </w:p>
    <w:p w14:paraId="42224341">
      <w:pPr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 xml:space="preserve"> 市大数据局严格按照《济宁市人民政府办公室关于印发济宁市贯彻落实2024年山东省政务公开工作要点任务分解表的通知》要求，按照2024年济宁市政务公开重点工作任务清单认真实施。履行政务公开法定职责，依托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市政府政务公开平台、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局网站、“济宁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大数据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”微信公众号等渠道，多方式开展主动公开工作，提高工作透明度，圆满完成各项政务公开工作任务。</w:t>
      </w:r>
    </w:p>
    <w:p w14:paraId="6AC1C02A">
      <w:pPr>
        <w:numPr>
          <w:ilvl w:val="0"/>
          <w:numId w:val="2"/>
        </w:numPr>
        <w:ind w:firstLine="643" w:firstLineChars="200"/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</w:pPr>
      <w:r>
        <w:rPr>
          <w:rStyle w:val="6"/>
          <w:rFonts w:hint="eastAsia" w:ascii="方正楷体简体" w:hAnsi="方正楷体简体" w:eastAsia="方正楷体简体" w:cs="方正楷体简体"/>
          <w:sz w:val="32"/>
          <w:szCs w:val="32"/>
        </w:rPr>
        <w:t>本行政机关人大代表建议和政协提案办理结果公开情况</w:t>
      </w:r>
    </w:p>
    <w:p w14:paraId="6F8397FD">
      <w:pPr>
        <w:ind w:firstLine="643" w:firstLineChars="200"/>
        <w:rPr>
          <w:rFonts w:hint="eastAsia" w:ascii="Times New Roman" w:hAnsi="Times New Roman" w:eastAsia="方正仿宋简体" w:cs="Times New Roman"/>
          <w:b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</w:rPr>
        <w:t>2024年，济宁市大数据局共办理市级人大代表建议、政协提案1件，其中人大代表建议0件，政协提案1件，所有建议提案均在规定期限内办理回复完毕，问题解决率100%，代表委员满意率100%。</w:t>
      </w:r>
    </w:p>
    <w:p w14:paraId="3835248F">
      <w:pPr>
        <w:rPr>
          <w:b/>
        </w:rPr>
      </w:pPr>
    </w:p>
    <w:p w14:paraId="3DDE868F"/>
    <w:p w14:paraId="75C1D5B7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繁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FFDF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22F22A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2F22A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784194"/>
    <w:multiLevelType w:val="singleLevel"/>
    <w:tmpl w:val="C978419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ACE6D5E"/>
    <w:multiLevelType w:val="singleLevel"/>
    <w:tmpl w:val="FACE6D5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C74647"/>
    <w:rsid w:val="17D64F6F"/>
    <w:rsid w:val="1AEB63FE"/>
    <w:rsid w:val="43E63B53"/>
    <w:rsid w:val="532319B6"/>
    <w:rsid w:val="55254864"/>
    <w:rsid w:val="638F23EB"/>
    <w:rsid w:val="7DCC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2025-01-24T02:59:27Z</dcterms:created>
  <dc:creator>dell</dc:creator>
  <cp:lastModifiedBy>dell</cp:lastModifiedBy>
  <dcterms:modified xsi:type="dcterms:W3CDTF">2025-01-24T03:03:22Z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eyJoZGlkIjoiOTgxZDkwNGNiZmNlOTkwMzBjMzZkOTNhNmJkNTkwNmIifQ==</vt:lpwstr>
  </property>
  <property fmtid="{D5CDD505-2E9C-101B-9397-08002B2CF9AE}" pid="4" name="ICV">
    <vt:lpwstr>195E041091DE4847935FFCECA1FA1023_12</vt:lpwstr>
  </property>
</Properties>
</file>