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6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济政办字〔2023〕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6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.3pt;height:0pt;width:430.85pt;z-index:251659264;mso-width-relative:page;mso-height-relative:page;" filled="f" stroked="t" coordsize="21600,21600" o:gfxdata="UEsFBgAAAAAAAAAAAAAAAAAAAAAAAFBLAwQKAAAAAACHTuJAAAAAAAAAAAAAAAAABAAAAGRycy9Q SwMEFAAAAAgAh07iQCaHRzrUAAAABgEAAA8AAABkcnMvZG93bnJldi54bWxNj8FOwzAQRO9I/IO1 SNyokwqlJcSpEBKc4NBSDtyceIkD8Tqy3ST8PYs4wHFmVjNvq93iBjFhiL0nBfkqA4HUetNTp+D4 8nC1BRGTJqMHT6jgCyPs6vOzSpfGz7TH6ZA6wSUUS63ApjSWUsbWotNx5Uckzt59cDqxDJ00Qc9c 7ga5zrJCOt0TL1g94r3F9vNwcgqun16bcQ727bh/XDY3uMzT88edUpcXeXYLIuGS/o7hB5/RoWam xp/IRDEo4EcSu+sCBKfbIt+AaH4NWVfyP379DVBLAwQUAAAACACHTuJAiZ6v/LwBAACAAwAADgAA AGRycy9lMm9Eb2MueG1srVPLbhsxDLwX6D8Iute7NpK6XXidQxz3EqQG2n4ArceuAL0gql7770PJ jtO0l6KoDzIlkkPOkLu6OzrLDiqhCb7n81nLmfIiSOOHnv/4vv3wiTPM4CXY4FXPTwr53fr9u9UU O7UIY7BSJUYgHrsp9nzMOXZNg2JUDnAWovLk1CE5yHRNQyMTTITubLNo24/NFJKMKQiFSK+bs5Ov K77WSuSvWqPKzPacesv1TPXcl7NZr6AbEsTRiEsb8A9dODCeil6hNpCB/UzmDyhnRAoYdJ6J4Jqg tRGqciA28/Y3Nt9GiKpyIXEwXmXC/wcrng67xIzs+YIzD45G9Gi8YjdFmSliRwH3fpcuN4y7VGge dXLlnwiwY1XzdFVTHTMT9Hh7s5wvP99yJl58zWtiTJi/qOBYMXpuqWbVDw6PmKkYhb6ElDrWs4nW a7FsaYgCaFG0hUymi9Q6+qEmY7BGbo21JQXTsL+3iR2ARr/dtvQrnAj4TVipsgEcz3HVdV6KUYF8 8JLlUyRRPG0vLz04JTmzipa9WAQIXQZj/yaSSltPHRRZz0IWax/kqepb32nMtcfLSpY9+vVes18/ nPUzUEsDBAoAAAAAAIdO4kAAAAAAAAAAAAAAAAAGAAAAX3JlbHMvUEsDBBQAAAAIAIdO4kCKFGY8 0QAAAJQBAAALAAAAX3JlbHMvLnJlbHOlkMFqwzAMhu+DvYPRfXGawxijTi+j0GvpHsDYimMaW0Yy 2fr28w6DZfS2o36h7xP//vCZFrUiS6RsYNf1oDA78jEHA++X49MLKKk2e7tQRgM3FDiMjw/7My62 tiOZYxHVKFkMzLWWV63FzZisdFQwt81EnGxtIwddrLvagHro+2fNvxkwbpjq5A3wyQ+gLrfSzH/Y KTomoal2jpKmaYruHlUHtmWO7sg24Ru5RrMcsBrwLBoHalnXfgR9X7/7p97TRz7jutV+h4zrj1dv uhy/AFBLAwQUAAAACACHTuJAfublIPcAAADhAQAAEwAAAFtDb250ZW50X1R5cGVzXS54bWyVkUFO wzAQRfdI3MHyFiVOu0AIJemCtEtAqBxgZE8Si2RseUxob4+TthtEkVjaM/+/J7vcHMZBTBjYOqrk Ki+kQNLOWOoq+b7fZQ9ScAQyMDjCSh6R5aa+vSn3R48sUpq4kn2M/lEp1j2OwLnzSGnSujBCTMfQ KQ/6AzpU66K4V9pRRIpZnDtkXTbYwucQxfaQrk8mAQeW4um0OLMqCd4PVkNMpmoi84OSnQl5Si47 3FvPd0lDql8J8+Q64Jx7SU8TrEHxCiE+w5g0lAmsjPuigFP+d8lsOXLm2tZqzJvATYq94XSxutaO a9c4/d/y7ZK6dKvlg+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/y8AQAAgAMAAA4AAAAAAAAAAQAgAAAA OQEAAGRycy9lMm9Eb2MueG1sUEsFBgAAAAAGAAYAWQEAAGc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济宁市人民政府办公室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1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关于印发2023年全市政府系统调研课题的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  知</w:t>
      </w:r>
      <w:bookmarkEnd w:id="1"/>
    </w:p>
    <w:p>
      <w:pPr>
        <w:spacing w:line="600" w:lineRule="exact"/>
        <w:rPr>
          <w:rFonts w:ascii="方正仿宋简体" w:hAnsi="文星仿宋" w:eastAsia="方正仿宋简体" w:cs="方正仿宋简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bookmarkStart w:id="2" w:name="Content"/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各县（市、区）人民政府，济宁高新区、太白湖新区、济宁经济技术开发区管委会，市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政府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有关部门、单位：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为全面落实市委经济工作会议、市“两会”和2023年高质量发展动员暨干部作风建设大会的部署要求，根据各县（市、区）政府（管委会）、市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政府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有关部门（单位）提报的调研课题计划，市政府研究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确定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了《2023年全市政府系统调研课题》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，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现印发给你们，请认真组织实施。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2023年共确定全市政府系统调研课题65个，其中市政府重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点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调研课题9个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、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专项调研课题56个，着重突出了对“九大战略”、重大问题和热点、难点问题的研究，基本涵盖了我市经济社会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  <w:lang w:bidi="ar"/>
        </w:rPr>
        <w:t>发展的主要领域。做好这些课题调研工作，对落实“争一流、争第一、争唯一”要求，服务各级党委、政府科学民主决策，促进全市经济高质量发展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与社会和谐稳定具有十分重要的意义。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各县（市、区）政府（管委会）、市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政府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有关部门（单位）要高度重视课题调研工作，加强领导、突出重点，针对每个课题分别制定调研方案，认真组织开展调研。课题实施中，严格遵守调研工作纪律，落实“严真细实快”工作作风，广泛听取各方面意见，真正把情况摸透、把症结找准，提出务实管用的对策建议，力争多出具有前瞻性和较强针对性、可操作性的高质量调研成果，切实发挥好调研服务决策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课题调研结束后，要按时限要求形成调研报告，及时报送市政府办公室。市政府办公室将定期对各县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（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、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区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）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、各部门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（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单位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）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组织实施课题计划情况进行督促，并优先从完成的计划课题中评选年度优秀调研成果。有重要决策参考价值的调研报告，将通过《决策参阅》专刊报市委、市政府领导参阅。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联系人：李斌，联系电话：2348206，电子邮箱：zhdyk9002@126.com。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附件：2023年全市政府系统调研课题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                       济宁市人民政府办公室      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                         2023年2月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21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日        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bookmarkStart w:id="3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bookmarkEnd w:id="3"/>
    <w:p>
      <w:pPr>
        <w:spacing w:line="600" w:lineRule="exact"/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  <w:t>附件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小标宋简体" w:hAnsi="文星仿宋" w:eastAsia="方正小标宋简体" w:cs="方正仿宋简体"/>
          <w:b/>
          <w:sz w:val="44"/>
          <w:szCs w:val="44"/>
          <w:lang w:bidi="ar"/>
        </w:rPr>
      </w:pPr>
      <w:r>
        <w:rPr>
          <w:rFonts w:hint="eastAsia" w:ascii="方正小标宋简体" w:hAnsi="文星仿宋" w:eastAsia="方正小标宋简体" w:cs="方正仿宋简体"/>
          <w:b/>
          <w:sz w:val="44"/>
          <w:szCs w:val="44"/>
          <w:lang w:bidi="ar"/>
        </w:rPr>
        <w:t>2023年全市政府系统调研课题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24" w:firstLineChars="200"/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  <w:t>一、市政府重</w:t>
      </w:r>
      <w:r>
        <w:rPr>
          <w:rFonts w:hint="eastAsia" w:ascii="方正黑体简体" w:hAnsi="文星仿宋" w:eastAsia="方正黑体简体" w:cs="方正仿宋简体"/>
          <w:b/>
          <w:sz w:val="32"/>
          <w:szCs w:val="32"/>
          <w:lang w:eastAsia="zh-CN" w:bidi="ar"/>
        </w:rPr>
        <w:t>点</w:t>
      </w:r>
      <w:r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  <w:t>调研课题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1. 税收视角下沿黄各地市高质量发展比较分析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牵头领导：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  <w:lang w:bidi="ar"/>
        </w:rPr>
        <w:t>于永生；承担单位：市税务局；完成时限：7月底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2. 南四湖流域生态保护联控问题及对策研究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牵头领导：王宏伟；承担单位：市南四湖流域管理办公室、市生态环境局；完成时限：6月底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3. 关于打造全省教育高地的对策建议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牵头领导：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  <w:lang w:bidi="ar"/>
        </w:rPr>
        <w:t>董冰；承担单位：市教育局；完成时限：6月底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4. 关于加快制造强市建设的调研报告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牵头领导：张胜明；承担单位：市制造强市建设指挥部；完成时限：6月底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5. 加快构建“精准警务”模式推进济宁公安现代化实践路径探析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牵头领导：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  <w:lang w:bidi="ar"/>
        </w:rPr>
        <w:t>李海洋；承担单位：市公安局；完成时限：6月底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6. 关于打造全省医疗高地的调查研究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牵头领导：白平和；承担单位：市卫生健康委；完成时限：7月底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7. 关于济宁市标准化创新发展的研究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牵头领导：张东；承担单位：市市场监管局；完成时限：6月底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8. 关于加强全市物业管理工作的对策与思考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牵头领导：宫晓芳；承担单位：市住房城乡建设局；完成时限：6月底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9. 关于全面注册制下加快推动企业上市的对策建议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牵头领导：刘东波；承担单位：市地方金融监管局；完成时限：7月底</w:t>
      </w:r>
    </w:p>
    <w:p>
      <w:pPr>
        <w:spacing w:line="600" w:lineRule="exact"/>
        <w:ind w:firstLine="624" w:firstLineChars="200"/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  <w:t>二、专项调研课题（市</w:t>
      </w:r>
      <w:r>
        <w:rPr>
          <w:rFonts w:hint="eastAsia" w:ascii="方正黑体简体" w:hAnsi="文星仿宋" w:eastAsia="方正黑体简体" w:cs="方正仿宋简体"/>
          <w:b/>
          <w:sz w:val="32"/>
          <w:szCs w:val="32"/>
          <w:lang w:eastAsia="zh-CN" w:bidi="ar"/>
        </w:rPr>
        <w:t>政府</w:t>
      </w:r>
      <w:r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  <w:t>部门、单位）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1. 济宁市扩内需促消费实现途径研究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承担单位：市发展改革委；完成时限：5月底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2. 城乡一体化背景下乡村教师专业发展路径研究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承担单位：市教育局；完成时限：5月底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3. 关于招引大院大所共建创新载体运行情况的调研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承担单位：市科技局；完成时限：6月底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4. 数字赋能制造业转型升级现状及对策研究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承担单位：市工业和信息化局；完成时限：6月底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pacing w:val="-4"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 xml:space="preserve">5. </w:t>
      </w:r>
      <w:r>
        <w:rPr>
          <w:rFonts w:hint="eastAsia" w:ascii="方正楷体简体" w:hAnsi="文星仿宋" w:eastAsia="方正楷体简体" w:cs="方正仿宋简体"/>
          <w:b/>
          <w:spacing w:val="-4"/>
          <w:sz w:val="32"/>
          <w:szCs w:val="32"/>
          <w:lang w:bidi="ar"/>
        </w:rPr>
        <w:t>关于“情指行”一体化合成作战“融”模式的实践与思考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承担单位：市公安局；完成时限：5月底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6. 推动政府救助与慈善帮扶衔接探析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承担单位：市民政局；完成时限：5月底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7. 济宁“和为贵”品牌维护社会稳定作用探析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承担单位：市司法局；完成时限：7月底 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pacing w:val="-6"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 xml:space="preserve">8. </w:t>
      </w:r>
      <w:r>
        <w:rPr>
          <w:rFonts w:hint="eastAsia" w:ascii="方正楷体简体" w:hAnsi="文星仿宋" w:eastAsia="方正楷体简体" w:cs="方正仿宋简体"/>
          <w:b/>
          <w:spacing w:val="-6"/>
          <w:sz w:val="32"/>
          <w:szCs w:val="32"/>
          <w:lang w:bidi="ar"/>
        </w:rPr>
        <w:t>财政支持科技创新路径研究——以高新技术企业培育为例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承担单位：市财政局；完成时限：7月底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9. 济宁市攀登企业用工需求情况调研报告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承担单位：市人力资源社会保障局；完成时限：5月底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10. 关于产业用地全生命周期管理的调研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承担单位：市自然资源和规划局；完成时限：7月底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11. 关于提升产业园区环境承载力的对策建议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承担单位：市生态环境局；完成时限：6月底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12. 关于中心城区地下管网一体化管理的研究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承担单位：市住房城乡建设局；完成时限：8月底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13. 关于提升城市网格化管理水平的对策研究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承担单位：市城市管理局；完成时限：7月底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14. 关于推进国家公交都市示范工程创建的调研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承担单位：市交通运输局；完成时限：9月底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15. 济宁市生态清洁小流域建设模式探析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承担单位：市城乡水务局、市水利事业发展中心；完成时限：5月底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16. 关于推进济宁南水北调后续工程高质量发展的研究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承担单位：市水利事业发展中心；完成时限：5月底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17. 关于推进济宁市农业强市建设的调研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承担单位：市农业农村局；完成时限：9月底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18. 关于园区特色产业发展生态的调研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承担单位：市商务局；完成时限：8月底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19. 关于打造国家文化公园“济宁样板”的路径研究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承担单位：市文化和旅游局；完成时限：8月底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20. 关于构建全市心理健康服务体系的探索与思考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承担单位：市卫生健康委；完成时限：6月底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21. 济宁市退役军人就业创业面临的形势及对策建议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承担单位：市退役军人局；完成时限：5月底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22. 济宁市基层应急物资储备现状研究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承担单位：市应急局；完成时限：6月底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23. 地方审计管理体制改革研究与思考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承担单位：市审计局；完成时限：8月底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24. 关于利用外事资源助推济宁开放发展的研究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承担单位：市外办；完成时限：7月底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25. 关于市管企业现代企业制度建设的调研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承担单位：市国资委；完成时限：6月底 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26. 财政惠企惠民资金直达机制研究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承担单位：市行政审批服务局；完成时限：6月底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27. 济宁市信用监管体系创新研究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承担单位：市市场监管局；完成时限：8月底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28. 济宁市预制菜产业发展路径研究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承担单位：市统计局；完成时限：6月底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29. 济宁市医养结合产业发展现状调研报告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承担单位：市医保局；完成时限：5月底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30. 关于地方金融组织助力小微企业发展的调研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承担单位：市地方金融监管局；完成时限：7月底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31. 加强和完善人民建议征集工作调研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承担单位：市信访局；完成时限：7月底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32. 济宁市小煤电机组关停替代措施探析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承担单位：市能源局；完成时限：5月底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33. 济宁市能源电子产业招商路径思考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承担单位：市投资促进局；完成时限：5月底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34. 关于守正创新打造文化“两创”新标杆的实践与思考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承担单位：曲阜文化建设示范区推进办公室；完成时限：5月底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35. 济宁市南四湖水环境现状调查及保护对策研究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承担单位：市南四湖流域管理办公室；完成时限：8月底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36. 济宁市供销系统农资经营网络建设情况调研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承担单位：市供销社；完成时限：5月底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37. 济宁市港产城融合发展路径研究——以济宁港航龙拱港为例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承担单位：市港航事业发展中心；完成时限：8月底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38. 关于加快鲁西黄牛产业高质量发展的调研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承担单位：市畜牧兽医事业发展中心；完成时限：5月底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39. 发挥仲裁调解功能  促进矛盾纠纷多元化化解——以济宁仲裁调解工作为例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承担单位：市仲裁办；完成时限：5月底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40. 促进济宁内河港口开展对外贸易研究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承担单位：济宁海关；完成时限：7月底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41. 金融支持新型农业经营主体高质量发展研究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承担单位：人民银行济宁市中心支行；完成时限：8月底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42. 全市农商银行金融风险有效防控及改革转型路径研究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承担单位：济宁银保监分局；完成时限：5月底</w:t>
      </w:r>
    </w:p>
    <w:p>
      <w:pPr>
        <w:spacing w:line="600" w:lineRule="exact"/>
        <w:ind w:firstLine="624" w:firstLineChars="200"/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  <w:t>三、专项调研课题（县市区）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1. 关于推动托育服务高质量发展的调研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承担单位：任城区政府；完成时限：7月底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2. 关于打造农业强区的调研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承担单位：兖州区政府；完成时限：7月底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3. 关于推进优秀传统文化“两创”的调查与思考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承担单位：曲阜市政府；完成时限：6月底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4. 持续放大生态优势的探索和实践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承担单位：泗水县政府；完成时限：6月底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5. 关于打造千亿级经济开发区的调查与思考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承担单位：邹城市政府；完成时限：7月底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6. 关于打造全省特色中医药基地的对策研究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承担单位：微山县政府；完成时限：7月底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7. 关于提升群众满意度工作的调研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承担单位：鱼台县政府；完成时限：5月底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8. 关于打造千亿级大蒜产业集群的调研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承担单位：金乡县政府；完成时限：6月底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9. 嘉祥县大豆种业发展情况调研报告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承担单位：嘉祥县政府；完成时限：6月底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10. 关于社区养老服务体系发展的研究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承担单位：汶上县政府；完成时限：5月底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11. 梁山县稀土产业现状与发展趋势分析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承担单位：梁山县政府；完成时限：7月底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12. 关于加快科技型中小企业产学研合作的调研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承担单位：济宁高新区管委会；完成时限：6月底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13. 关于创建国家级旅游度假区的调查研究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承担单位：太白湖新区管委会；完成时限：7月底</w:t>
      </w:r>
    </w:p>
    <w:p>
      <w:pPr>
        <w:spacing w:line="600" w:lineRule="exact"/>
        <w:ind w:firstLine="624" w:firstLineChars="200"/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  <w:lang w:bidi="ar"/>
        </w:rPr>
        <w:t>14. 关于打造金属新材料百亿产业的调查研究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承担单位：济宁经济技术开发区管委会；完成时限：6月底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bookmarkEnd w:id="2"/>
    <w:p>
      <w:pPr>
        <w:spacing w:line="600" w:lineRule="exact"/>
        <w:rPr>
          <w:rFonts w:ascii="方正小标宋简体" w:hAnsi="文星黑体" w:eastAsia="方正小标宋简体" w:cs="方正小标宋简体"/>
          <w:b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544185" cy="0"/>
                <wp:effectExtent l="0" t="0" r="19050" b="1905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26.7pt;height:0pt;width:436.55pt;z-index:251660288;mso-width-relative:page;mso-height-relative:page;" filled="f" stroked="t" coordsize="21600,21600" o:gfxdata="UEsFBgAAAAAAAAAAAAAAAAAAAAAAAFBLAwQKAAAAAACHTuJAAAAAAAAAAAAAAAAABAAAAGRycy9Q SwMEFAAAAAgAh07iQPDPa2TWAAAABgEAAA8AAABkcnMvZG93bnJldi54bWxNj81uwjAQhO+V+g7W VuqtOIG2RCEOBxBCrbgAlXpd4iVOG69DbH769rji0B53ZjTzbTG92FacqPeNYwXpIAFBXDndcK3g Y7t4ykD4gKyxdUwKfsjDtLy/KzDX7sxrOm1CLWIJ+xwVmBC6XEpfGbLoB64jjt7e9RZDPPta6h7P sdy2cpgkr9Jiw3HBYEczQ9X35mgV4Hy5Dp/Z8H3cvJnV13ZxWJrsoNTjQ5pMQAS6hL8w/OJHdCgj 084dWXvRKoiPBAUvo2cQ0c3GoxTE7ibIspD/8csrUEsDBBQAAAAIAIdO4kC28lNbuAEAAIEDAAAO AAAAZHJzL2Uyb0RvYy54bWytU8tu2zAQvBfIPxC8x1IEpy0EyznESS9Ba6DtB6z5kAjwBS5j2X/f Je04SXspivpAk9zd2dnhaHV3cJbtVUIT/MBvFi1nyosgjR8H/vPH4/VnzjCDl2CDVwM/KuR366sP qzn2qgtTsFIlRiAe+zkOfMo59k2DYlIOcBGi8hTUITnIdExjIxPMhO5s07Xtx2YOScYUhEKk280p yNcVX2sl8jetUWVmB07ccl1TXXdlbdYr6McEcTLiTAP+gYUD46npBWoDGdhzMn9AOSNSwKDzQgTX BK2NUHUGmuam/W2a7xNEVWchcTBeZML/Byu+7reJGTnwJWceHD3Rk/GKdV2RZo7YU8a936bzCeM2 lTkPOrnyTxOwQ5XzeJFTHTITdHl7u1y2LakuXmLNa2FMmL+o4FjZDNxS0yog7J8wUzNKfUkpfaxn M/mr+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sz w:val="32"/>
          <w:szCs w:val="32"/>
          <w:lang w:bidi="ar"/>
        </w:rPr>
        <w:t xml:space="preserve">  </w:t>
      </w:r>
    </w:p>
    <w:p>
      <w:pPr>
        <w:tabs>
          <w:tab w:val="left" w:pos="8268"/>
        </w:tabs>
        <w:spacing w:line="440" w:lineRule="exact"/>
        <w:ind w:firstLine="272" w:firstLineChars="1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eastAsia="zh-CN" w:bidi="ar"/>
        </w:rPr>
        <w:t>办公室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，市人大常委会办公室，市政协办公室，市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tabs>
          <w:tab w:val="left" w:pos="8268"/>
        </w:tabs>
        <w:spacing w:line="440" w:lineRule="exact"/>
        <w:ind w:firstLine="1088" w:firstLineChars="4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市法院，市检察院，济宁军分区。</w:t>
      </w:r>
    </w:p>
    <w:p>
      <w:pPr>
        <w:spacing w:line="740" w:lineRule="exact"/>
        <w:ind w:firstLine="312" w:firstLineChars="10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19050" b="19050"/>
                <wp:wrapNone/>
                <wp:docPr id="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0pt;margin-top:5.45pt;height:0pt;width:436.5pt;z-index:251662336;mso-width-relative:page;mso-height-relative:page;" filled="f" stroked="t" coordsize="21600,21600" o:gfxdata="UEsFBgAAAAAAAAAAAAAAAAAAAAAAAFBLAwQKAAAAAACHTuJAAAAAAAAAAAAAAAAABAAAAGRycy9Q SwMEFAAAAAgAh07iQPjyzVzUAAAABgEAAA8AAABkcnMvZG93bnJldi54bWxNj01PwzAMhu9I/IfI SNxYuiGx0jXdATRNIC7bkLh6jdcUGqdrsg/+PUYcxtHPa71+XM7PvlNHGmIb2MB4lIEiroNtuTHw vlnc5aBiQrbYBSYD3xRhXl1flVjYcOIVHdepUVLCsUADLqW+0DrWjjzGUeiJJduFwWOScWi0HfAk 5b7Tkyx70B5blgsOe3pyVH+tD94APi9X6SOfvE7bF/f2uVnsly7fG3N7M85moBKd02UZfvVFHSpx 2oYD26g6A/JIEpo9gpI0n94L2P4BXZX6v371A1BLAwQUAAAACACHTuJAasZv5rgBAACBAwAADgAA AGRycy9lMm9Eb2MueG1srVNNjxMxDL0j8R+i3OnMli2gUad72LJcVlCJ5Qe4iWcmUr4Uh07773HS bpePC0L0kDqx/fz87FnfHZ0VB0xkgu/lzaKVAr0K2vixl9+eHt58kIIyeA02eOzlCUnebV6/Ws+x w2WYgtWYBIN46ubYyynn2DUNqQkd0CJE9OwcQnKQ+ZrGRieYGd3ZZtm275o5JB1TUEjEr9uzU24q /jCgyl+GgTAL20vmluuZ6rkvZ7NZQzcmiJNRFxrwDywcGM9Fr1BbyCC+J/MHlDMqBQpDXqjgmjAM RmHtgbu5aX/r5usEEWsvLA7Fq0z0/2DV58MuCaN5dlJ4cDyiR+NRLG+LNHOkjiPu/S5dbhR3qfR5 HJIr/9yBOFY5T1c58ZiF4sfV6vbtasWqq2df85IYE+VPGJwoRi8tF60CwuGRMhfj0OeQUsd6MTPH 5fu24AFvymAhs+kicyc/1mQK1ugHY21JoTTu720SByizr7/SEwP/ElaqbIGmc1x1nbdiQtAfvRb5 FFkVz+srCweHWgqLvO3FYkDoMhj7N5Fc2npmUGQ9C1msfdCnqm995zlXjpedLIv0871mv3w5mx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544185" cy="0"/>
                <wp:effectExtent l="0" t="0" r="19050" b="19050"/>
                <wp:wrapNone/>
                <wp:docPr id="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0pt;margin-top:42.75pt;height:0pt;width:436.55pt;z-index:251661312;mso-width-relative:page;mso-height-relative:page;" filled="f" stroked="t" coordsize="21600,21600" o:gfxdata="UEsFBgAAAAAAAAAAAAAAAAAAAAAAAFBLAwQKAAAAAACHTuJAAAAAAAAAAAAAAAAABAAAAGRycy9Q SwMEFAAAAAgAh07iQEQMkN/WAAAABgEAAA8AAABkcnMvZG93bnJldi54bWxNj81OwzAQhO9IfQdr K3GjTopKrRCnh1ZVBeLSFonrNl7iQLxOY/eHt8eIAxx3ZjTzbbm4uk6caQitZw35JANBXHvTcqPh db++UyBCRDbYeSYNXxRgUY1uSiyMv/CWzrvYiFTCoUANNsa+kDLUlhyGie+Jk/fuB4cxnUMjzYCX VO46Oc2yB+mw5bRgsaelpfpzd3IacLXZxjc1fZ63T/blY78+bqw6an07zrNHEJGu8S8MP/gJHarE dPAnNkF0GtIjUYOazUAkV83vcxCHX0FWpfyPX30DUEsDBBQAAAAIAIdO4kAJSA1ouQEAAIEDAAAO AAAAZHJzL2Uyb0RvYy54bWytU8tu2zAQvBfoPxC8x1KcpC0EyznETS9Ba6DtB6zJlUSAL3BZy/77 LmnH6eNSFPGBJrm7s7PD0er+4KzYYyITfC+vF60U6FXQxo+9/P7t8eqDFJTBa7DBYy+PSPJ+/fbN ao4dLsMUrMYkGMRTN8deTjnHrmlITeiAFiGi5+AQkoPMxzQ2OsHM6M42y7Z918wh6ZiCQiK+3ZyC cl3xhwFV/jIMhFnYXjK3XNdU111Zm/UKujFBnIw604D/YOHAeG56gdpABvEjmb+gnFEpUBjyQgXX hGEwCusMPM11+8c0XyeIWGdhcSheZKLXg1Wf99skjO7ljRQeHD/Rk/EoljdFmjlSxxkPfpvOJ4rb VOY8DMmVf55AHKqcx4uceMhC8eXd3e1t27Lq6jnWvBTGRPkTBifKppeWm1YBYf9EmZtx6nNK6WO9 mNlfy/cVD9gpg4XM0C4yd/JjLaZgjX401pYSSuPuwSaxh/L29VdmYuDf0kqXDdB0yquhkysmBP3R a5GPkVXxbF9ZODjUUlhkt5cdA0KXwdh/yeTW1jODIutJyLLbBX2s+tZ7fufK8ezJYqRfz7X65ctZ /wR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济宁市人民政府办公室                   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2023年2月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val="en-US" w:eastAsia="zh-CN" w:bidi="ar"/>
        </w:rPr>
        <w:t>21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日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  <w:docPartObj>
          <w:docPartGallery w:val="autotext"/>
        </w:docPartObj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b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64839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true"/>
  <w:bordersDoNotSurroundFooter w:val="true"/>
  <w:documentProtection w:enforcement="1" w:edit="readOnly" w:salt="7djyxq3/JRUUqS82RmyuuA==" w:hash="XygLjbQ8NTjfRdrgmEc3hfhvWxiKEnWVsOJAv/oeCvDb6JuxVQ/ZufADqmYpnA/ECKmxSf2F01hyVEr2y8VQD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16000B"/>
    <w:rsid w:val="001D7779"/>
    <w:rsid w:val="00201BA4"/>
    <w:rsid w:val="002241B6"/>
    <w:rsid w:val="00375F30"/>
    <w:rsid w:val="00475040"/>
    <w:rsid w:val="00574C4D"/>
    <w:rsid w:val="00767D01"/>
    <w:rsid w:val="00951C9F"/>
    <w:rsid w:val="00997554"/>
    <w:rsid w:val="00A76434"/>
    <w:rsid w:val="00AB67A1"/>
    <w:rsid w:val="00B82F8E"/>
    <w:rsid w:val="00E812CD"/>
    <w:rsid w:val="00EA2B01"/>
    <w:rsid w:val="00FA726F"/>
    <w:rsid w:val="027A0C5B"/>
    <w:rsid w:val="5A4C6AE6"/>
    <w:rsid w:val="77FB0BE3"/>
    <w:rsid w:val="7C790B88"/>
    <w:rsid w:val="7C7CD12C"/>
    <w:rsid w:val="7F177549"/>
    <w:rsid w:val="BFFE84B7"/>
    <w:rsid w:val="EBFD988C"/>
    <w:rsid w:val="F6EF1A34"/>
    <w:rsid w:val="F7F7D2AF"/>
    <w:rsid w:val="FF5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3553</Words>
  <Characters>517</Characters>
  <Lines>4</Lines>
  <Paragraphs>8</Paragraphs>
  <TotalTime>10</TotalTime>
  <ScaleCrop>false</ScaleCrop>
  <LinksUpToDate>false</LinksUpToDate>
  <CharactersWithSpaces>4062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2019-12-22T02:48:00Z</dcterms:created>
  <dc:creator>nizy</dc:creator>
  <cp:lastModifiedBy>user</cp:lastModifiedBy>
  <cp:lastPrinted>2023-02-22T06:37:00Z</cp:lastPrinted>
  <dcterms:modified xsi:type="dcterms:W3CDTF">2023-02-22T14:38:36Z</dcterms:modified>
  <cp:revision>3</cp:revision>
  <dc:title>济宁市人民政府办公室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0057E53D0C6C4375A3391D670B7AFBA2</vt:lpwstr>
  </property>
</Properties>
</file>