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8"/>
        <w:tblpPr w:leftFromText="180" w:rightFromText="180" w:vertAnchor="page" w:horzAnchor="margin" w:tblpXSpec="center" w:tblpY="2236"/>
        <w:tblW w:w="8737" w:type="dxa"/>
        <w:tblInd w:w="0" w:type="dxa"/>
        <w:tblLayout w:type="fixed"/>
        <w:tblCellMar>
          <w:top w:w="0" w:type="dxa"/>
          <w:left w:w="108" w:type="dxa"/>
          <w:bottom w:w="0" w:type="dxa"/>
          <w:right w:w="108" w:type="dxa"/>
        </w:tblCellMar>
      </w:tblPr>
      <w:tblGrid>
        <w:gridCol w:w="7479"/>
        <w:gridCol w:w="1258"/>
      </w:tblGrid>
      <w:tr>
        <w:tblPrEx>
          <w:tblCellMar>
            <w:top w:w="0" w:type="dxa"/>
            <w:left w:w="108" w:type="dxa"/>
            <w:bottom w:w="0" w:type="dxa"/>
            <w:right w:w="108" w:type="dxa"/>
          </w:tblCellMar>
        </w:tblPrEx>
        <w:trPr>
          <w:trHeight w:val="443" w:hRule="atLeast"/>
        </w:trPr>
        <w:tc>
          <w:tcPr>
            <w:tcW w:w="7479" w:type="dxa"/>
          </w:tcPr>
          <w:p>
            <w:pPr>
              <w:widowControl/>
              <w:spacing w:line="1000" w:lineRule="exact"/>
              <w:ind w:right="-59" w:rightChars="-19"/>
              <w:jc w:val="distribute"/>
              <w:rPr>
                <w:b/>
                <w:bCs/>
                <w:color w:val="FF0000"/>
                <w:w w:val="70"/>
                <w:kern w:val="0"/>
                <w:sz w:val="72"/>
                <w:szCs w:val="72"/>
              </w:rPr>
            </w:pPr>
          </w:p>
        </w:tc>
        <w:tc>
          <w:tcPr>
            <w:tcW w:w="1258" w:type="dxa"/>
            <w:vMerge w:val="restart"/>
            <w:vAlign w:val="center"/>
          </w:tcPr>
          <w:p>
            <w:pPr>
              <w:widowControl/>
              <w:spacing w:line="1600" w:lineRule="exact"/>
              <w:ind w:left="-159" w:leftChars="-51" w:right="-227" w:rightChars="-73"/>
              <w:jc w:val="center"/>
              <w:rPr>
                <w:b/>
                <w:bCs/>
                <w:color w:val="FF0000"/>
                <w:w w:val="35"/>
                <w:kern w:val="0"/>
                <w:sz w:val="144"/>
                <w:szCs w:val="144"/>
              </w:rPr>
            </w:pPr>
          </w:p>
        </w:tc>
      </w:tr>
      <w:tr>
        <w:tblPrEx>
          <w:tblCellMar>
            <w:top w:w="0" w:type="dxa"/>
            <w:left w:w="108" w:type="dxa"/>
            <w:bottom w:w="0" w:type="dxa"/>
            <w:right w:w="108" w:type="dxa"/>
          </w:tblCellMar>
        </w:tblPrEx>
        <w:trPr>
          <w:trHeight w:val="443" w:hRule="atLeast"/>
        </w:trPr>
        <w:tc>
          <w:tcPr>
            <w:tcW w:w="7479" w:type="dxa"/>
          </w:tcPr>
          <w:p>
            <w:pPr>
              <w:widowControl/>
              <w:spacing w:line="1000" w:lineRule="exact"/>
              <w:ind w:right="-59" w:rightChars="-19"/>
              <w:jc w:val="distribute"/>
              <w:rPr>
                <w:b/>
                <w:bCs/>
                <w:color w:val="FF0000"/>
                <w:w w:val="70"/>
                <w:kern w:val="0"/>
                <w:sz w:val="72"/>
                <w:szCs w:val="72"/>
              </w:rPr>
            </w:pPr>
          </w:p>
        </w:tc>
        <w:tc>
          <w:tcPr>
            <w:tcW w:w="1258" w:type="dxa"/>
            <w:vMerge w:val="continue"/>
            <w:vAlign w:val="center"/>
          </w:tcPr>
          <w:p>
            <w:pPr>
              <w:widowControl/>
              <w:spacing w:after="90" w:line="900" w:lineRule="exact"/>
              <w:jc w:val="center"/>
              <w:rPr>
                <w:bCs/>
                <w:color w:val="FF0000"/>
                <w:w w:val="90"/>
                <w:kern w:val="0"/>
                <w:sz w:val="100"/>
                <w:szCs w:val="100"/>
              </w:rPr>
            </w:pPr>
          </w:p>
        </w:tc>
      </w:tr>
    </w:tbl>
    <w:p>
      <w:pPr>
        <w:spacing w:line="500" w:lineRule="exact"/>
        <w:jc w:val="center"/>
        <w:rPr>
          <w:rFonts w:eastAsia="方正仿宋简体"/>
          <w:b/>
          <w:color w:val="000000"/>
        </w:rPr>
      </w:pPr>
    </w:p>
    <w:p>
      <w:pPr>
        <w:spacing w:line="500" w:lineRule="exact"/>
        <w:jc w:val="center"/>
        <w:rPr>
          <w:rFonts w:eastAsia="方正仿宋简体"/>
          <w:b/>
          <w:color w:val="000000"/>
        </w:rPr>
      </w:pPr>
    </w:p>
    <w:p>
      <w:pPr>
        <w:jc w:val="center"/>
        <w:rPr>
          <w:rFonts w:eastAsia="方正仿宋简体"/>
          <w:b/>
          <w:color w:val="000000"/>
        </w:rPr>
      </w:pPr>
      <w:r>
        <w:rPr>
          <w:rFonts w:eastAsia="方正仿宋简体"/>
          <w:b/>
          <w:color w:val="000000"/>
        </w:rPr>
        <w:t>济环字〔2023〕45号</w:t>
      </w:r>
    </w:p>
    <w:p>
      <w:pPr>
        <w:spacing w:line="400" w:lineRule="exact"/>
        <w:jc w:val="center"/>
        <w:rPr>
          <w:rFonts w:eastAsia="方正仿宋简体"/>
          <w:b/>
          <w:color w:val="000000"/>
          <w:sz w:val="44"/>
          <w:szCs w:val="44"/>
        </w:rPr>
      </w:pPr>
    </w:p>
    <w:p>
      <w:pPr>
        <w:spacing w:line="600" w:lineRule="exact"/>
        <w:ind w:firstLine="624" w:firstLineChars="200"/>
        <w:rPr>
          <w:rFonts w:eastAsia="方正仿宋简体"/>
          <w:b/>
        </w:rPr>
      </w:pPr>
    </w:p>
    <w:p>
      <w:pPr>
        <w:kinsoku w:val="0"/>
        <w:overflowPunct w:val="0"/>
        <w:autoSpaceDE w:val="0"/>
        <w:autoSpaceDN w:val="0"/>
        <w:adjustRightInd w:val="0"/>
        <w:snapToGrid w:val="0"/>
        <w:spacing w:line="500" w:lineRule="exact"/>
        <w:jc w:val="center"/>
        <w:textAlignment w:val="baseline"/>
        <w:rPr>
          <w:b/>
          <w:bCs/>
          <w:sz w:val="44"/>
          <w:szCs w:val="44"/>
        </w:rPr>
      </w:pPr>
      <w:r>
        <w:rPr>
          <w:b/>
          <w:bCs/>
          <w:sz w:val="44"/>
          <w:szCs w:val="44"/>
        </w:rPr>
        <w:t>关于实行济宁市生态环境保护与安全生产工作联动机制的通知</w:t>
      </w:r>
    </w:p>
    <w:p>
      <w:pPr>
        <w:kinsoku w:val="0"/>
        <w:overflowPunct w:val="0"/>
        <w:autoSpaceDE w:val="0"/>
        <w:autoSpaceDN w:val="0"/>
        <w:adjustRightInd w:val="0"/>
        <w:snapToGrid w:val="0"/>
        <w:spacing w:line="500" w:lineRule="exact"/>
        <w:textAlignment w:val="baseline"/>
        <w:rPr>
          <w:rFonts w:eastAsia="方正仿宋简体"/>
          <w:b/>
          <w:bCs/>
        </w:rPr>
      </w:pPr>
    </w:p>
    <w:p>
      <w:pPr>
        <w:pStyle w:val="7"/>
        <w:overflowPunct w:val="0"/>
        <w:topLinePunct/>
        <w:autoSpaceDE w:val="0"/>
        <w:autoSpaceDN w:val="0"/>
        <w:adjustRightInd w:val="0"/>
        <w:snapToGrid w:val="0"/>
        <w:spacing w:after="0" w:line="500" w:lineRule="exact"/>
        <w:ind w:left="0" w:leftChars="0" w:firstLine="0" w:firstLineChars="0"/>
        <w:textAlignment w:val="baseline"/>
        <w:rPr>
          <w:rFonts w:eastAsia="方正仿宋简体"/>
          <w:b/>
          <w:bCs/>
          <w:spacing w:val="-4"/>
        </w:rPr>
      </w:pPr>
      <w:r>
        <w:rPr>
          <w:rFonts w:eastAsia="方正仿宋简体"/>
          <w:b/>
          <w:bCs/>
          <w:spacing w:val="-4"/>
        </w:rPr>
        <w:t>各县（市、区）生态环境分局</w:t>
      </w:r>
      <w:r>
        <w:rPr>
          <w:rFonts w:hint="eastAsia" w:eastAsia="方正仿宋简体"/>
          <w:b/>
          <w:bCs/>
          <w:spacing w:val="-4"/>
          <w:lang w:eastAsia="zh-CN"/>
        </w:rPr>
        <w:t>、</w:t>
      </w:r>
      <w:r>
        <w:rPr>
          <w:rFonts w:eastAsia="方正仿宋简体"/>
          <w:b/>
          <w:bCs/>
          <w:spacing w:val="-4"/>
        </w:rPr>
        <w:t>应急管理局：</w:t>
      </w:r>
    </w:p>
    <w:p>
      <w:pPr>
        <w:pStyle w:val="7"/>
        <w:overflowPunct w:val="0"/>
        <w:topLinePunct/>
        <w:autoSpaceDE w:val="0"/>
        <w:autoSpaceDN w:val="0"/>
        <w:adjustRightInd w:val="0"/>
        <w:snapToGrid w:val="0"/>
        <w:spacing w:after="0" w:line="500" w:lineRule="exact"/>
        <w:ind w:left="0" w:leftChars="0" w:firstLine="610"/>
        <w:textAlignment w:val="baseline"/>
        <w:rPr>
          <w:rFonts w:eastAsia="方正仿宋简体"/>
          <w:b/>
          <w:bCs/>
          <w:spacing w:val="-4"/>
        </w:rPr>
      </w:pPr>
      <w:r>
        <w:rPr>
          <w:rFonts w:eastAsia="方正仿宋简体"/>
          <w:b/>
          <w:bCs/>
          <w:spacing w:val="-4"/>
        </w:rPr>
        <w:t>为确保《济宁市化工行业安全生产整治提升专项行动实施方案》有效落实，强化制度建设，守牢我市生态环境保护与安全生产底线，经研究，决定建立济宁市生态环境保护与安全生产工作联动机制</w:t>
      </w:r>
      <w:r>
        <w:rPr>
          <w:rFonts w:hint="eastAsia" w:eastAsia="方正仿宋简体"/>
          <w:b/>
          <w:bCs/>
          <w:spacing w:val="-4"/>
          <w:lang w:eastAsia="zh-CN"/>
        </w:rPr>
        <w:t>（试行）</w:t>
      </w:r>
      <w:r>
        <w:rPr>
          <w:rFonts w:eastAsia="方正仿宋简体"/>
          <w:b/>
          <w:bCs/>
          <w:spacing w:val="-4"/>
        </w:rPr>
        <w:t>，本通知联动机制范围：工业企业环保设备设施、废弃危险化学品等危险废物，现印发给你们，请结合实际抓好贯彻落实。</w:t>
      </w:r>
    </w:p>
    <w:p>
      <w:pPr>
        <w:spacing w:line="600" w:lineRule="exact"/>
        <w:rPr>
          <w:rFonts w:eastAsia="方正仿宋简体"/>
          <w:b/>
          <w:bCs/>
          <w:spacing w:val="-4"/>
        </w:rPr>
      </w:pPr>
    </w:p>
    <w:p>
      <w:pPr>
        <w:pStyle w:val="7"/>
        <w:overflowPunct w:val="0"/>
        <w:topLinePunct/>
        <w:spacing w:after="0" w:line="600" w:lineRule="exact"/>
        <w:ind w:left="0" w:leftChars="0" w:firstLine="0" w:firstLineChars="0"/>
        <w:jc w:val="center"/>
        <w:rPr>
          <w:rFonts w:eastAsia="方正仿宋简体"/>
          <w:b/>
          <w:bCs/>
          <w:spacing w:val="-4"/>
        </w:rPr>
      </w:pPr>
      <w:r>
        <w:rPr>
          <w:rFonts w:eastAsia="方正仿宋简体"/>
          <w:b/>
          <w:bCs/>
          <w:spacing w:val="-4"/>
        </w:rPr>
        <w:t>济宁市生态环境局            济宁市应急管理局</w:t>
      </w:r>
    </w:p>
    <w:p>
      <w:pPr>
        <w:pStyle w:val="7"/>
        <w:overflowPunct w:val="0"/>
        <w:topLinePunct/>
        <w:spacing w:after="0" w:line="600" w:lineRule="exact"/>
        <w:ind w:left="0" w:leftChars="0" w:right="118" w:rightChars="38" w:firstLine="5411" w:firstLineChars="1780"/>
        <w:rPr>
          <w:rFonts w:eastAsia="方正仿宋简体"/>
          <w:b/>
          <w:bCs/>
          <w:spacing w:val="-4"/>
        </w:rPr>
      </w:pPr>
      <w:r>
        <w:rPr>
          <w:rFonts w:eastAsia="方正仿宋简体"/>
          <w:b/>
          <w:bCs/>
          <w:spacing w:val="-4"/>
        </w:rPr>
        <w:t>2023年10月16日</w:t>
      </w:r>
    </w:p>
    <w:p>
      <w:pPr>
        <w:pStyle w:val="7"/>
        <w:overflowPunct w:val="0"/>
        <w:topLinePunct/>
        <w:autoSpaceDE w:val="0"/>
        <w:autoSpaceDN w:val="0"/>
        <w:adjustRightInd w:val="0"/>
        <w:snapToGrid w:val="0"/>
        <w:spacing w:after="0" w:line="500" w:lineRule="exact"/>
        <w:ind w:left="0" w:leftChars="0" w:firstLine="610"/>
        <w:textAlignment w:val="baseline"/>
        <w:rPr>
          <w:rFonts w:hint="eastAsia" w:eastAsia="方正仿宋简体"/>
          <w:b/>
          <w:bCs/>
          <w:spacing w:val="-4"/>
          <w:lang w:eastAsia="zh-CN"/>
        </w:rPr>
      </w:pPr>
    </w:p>
    <w:p>
      <w:pPr>
        <w:pStyle w:val="7"/>
        <w:overflowPunct w:val="0"/>
        <w:topLinePunct/>
        <w:autoSpaceDE w:val="0"/>
        <w:autoSpaceDN w:val="0"/>
        <w:adjustRightInd w:val="0"/>
        <w:snapToGrid w:val="0"/>
        <w:spacing w:after="0" w:line="500" w:lineRule="exact"/>
        <w:ind w:left="0" w:leftChars="0" w:firstLine="610"/>
        <w:textAlignment w:val="baseline"/>
        <w:rPr>
          <w:rFonts w:hint="eastAsia" w:eastAsia="方正仿宋简体"/>
          <w:b/>
          <w:bCs/>
          <w:spacing w:val="-4"/>
          <w:lang w:eastAsia="zh-CN"/>
        </w:rPr>
      </w:pPr>
      <w:r>
        <w:rPr>
          <w:rFonts w:hint="eastAsia" w:eastAsia="方正仿宋简体"/>
          <w:b/>
          <w:bCs/>
          <w:spacing w:val="-4"/>
          <w:lang w:eastAsia="zh-CN"/>
        </w:rPr>
        <w:t>（此件公开发布）</w:t>
      </w:r>
    </w:p>
    <w:p>
      <w:pPr>
        <w:pStyle w:val="7"/>
        <w:overflowPunct w:val="0"/>
        <w:topLinePunct/>
        <w:autoSpaceDE w:val="0"/>
        <w:autoSpaceDN w:val="0"/>
        <w:adjustRightInd w:val="0"/>
        <w:snapToGrid w:val="0"/>
        <w:spacing w:after="0" w:line="600" w:lineRule="exact"/>
        <w:ind w:left="0" w:leftChars="0" w:firstLine="0" w:firstLineChars="0"/>
        <w:jc w:val="center"/>
        <w:textAlignment w:val="baseline"/>
        <w:rPr>
          <w:b/>
          <w:bCs/>
          <w:spacing w:val="-4"/>
          <w:sz w:val="40"/>
          <w:szCs w:val="40"/>
        </w:rPr>
      </w:pPr>
    </w:p>
    <w:p>
      <w:pPr>
        <w:pStyle w:val="7"/>
        <w:overflowPunct w:val="0"/>
        <w:topLinePunct/>
        <w:autoSpaceDE w:val="0"/>
        <w:autoSpaceDN w:val="0"/>
        <w:adjustRightInd w:val="0"/>
        <w:snapToGrid w:val="0"/>
        <w:spacing w:after="0" w:line="600" w:lineRule="exact"/>
        <w:ind w:left="0" w:leftChars="0" w:firstLine="0" w:firstLineChars="0"/>
        <w:jc w:val="center"/>
        <w:textAlignment w:val="baseline"/>
        <w:rPr>
          <w:b/>
          <w:bCs/>
          <w:spacing w:val="-4"/>
          <w:sz w:val="40"/>
          <w:szCs w:val="40"/>
        </w:rPr>
      </w:pPr>
      <w:r>
        <w:rPr>
          <w:b/>
          <w:bCs/>
          <w:spacing w:val="-4"/>
          <w:sz w:val="40"/>
          <w:szCs w:val="40"/>
        </w:rPr>
        <w:t>济宁市生态环境保护与安全生产工作联动机制</w:t>
      </w:r>
    </w:p>
    <w:p>
      <w:pPr>
        <w:pStyle w:val="7"/>
        <w:overflowPunct w:val="0"/>
        <w:topLinePunct/>
        <w:autoSpaceDE w:val="0"/>
        <w:autoSpaceDN w:val="0"/>
        <w:adjustRightInd w:val="0"/>
        <w:snapToGrid w:val="0"/>
        <w:spacing w:after="0" w:line="600" w:lineRule="exact"/>
        <w:ind w:left="0" w:leftChars="0" w:firstLine="0" w:firstLineChars="0"/>
        <w:jc w:val="center"/>
        <w:textAlignment w:val="baseline"/>
        <w:rPr>
          <w:rFonts w:eastAsia="方正楷体简体"/>
          <w:b/>
          <w:bCs/>
          <w:spacing w:val="-4"/>
        </w:rPr>
      </w:pPr>
      <w:r>
        <w:rPr>
          <w:rFonts w:eastAsia="方正楷体简体"/>
          <w:b/>
          <w:bCs/>
          <w:spacing w:val="-4"/>
        </w:rPr>
        <w:t>（试行）</w:t>
      </w:r>
    </w:p>
    <w:p>
      <w:pPr>
        <w:spacing w:line="600" w:lineRule="exact"/>
        <w:rPr>
          <w:b/>
          <w:bCs/>
        </w:rPr>
      </w:pPr>
    </w:p>
    <w:p>
      <w:pPr>
        <w:pStyle w:val="7"/>
        <w:overflowPunct w:val="0"/>
        <w:topLinePunct/>
        <w:autoSpaceDE w:val="0"/>
        <w:autoSpaceDN w:val="0"/>
        <w:adjustRightInd w:val="0"/>
        <w:snapToGrid w:val="0"/>
        <w:spacing w:after="0" w:line="600" w:lineRule="exact"/>
        <w:ind w:left="0" w:leftChars="0" w:firstLine="610"/>
        <w:jc w:val="left"/>
        <w:textAlignment w:val="baseline"/>
        <w:rPr>
          <w:rFonts w:eastAsia="方正仿宋简体"/>
          <w:b/>
          <w:bCs/>
          <w:spacing w:val="-4"/>
        </w:rPr>
      </w:pPr>
      <w:r>
        <w:rPr>
          <w:rFonts w:eastAsia="方正仿宋简体"/>
          <w:b/>
          <w:bCs/>
          <w:spacing w:val="-4"/>
        </w:rPr>
        <w:t>为认真贯彻执行国务院安委会办公室对山东安全生产专项督导帮扶工作部署，严格落实省委、省政府关于安全生产工作的有关要求，牢固树立“人民至上、生命至上”、统发展和安全，严密防范化解重大安全风险，扎实提升全市工业企业安全生产治理能力水平，共同维护生态环境安全和生产安全，制定《济宁市生态环境保护与安全生产工作联动机制》。</w:t>
      </w:r>
    </w:p>
    <w:p>
      <w:pPr>
        <w:pStyle w:val="7"/>
        <w:overflowPunct w:val="0"/>
        <w:topLinePunct/>
        <w:autoSpaceDE w:val="0"/>
        <w:autoSpaceDN w:val="0"/>
        <w:adjustRightInd w:val="0"/>
        <w:snapToGrid w:val="0"/>
        <w:spacing w:after="0" w:line="600" w:lineRule="exact"/>
        <w:ind w:left="0" w:leftChars="0" w:firstLine="610"/>
        <w:jc w:val="left"/>
        <w:textAlignment w:val="baseline"/>
        <w:rPr>
          <w:rFonts w:eastAsia="方正黑体简体"/>
          <w:b/>
          <w:bCs/>
          <w:spacing w:val="-4"/>
        </w:rPr>
      </w:pPr>
      <w:r>
        <w:rPr>
          <w:rFonts w:eastAsia="方正黑体简体"/>
          <w:b/>
          <w:bCs/>
          <w:spacing w:val="-4"/>
        </w:rPr>
        <w:t>一、建立定期通报会商制度</w:t>
      </w:r>
    </w:p>
    <w:p>
      <w:pPr>
        <w:pStyle w:val="7"/>
        <w:overflowPunct w:val="0"/>
        <w:topLinePunct/>
        <w:autoSpaceDE w:val="0"/>
        <w:autoSpaceDN w:val="0"/>
        <w:adjustRightInd w:val="0"/>
        <w:snapToGrid w:val="0"/>
        <w:spacing w:after="0" w:line="600" w:lineRule="exact"/>
        <w:ind w:left="0" w:leftChars="0" w:firstLine="610"/>
        <w:jc w:val="left"/>
        <w:textAlignment w:val="baseline"/>
        <w:rPr>
          <w:rFonts w:eastAsia="方正仿宋简体"/>
          <w:b/>
          <w:bCs/>
          <w:spacing w:val="-4"/>
        </w:rPr>
      </w:pPr>
      <w:r>
        <w:rPr>
          <w:rFonts w:eastAsia="方正仿宋简体"/>
          <w:b/>
          <w:bCs/>
          <w:spacing w:val="-4"/>
        </w:rPr>
        <w:t>生态环境、应急管理部门要定期通报项目审批、监管执法、隐患排查等数据信息。原则上每季度会商一次，双方明确分管领导作为协调人，牵头科室负责人为联络员，提前确定会商议题、时间、地点，会后形成会议纪要印发。对于因重大违法案件、个案执法难题、其他需要临时进行会商研究的，可临时召开会议。视情邀请应急管理和生态环境相关技术骨干、行业专家、第三方机构负责人等参加会商。涉及生态环境领域的安全生产事故调查工作，可邀请生态环境部门参加。</w:t>
      </w:r>
    </w:p>
    <w:p>
      <w:pPr>
        <w:pStyle w:val="7"/>
        <w:overflowPunct w:val="0"/>
        <w:topLinePunct/>
        <w:autoSpaceDE w:val="0"/>
        <w:autoSpaceDN w:val="0"/>
        <w:adjustRightInd w:val="0"/>
        <w:snapToGrid w:val="0"/>
        <w:spacing w:after="0" w:line="600" w:lineRule="exact"/>
        <w:ind w:left="0" w:leftChars="0" w:firstLine="610"/>
        <w:jc w:val="left"/>
        <w:textAlignment w:val="baseline"/>
        <w:rPr>
          <w:rFonts w:eastAsia="方正黑体简体"/>
          <w:b/>
          <w:bCs/>
          <w:spacing w:val="-4"/>
        </w:rPr>
      </w:pPr>
      <w:r>
        <w:rPr>
          <w:rFonts w:eastAsia="方正黑体简体"/>
          <w:b/>
          <w:bCs/>
          <w:spacing w:val="-4"/>
        </w:rPr>
        <w:t>二、建立环评和安评联合预审机制</w:t>
      </w:r>
    </w:p>
    <w:p>
      <w:pPr>
        <w:pStyle w:val="21"/>
        <w:widowControl w:val="0"/>
        <w:kinsoku/>
        <w:spacing w:line="600" w:lineRule="exact"/>
        <w:ind w:left="0" w:firstLine="6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根据企业建设项目申请、审批情况，及时通报建设项目环保和安全信息，必要时可以会商或联合审批，形成监管合力。对涉及重点监管危险化学品、高危工艺的、生产使用排放高浓度高毒害难降解物质等风险高、情况复杂的项目，在立项前开展安全、环保联合预审，互通安评、环评报告，审慎对待风险较大、隐患较大、争议较大的项目。</w:t>
      </w:r>
    </w:p>
    <w:p>
      <w:pPr>
        <w:pStyle w:val="21"/>
        <w:widowControl w:val="0"/>
        <w:kinsoku/>
        <w:spacing w:line="600" w:lineRule="exact"/>
        <w:ind w:left="0" w:firstLine="626"/>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三、建立危险废物监管联动机制</w:t>
      </w:r>
    </w:p>
    <w:p>
      <w:pPr>
        <w:pStyle w:val="21"/>
        <w:widowControl w:val="0"/>
        <w:kinsoku/>
        <w:spacing w:line="600" w:lineRule="exact"/>
        <w:ind w:left="0" w:firstLine="6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生态环境部门依法对危险废物的收集、贮存、处置等进行监督管理。严格企业废弃危险化学品等危险废物备案管理，对符合备案要求的，纳入危险废物管理。生态环境部门要将危险废物管理、安全隐患排查等情况，及时通报同级应急管理部门。</w:t>
      </w:r>
    </w:p>
    <w:p>
      <w:pPr>
        <w:pStyle w:val="21"/>
        <w:widowControl w:val="0"/>
        <w:kinsoku/>
        <w:spacing w:line="600" w:lineRule="exact"/>
        <w:ind w:left="0" w:firstLine="6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应急管理部门要督促企业加强安全生产工作，加强危险化学品企业中间产品、最终产品以及拟废弃危险化学品的安全管理，并监督企业完成问题隐患闭环整改。</w:t>
      </w:r>
    </w:p>
    <w:p>
      <w:pPr>
        <w:pStyle w:val="21"/>
        <w:widowControl w:val="0"/>
        <w:kinsoku/>
        <w:spacing w:line="600" w:lineRule="exact"/>
        <w:ind w:left="0" w:firstLine="626"/>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四、建立环保设备设施监管联动机制</w:t>
      </w:r>
    </w:p>
    <w:p>
      <w:pPr>
        <w:pStyle w:val="21"/>
        <w:widowControl w:val="0"/>
        <w:kinsoku/>
        <w:spacing w:line="600" w:lineRule="exact"/>
        <w:ind w:left="0" w:firstLine="6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生态环境部门要督促企业开展</w:t>
      </w:r>
      <w:r>
        <w:rPr>
          <w:rFonts w:ascii="Times New Roman" w:hAnsi="Times New Roman" w:eastAsia="方正仿宋简体" w:cs="Times New Roman"/>
          <w:b/>
          <w:bCs/>
          <w:color w:val="auto"/>
          <w:spacing w:val="-4"/>
          <w:sz w:val="32"/>
          <w:szCs w:val="32"/>
        </w:rPr>
        <w:t>环境隐患排查和安全风险评估</w:t>
      </w:r>
      <w:r>
        <w:rPr>
          <w:rFonts w:ascii="Times New Roman" w:hAnsi="Times New Roman" w:eastAsia="方正仿宋简体" w:cs="Times New Roman"/>
          <w:b/>
          <w:bCs/>
          <w:sz w:val="32"/>
          <w:szCs w:val="32"/>
        </w:rPr>
        <w:t>，发放《环保设施和项目安全防范工作责任告知书》。在建设项目环评批复中，提醒建设单位落实安全生产相关要求，并抄送同级应急管理部门。在新增环保设施和项目环境影响登记表备案后，将备案情况抄送同级应急管理部门。生态环境部门在日常环境监管中，将发现的安全隐患线索及时移送同级应急管理部门。</w:t>
      </w:r>
    </w:p>
    <w:p>
      <w:pPr>
        <w:pStyle w:val="21"/>
        <w:widowControl w:val="0"/>
        <w:kinsoku/>
        <w:spacing w:line="600" w:lineRule="exact"/>
        <w:ind w:left="0" w:firstLine="610"/>
        <w:rPr>
          <w:rFonts w:ascii="Times New Roman" w:hAnsi="Times New Roman" w:eastAsia="方正仿宋简体" w:cs="Times New Roman"/>
          <w:b/>
          <w:bCs/>
          <w:sz w:val="32"/>
          <w:szCs w:val="32"/>
        </w:rPr>
      </w:pPr>
      <w:r>
        <w:rPr>
          <w:rFonts w:ascii="Times New Roman" w:hAnsi="Times New Roman" w:eastAsia="方正仿宋简体" w:cs="Times New Roman"/>
          <w:b/>
          <w:bCs/>
          <w:color w:val="auto"/>
          <w:spacing w:val="-4"/>
          <w:sz w:val="32"/>
          <w:szCs w:val="32"/>
        </w:rPr>
        <w:t>应急管理部门要依据法定职责将工业企业环保设备设施的运行安全纳入监管范围，指导企业依法开展项目安全设计。</w:t>
      </w:r>
      <w:r>
        <w:rPr>
          <w:rFonts w:ascii="Times New Roman" w:hAnsi="Times New Roman" w:eastAsia="方正仿宋简体" w:cs="Times New Roman"/>
          <w:b/>
          <w:bCs/>
          <w:sz w:val="32"/>
          <w:szCs w:val="32"/>
        </w:rPr>
        <w:t>对生态环境部门发现移送的安全隐患线索进行核查，督促企业进行整改，消除安全隐患。</w:t>
      </w:r>
    </w:p>
    <w:p>
      <w:pPr>
        <w:pStyle w:val="21"/>
        <w:widowControl w:val="0"/>
        <w:kinsoku/>
        <w:spacing w:line="600" w:lineRule="exact"/>
        <w:ind w:left="0" w:firstLine="626"/>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五、建立联合执法惩戒机制</w:t>
      </w:r>
    </w:p>
    <w:p>
      <w:pPr>
        <w:pStyle w:val="21"/>
        <w:widowControl w:val="0"/>
        <w:kinsoku/>
        <w:spacing w:line="600" w:lineRule="exact"/>
        <w:ind w:left="0" w:firstLine="6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加强对重点企业的执法监管力度，</w:t>
      </w:r>
      <w:r>
        <w:rPr>
          <w:rFonts w:ascii="Times New Roman" w:hAnsi="Times New Roman" w:eastAsia="方正仿宋简体" w:cs="Times New Roman"/>
          <w:b/>
          <w:bCs/>
          <w:color w:val="auto"/>
          <w:spacing w:val="-4"/>
          <w:sz w:val="32"/>
          <w:szCs w:val="32"/>
        </w:rPr>
        <w:t>围绕工业企业环保设备设施、危险废物等重点领域，</w:t>
      </w:r>
      <w:r>
        <w:rPr>
          <w:rFonts w:ascii="Times New Roman" w:hAnsi="Times New Roman" w:eastAsia="方正仿宋简体" w:cs="Times New Roman"/>
          <w:b/>
          <w:bCs/>
          <w:sz w:val="32"/>
          <w:szCs w:val="32"/>
        </w:rPr>
        <w:t>每年组织1-2次专项联合执法。拟定联合执法的重点企业清单，并根据实际情况（关停、破产、新建等）定期调整。推进对重点问题的整改落地见效，对检查发现的问题，双方联合交办属地人民政府落实整改，并进行公示，制定整改方案，明确整改时间。整改期满后不能完成的，实行挂牌督办，并对企业纳入联合惩戒“黑名单”管理。</w:t>
      </w:r>
    </w:p>
    <w:p>
      <w:pPr>
        <w:pStyle w:val="21"/>
        <w:widowControl w:val="0"/>
        <w:kinsoku/>
        <w:spacing w:line="600" w:lineRule="exact"/>
        <w:ind w:left="0" w:firstLine="626"/>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六、建立第三方机构联合监管机制</w:t>
      </w:r>
    </w:p>
    <w:p>
      <w:pPr>
        <w:pStyle w:val="21"/>
        <w:widowControl w:val="0"/>
        <w:kinsoku/>
        <w:spacing w:line="600" w:lineRule="exact"/>
        <w:ind w:left="0" w:firstLine="6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生态环境部门定期将环评编制单位、编制人员失信行为信息共享给应急管理部门，应急管理部门定期将安全评价机构认可、评估、资质取消等信息共享给生态环境部门。必要时，双方开展联合惩戒并向社会公开处理情况。</w:t>
      </w:r>
    </w:p>
    <w:p>
      <w:pPr>
        <w:pStyle w:val="21"/>
        <w:widowControl w:val="0"/>
        <w:kinsoku/>
        <w:spacing w:line="600" w:lineRule="exact"/>
        <w:ind w:left="0" w:firstLine="626"/>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督促第三方机构责任落实，要配备专业的环保和安全技术人员。在治理方案选择、工程设计和建设、运行管理过程中要充分兼顾环保和安全要求。</w:t>
      </w:r>
    </w:p>
    <w:p>
      <w:pPr>
        <w:spacing w:line="500" w:lineRule="exact"/>
        <w:ind w:firstLine="270" w:firstLineChars="99"/>
        <w:rPr>
          <w:b/>
          <w:sz w:val="28"/>
          <w:szCs w:val="28"/>
        </w:rPr>
      </w:pPr>
      <w:bookmarkStart w:id="0" w:name="_GoBack"/>
      <w:bookmarkEnd w:id="0"/>
    </w:p>
    <w:sectPr>
      <w:headerReference r:id="rId3" w:type="default"/>
      <w:footerReference r:id="rId5" w:type="default"/>
      <w:headerReference r:id="rId4" w:type="even"/>
      <w:footerReference r:id="rId6" w:type="even"/>
      <w:pgSz w:w="11906" w:h="16838"/>
      <w:pgMar w:top="1418" w:right="1588" w:bottom="1418" w:left="1588" w:header="851" w:footer="1701"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00000001" w:usb1="0800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118673"/>
      <w:docPartObj>
        <w:docPartGallery w:val="autotext"/>
      </w:docPartObj>
    </w:sdtPr>
    <w:sdtEndPr>
      <w:rPr>
        <w:rFonts w:asciiTheme="minorEastAsia" w:hAnsiTheme="minorEastAsia" w:eastAsiaTheme="minorEastAsia"/>
        <w:b/>
        <w:sz w:val="28"/>
        <w:szCs w:val="28"/>
      </w:rPr>
    </w:sdtEndPr>
    <w:sdtContent>
      <w:p>
        <w:pPr>
          <w:pStyle w:val="4"/>
          <w:jc w:val="right"/>
          <w:rPr>
            <w:rFonts w:asciiTheme="minorEastAsia" w:hAnsiTheme="minorEastAsia" w:eastAsiaTheme="minorEastAsia"/>
            <w:b/>
            <w:sz w:val="28"/>
            <w:szCs w:val="28"/>
          </w:rPr>
        </w:pP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b/>
            <w:sz w:val="28"/>
            <w:szCs w:val="28"/>
          </w:rPr>
          <w:fldChar w:fldCharType="separate"/>
        </w:r>
        <w:r>
          <w:rPr>
            <w:rFonts w:asciiTheme="minorEastAsia" w:hAnsiTheme="minorEastAsia" w:eastAsiaTheme="minorEastAsia"/>
            <w:b/>
            <w:sz w:val="28"/>
            <w:szCs w:val="28"/>
            <w:lang w:val="zh-CN"/>
          </w:rPr>
          <w:t>-</w:t>
        </w:r>
        <w:r>
          <w:rPr>
            <w:rFonts w:asciiTheme="minorEastAsia" w:hAnsiTheme="minorEastAsia" w:eastAsiaTheme="minorEastAsia"/>
            <w:b/>
            <w:sz w:val="28"/>
            <w:szCs w:val="28"/>
          </w:rPr>
          <w:t xml:space="preserve"> 3 -</w:t>
        </w:r>
        <w:r>
          <w:rPr>
            <w:rFonts w:asciiTheme="minorEastAsia" w:hAnsiTheme="minorEastAsia" w:eastAsia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516650"/>
      <w:docPartObj>
        <w:docPartGallery w:val="autotext"/>
      </w:docPartObj>
    </w:sdtPr>
    <w:sdtEndPr>
      <w:rPr>
        <w:rFonts w:asciiTheme="minorEastAsia" w:hAnsiTheme="minorEastAsia" w:eastAsiaTheme="minorEastAsia"/>
        <w:b/>
        <w:sz w:val="28"/>
        <w:szCs w:val="28"/>
      </w:rPr>
    </w:sdtEndPr>
    <w:sdtContent>
      <w:p>
        <w:pPr>
          <w:pStyle w:val="4"/>
          <w:rPr>
            <w:rFonts w:asciiTheme="minorEastAsia" w:hAnsiTheme="minorEastAsia" w:eastAsiaTheme="minorEastAsia"/>
            <w:b/>
            <w:sz w:val="28"/>
            <w:szCs w:val="28"/>
          </w:rPr>
        </w:pP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b/>
            <w:sz w:val="28"/>
            <w:szCs w:val="28"/>
          </w:rPr>
          <w:fldChar w:fldCharType="separate"/>
        </w:r>
        <w:r>
          <w:rPr>
            <w:rFonts w:asciiTheme="minorEastAsia" w:hAnsiTheme="minorEastAsia" w:eastAsiaTheme="minorEastAsia"/>
            <w:b/>
            <w:sz w:val="28"/>
            <w:szCs w:val="28"/>
            <w:lang w:val="zh-CN"/>
          </w:rPr>
          <w:t>-</w:t>
        </w:r>
        <w:r>
          <w:rPr>
            <w:rFonts w:asciiTheme="minorEastAsia" w:hAnsiTheme="minorEastAsia" w:eastAsiaTheme="minorEastAsia"/>
            <w:b/>
            <w:sz w:val="28"/>
            <w:szCs w:val="28"/>
          </w:rPr>
          <w:t xml:space="preserve"> 4 -</w:t>
        </w:r>
        <w:r>
          <w:rPr>
            <w:rFonts w:asciiTheme="minorEastAsia" w:hAnsiTheme="minorEastAsia" w:eastAsiaTheme="min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true"/>
  <w:drawingGridHorizontalSpacing w:val="156"/>
  <w:drawingGridVerticalSpacing w:val="3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BC"/>
    <w:rsid w:val="000020D0"/>
    <w:rsid w:val="00003091"/>
    <w:rsid w:val="00023E64"/>
    <w:rsid w:val="00041CC9"/>
    <w:rsid w:val="00046101"/>
    <w:rsid w:val="00046F0F"/>
    <w:rsid w:val="00055746"/>
    <w:rsid w:val="0005787F"/>
    <w:rsid w:val="000628F9"/>
    <w:rsid w:val="00065C1B"/>
    <w:rsid w:val="0007271D"/>
    <w:rsid w:val="00074BBE"/>
    <w:rsid w:val="000777F2"/>
    <w:rsid w:val="000835C4"/>
    <w:rsid w:val="00084C61"/>
    <w:rsid w:val="0008620F"/>
    <w:rsid w:val="00091E58"/>
    <w:rsid w:val="000B7B8E"/>
    <w:rsid w:val="000C0FAC"/>
    <w:rsid w:val="000C1659"/>
    <w:rsid w:val="000E0621"/>
    <w:rsid w:val="000E0A06"/>
    <w:rsid w:val="000F0BA1"/>
    <w:rsid w:val="0010414A"/>
    <w:rsid w:val="00112D19"/>
    <w:rsid w:val="001208DA"/>
    <w:rsid w:val="0012470C"/>
    <w:rsid w:val="001370A3"/>
    <w:rsid w:val="001375D5"/>
    <w:rsid w:val="00141AE9"/>
    <w:rsid w:val="001465F7"/>
    <w:rsid w:val="001546E3"/>
    <w:rsid w:val="00160647"/>
    <w:rsid w:val="00166C8F"/>
    <w:rsid w:val="00166D26"/>
    <w:rsid w:val="001719B6"/>
    <w:rsid w:val="001733B3"/>
    <w:rsid w:val="00180562"/>
    <w:rsid w:val="001812FE"/>
    <w:rsid w:val="001851A9"/>
    <w:rsid w:val="00185385"/>
    <w:rsid w:val="0018777B"/>
    <w:rsid w:val="001952E9"/>
    <w:rsid w:val="001A16CD"/>
    <w:rsid w:val="001A2FA8"/>
    <w:rsid w:val="001A5F25"/>
    <w:rsid w:val="001D4CFB"/>
    <w:rsid w:val="001D6645"/>
    <w:rsid w:val="001E4054"/>
    <w:rsid w:val="001F644D"/>
    <w:rsid w:val="002071F7"/>
    <w:rsid w:val="0021735C"/>
    <w:rsid w:val="002225E6"/>
    <w:rsid w:val="00231511"/>
    <w:rsid w:val="0023328A"/>
    <w:rsid w:val="00240EF4"/>
    <w:rsid w:val="00244FB4"/>
    <w:rsid w:val="0025235E"/>
    <w:rsid w:val="00253301"/>
    <w:rsid w:val="00256DF2"/>
    <w:rsid w:val="00260B28"/>
    <w:rsid w:val="00261A74"/>
    <w:rsid w:val="0026409E"/>
    <w:rsid w:val="00264469"/>
    <w:rsid w:val="0028265E"/>
    <w:rsid w:val="002869C3"/>
    <w:rsid w:val="002941F1"/>
    <w:rsid w:val="002C1A13"/>
    <w:rsid w:val="002C25E1"/>
    <w:rsid w:val="002C4C68"/>
    <w:rsid w:val="002D162F"/>
    <w:rsid w:val="002D1949"/>
    <w:rsid w:val="002D4B8E"/>
    <w:rsid w:val="002D65B3"/>
    <w:rsid w:val="002D6F4E"/>
    <w:rsid w:val="002E7DEF"/>
    <w:rsid w:val="002F189C"/>
    <w:rsid w:val="002F4499"/>
    <w:rsid w:val="00303181"/>
    <w:rsid w:val="003038BE"/>
    <w:rsid w:val="00310AA8"/>
    <w:rsid w:val="00322F63"/>
    <w:rsid w:val="00326908"/>
    <w:rsid w:val="00331BBE"/>
    <w:rsid w:val="00340E12"/>
    <w:rsid w:val="00341D64"/>
    <w:rsid w:val="00350E16"/>
    <w:rsid w:val="00355B06"/>
    <w:rsid w:val="00382182"/>
    <w:rsid w:val="00392013"/>
    <w:rsid w:val="003A34B4"/>
    <w:rsid w:val="003A75AF"/>
    <w:rsid w:val="003B1A68"/>
    <w:rsid w:val="003C7685"/>
    <w:rsid w:val="003D5BC4"/>
    <w:rsid w:val="003E32E8"/>
    <w:rsid w:val="003F180D"/>
    <w:rsid w:val="003F4A1A"/>
    <w:rsid w:val="004013F2"/>
    <w:rsid w:val="0040771E"/>
    <w:rsid w:val="00413EE5"/>
    <w:rsid w:val="00415B15"/>
    <w:rsid w:val="00420A5D"/>
    <w:rsid w:val="00425976"/>
    <w:rsid w:val="004348DA"/>
    <w:rsid w:val="00437504"/>
    <w:rsid w:val="00444998"/>
    <w:rsid w:val="00457E27"/>
    <w:rsid w:val="0046298B"/>
    <w:rsid w:val="004652DE"/>
    <w:rsid w:val="0047587A"/>
    <w:rsid w:val="00487D35"/>
    <w:rsid w:val="004A2ABD"/>
    <w:rsid w:val="004A3BD0"/>
    <w:rsid w:val="004B3413"/>
    <w:rsid w:val="004C1A9B"/>
    <w:rsid w:val="004D09AA"/>
    <w:rsid w:val="004D7E5D"/>
    <w:rsid w:val="004F55D2"/>
    <w:rsid w:val="00500C43"/>
    <w:rsid w:val="00513290"/>
    <w:rsid w:val="00514D2F"/>
    <w:rsid w:val="00520BC4"/>
    <w:rsid w:val="00534C61"/>
    <w:rsid w:val="005528BF"/>
    <w:rsid w:val="00552FC2"/>
    <w:rsid w:val="00555357"/>
    <w:rsid w:val="00556081"/>
    <w:rsid w:val="0056376F"/>
    <w:rsid w:val="00566437"/>
    <w:rsid w:val="00574E4E"/>
    <w:rsid w:val="00586433"/>
    <w:rsid w:val="005947DC"/>
    <w:rsid w:val="005B4F0F"/>
    <w:rsid w:val="005B5AC1"/>
    <w:rsid w:val="005C149F"/>
    <w:rsid w:val="005C3107"/>
    <w:rsid w:val="005D03D8"/>
    <w:rsid w:val="005D58AC"/>
    <w:rsid w:val="005E46DE"/>
    <w:rsid w:val="005F2AE5"/>
    <w:rsid w:val="00601693"/>
    <w:rsid w:val="0060229C"/>
    <w:rsid w:val="00603355"/>
    <w:rsid w:val="0060382E"/>
    <w:rsid w:val="00606F8D"/>
    <w:rsid w:val="00624010"/>
    <w:rsid w:val="00626408"/>
    <w:rsid w:val="00631C89"/>
    <w:rsid w:val="00634DEA"/>
    <w:rsid w:val="0064072A"/>
    <w:rsid w:val="0065156B"/>
    <w:rsid w:val="00661254"/>
    <w:rsid w:val="0066152A"/>
    <w:rsid w:val="006627B8"/>
    <w:rsid w:val="00663A1F"/>
    <w:rsid w:val="00673B13"/>
    <w:rsid w:val="006754D9"/>
    <w:rsid w:val="00685B92"/>
    <w:rsid w:val="00690920"/>
    <w:rsid w:val="00695CD0"/>
    <w:rsid w:val="00697B31"/>
    <w:rsid w:val="006B0D88"/>
    <w:rsid w:val="006D2BF5"/>
    <w:rsid w:val="006E303E"/>
    <w:rsid w:val="006E7346"/>
    <w:rsid w:val="006F1511"/>
    <w:rsid w:val="006F5431"/>
    <w:rsid w:val="00701718"/>
    <w:rsid w:val="00722DA7"/>
    <w:rsid w:val="007252C0"/>
    <w:rsid w:val="00744F2F"/>
    <w:rsid w:val="00754B1A"/>
    <w:rsid w:val="00760474"/>
    <w:rsid w:val="007614B7"/>
    <w:rsid w:val="007651F2"/>
    <w:rsid w:val="007654CE"/>
    <w:rsid w:val="00772C7D"/>
    <w:rsid w:val="00777614"/>
    <w:rsid w:val="00781F91"/>
    <w:rsid w:val="007948C1"/>
    <w:rsid w:val="007A02BF"/>
    <w:rsid w:val="007B15DF"/>
    <w:rsid w:val="007B6F59"/>
    <w:rsid w:val="007C2663"/>
    <w:rsid w:val="007E5C95"/>
    <w:rsid w:val="007E703E"/>
    <w:rsid w:val="007E73AB"/>
    <w:rsid w:val="007F371B"/>
    <w:rsid w:val="007F5262"/>
    <w:rsid w:val="007F68D4"/>
    <w:rsid w:val="00815253"/>
    <w:rsid w:val="00845A30"/>
    <w:rsid w:val="008519E7"/>
    <w:rsid w:val="008547D9"/>
    <w:rsid w:val="008623ED"/>
    <w:rsid w:val="0087028B"/>
    <w:rsid w:val="008757EA"/>
    <w:rsid w:val="00875DD2"/>
    <w:rsid w:val="008841E6"/>
    <w:rsid w:val="00893458"/>
    <w:rsid w:val="008940DB"/>
    <w:rsid w:val="00896B47"/>
    <w:rsid w:val="008A3655"/>
    <w:rsid w:val="008A4396"/>
    <w:rsid w:val="008C5F3A"/>
    <w:rsid w:val="008D1BC2"/>
    <w:rsid w:val="008D4E38"/>
    <w:rsid w:val="008E3041"/>
    <w:rsid w:val="008E45BA"/>
    <w:rsid w:val="008E7EA4"/>
    <w:rsid w:val="008F177B"/>
    <w:rsid w:val="008F1E57"/>
    <w:rsid w:val="008F2C7F"/>
    <w:rsid w:val="008F43CE"/>
    <w:rsid w:val="009130DA"/>
    <w:rsid w:val="00916C0E"/>
    <w:rsid w:val="00920641"/>
    <w:rsid w:val="00923201"/>
    <w:rsid w:val="00923A83"/>
    <w:rsid w:val="009326DD"/>
    <w:rsid w:val="00933016"/>
    <w:rsid w:val="00933523"/>
    <w:rsid w:val="009467AD"/>
    <w:rsid w:val="00965788"/>
    <w:rsid w:val="0098366E"/>
    <w:rsid w:val="009840FD"/>
    <w:rsid w:val="00985AD2"/>
    <w:rsid w:val="009871EC"/>
    <w:rsid w:val="009A7C90"/>
    <w:rsid w:val="009B34D7"/>
    <w:rsid w:val="009C669A"/>
    <w:rsid w:val="009C6D4A"/>
    <w:rsid w:val="009D3CF9"/>
    <w:rsid w:val="009D4D48"/>
    <w:rsid w:val="009D6DDE"/>
    <w:rsid w:val="009E326A"/>
    <w:rsid w:val="00A0008A"/>
    <w:rsid w:val="00A07824"/>
    <w:rsid w:val="00A11B74"/>
    <w:rsid w:val="00A240E4"/>
    <w:rsid w:val="00A26111"/>
    <w:rsid w:val="00A32E0C"/>
    <w:rsid w:val="00A345BF"/>
    <w:rsid w:val="00A403DC"/>
    <w:rsid w:val="00A4145A"/>
    <w:rsid w:val="00A41529"/>
    <w:rsid w:val="00A42BAC"/>
    <w:rsid w:val="00A474EF"/>
    <w:rsid w:val="00A8220A"/>
    <w:rsid w:val="00A825EA"/>
    <w:rsid w:val="00A826A6"/>
    <w:rsid w:val="00A833ED"/>
    <w:rsid w:val="00A90D02"/>
    <w:rsid w:val="00AA07F4"/>
    <w:rsid w:val="00AA0916"/>
    <w:rsid w:val="00AA1124"/>
    <w:rsid w:val="00AB1C72"/>
    <w:rsid w:val="00AB3FB2"/>
    <w:rsid w:val="00AB5AD4"/>
    <w:rsid w:val="00AC1AC7"/>
    <w:rsid w:val="00AD536F"/>
    <w:rsid w:val="00AD75EA"/>
    <w:rsid w:val="00AE34B4"/>
    <w:rsid w:val="00AE621E"/>
    <w:rsid w:val="00B041DD"/>
    <w:rsid w:val="00B14C75"/>
    <w:rsid w:val="00B15FEC"/>
    <w:rsid w:val="00B25C2B"/>
    <w:rsid w:val="00B348DF"/>
    <w:rsid w:val="00B364DF"/>
    <w:rsid w:val="00B6049D"/>
    <w:rsid w:val="00B6184B"/>
    <w:rsid w:val="00B62199"/>
    <w:rsid w:val="00B643F6"/>
    <w:rsid w:val="00B73CF0"/>
    <w:rsid w:val="00B81944"/>
    <w:rsid w:val="00B85DC0"/>
    <w:rsid w:val="00B85E74"/>
    <w:rsid w:val="00B87AC3"/>
    <w:rsid w:val="00B9064C"/>
    <w:rsid w:val="00B92FCE"/>
    <w:rsid w:val="00BB70FD"/>
    <w:rsid w:val="00BD3A12"/>
    <w:rsid w:val="00BD6091"/>
    <w:rsid w:val="00BE5D29"/>
    <w:rsid w:val="00BF4E9E"/>
    <w:rsid w:val="00C113D7"/>
    <w:rsid w:val="00C213BF"/>
    <w:rsid w:val="00C268C4"/>
    <w:rsid w:val="00C331E7"/>
    <w:rsid w:val="00C355A6"/>
    <w:rsid w:val="00C406B3"/>
    <w:rsid w:val="00C414E8"/>
    <w:rsid w:val="00C514A7"/>
    <w:rsid w:val="00C65ADE"/>
    <w:rsid w:val="00C75020"/>
    <w:rsid w:val="00C81DCE"/>
    <w:rsid w:val="00C851CB"/>
    <w:rsid w:val="00C867AA"/>
    <w:rsid w:val="00C874B9"/>
    <w:rsid w:val="00C92464"/>
    <w:rsid w:val="00CA20C5"/>
    <w:rsid w:val="00CA4E51"/>
    <w:rsid w:val="00CB35BC"/>
    <w:rsid w:val="00CD35C2"/>
    <w:rsid w:val="00CE7AA4"/>
    <w:rsid w:val="00CF0657"/>
    <w:rsid w:val="00D015B3"/>
    <w:rsid w:val="00D17998"/>
    <w:rsid w:val="00D22E76"/>
    <w:rsid w:val="00D22FC8"/>
    <w:rsid w:val="00D362C2"/>
    <w:rsid w:val="00D40A26"/>
    <w:rsid w:val="00D41ED8"/>
    <w:rsid w:val="00D446A0"/>
    <w:rsid w:val="00D5056D"/>
    <w:rsid w:val="00D5213B"/>
    <w:rsid w:val="00D52CE2"/>
    <w:rsid w:val="00D5329A"/>
    <w:rsid w:val="00D56B7F"/>
    <w:rsid w:val="00D64197"/>
    <w:rsid w:val="00D67C8C"/>
    <w:rsid w:val="00D84B04"/>
    <w:rsid w:val="00D85C83"/>
    <w:rsid w:val="00D90073"/>
    <w:rsid w:val="00D930D2"/>
    <w:rsid w:val="00D96570"/>
    <w:rsid w:val="00DA080D"/>
    <w:rsid w:val="00DA2797"/>
    <w:rsid w:val="00DA3211"/>
    <w:rsid w:val="00DA74DE"/>
    <w:rsid w:val="00DB554A"/>
    <w:rsid w:val="00DC2622"/>
    <w:rsid w:val="00DD5CC4"/>
    <w:rsid w:val="00DE0B7A"/>
    <w:rsid w:val="00DE319F"/>
    <w:rsid w:val="00DE3FF7"/>
    <w:rsid w:val="00DF1A4B"/>
    <w:rsid w:val="00DF24E8"/>
    <w:rsid w:val="00E1661E"/>
    <w:rsid w:val="00E3259D"/>
    <w:rsid w:val="00E41F89"/>
    <w:rsid w:val="00E50A3C"/>
    <w:rsid w:val="00E5115B"/>
    <w:rsid w:val="00E52954"/>
    <w:rsid w:val="00E535B4"/>
    <w:rsid w:val="00E57D25"/>
    <w:rsid w:val="00E66517"/>
    <w:rsid w:val="00E66EF2"/>
    <w:rsid w:val="00E8620B"/>
    <w:rsid w:val="00E86938"/>
    <w:rsid w:val="00E90504"/>
    <w:rsid w:val="00EA230F"/>
    <w:rsid w:val="00EB7BCD"/>
    <w:rsid w:val="00EC443F"/>
    <w:rsid w:val="00ED0A20"/>
    <w:rsid w:val="00ED2104"/>
    <w:rsid w:val="00EE3CE9"/>
    <w:rsid w:val="00EF1B67"/>
    <w:rsid w:val="00EF5E51"/>
    <w:rsid w:val="00F00CBA"/>
    <w:rsid w:val="00F061C1"/>
    <w:rsid w:val="00F27D8F"/>
    <w:rsid w:val="00F31760"/>
    <w:rsid w:val="00F402BB"/>
    <w:rsid w:val="00F40F04"/>
    <w:rsid w:val="00F43BD9"/>
    <w:rsid w:val="00F46552"/>
    <w:rsid w:val="00F52D77"/>
    <w:rsid w:val="00F557F3"/>
    <w:rsid w:val="00F612DB"/>
    <w:rsid w:val="00F66AC9"/>
    <w:rsid w:val="00F67699"/>
    <w:rsid w:val="00F74E0D"/>
    <w:rsid w:val="00F769A2"/>
    <w:rsid w:val="00F85A60"/>
    <w:rsid w:val="00F871B5"/>
    <w:rsid w:val="00F92E06"/>
    <w:rsid w:val="00FB1180"/>
    <w:rsid w:val="00FB511E"/>
    <w:rsid w:val="00FC20B5"/>
    <w:rsid w:val="00FC6199"/>
    <w:rsid w:val="00FC6673"/>
    <w:rsid w:val="00FC6FA5"/>
    <w:rsid w:val="00FD5F44"/>
    <w:rsid w:val="00FE24E0"/>
    <w:rsid w:val="53B43BA2"/>
    <w:rsid w:val="57FD5A3F"/>
    <w:rsid w:val="7FFB2761"/>
    <w:rsid w:val="EE2F9959"/>
    <w:rsid w:val="F5C9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right="26" w:firstLine="640" w:firstLineChars="200"/>
    </w:pPr>
    <w:rPr>
      <w:rFonts w:ascii="仿宋_GB2312" w:eastAsia="仿宋_GB2312"/>
    </w:rPr>
  </w:style>
  <w:style w:type="paragraph" w:styleId="3">
    <w:name w:val="Balloon Text"/>
    <w:basedOn w:val="1"/>
    <w:link w:val="14"/>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20"/>
    <w:unhideWhenUsed/>
    <w:qFormat/>
    <w:uiPriority w:val="0"/>
    <w:pPr>
      <w:spacing w:after="120"/>
      <w:ind w:left="420" w:leftChars="200" w:right="0" w:firstLine="420"/>
    </w:pPr>
    <w:rPr>
      <w:rFonts w:ascii="Times New Roman" w:eastAsia="方正小标宋简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paragraph" w:customStyle="1" w:styleId="13">
    <w:name w:val="Char Char"/>
    <w:basedOn w:val="1"/>
    <w:semiHidden/>
    <w:qFormat/>
    <w:uiPriority w:val="0"/>
    <w:rPr>
      <w:rFonts w:eastAsia="宋体"/>
      <w:sz w:val="30"/>
      <w:szCs w:val="30"/>
    </w:rPr>
  </w:style>
  <w:style w:type="character" w:customStyle="1" w:styleId="14">
    <w:name w:val="批注框文本 Char"/>
    <w:link w:val="3"/>
    <w:qFormat/>
    <w:uiPriority w:val="0"/>
    <w:rPr>
      <w:rFonts w:eastAsia="方正小标宋简体"/>
      <w:kern w:val="2"/>
      <w:sz w:val="18"/>
      <w:szCs w:val="18"/>
    </w:rPr>
  </w:style>
  <w:style w:type="character" w:customStyle="1" w:styleId="15">
    <w:name w:val="正文文本缩进 Char"/>
    <w:link w:val="2"/>
    <w:qFormat/>
    <w:uiPriority w:val="0"/>
    <w:rPr>
      <w:rFonts w:ascii="仿宋_GB2312" w:eastAsia="仿宋_GB2312"/>
      <w:kern w:val="2"/>
      <w:sz w:val="32"/>
      <w:szCs w:val="32"/>
    </w:rPr>
  </w:style>
  <w:style w:type="character" w:customStyle="1" w:styleId="16">
    <w:name w:val="页脚 Char"/>
    <w:link w:val="4"/>
    <w:qFormat/>
    <w:uiPriority w:val="99"/>
    <w:rPr>
      <w:rFonts w:eastAsia="方正小标宋简体"/>
      <w:kern w:val="2"/>
      <w:sz w:val="18"/>
      <w:szCs w:val="18"/>
    </w:rPr>
  </w:style>
  <w:style w:type="character" w:customStyle="1" w:styleId="17">
    <w:name w:val="font61"/>
    <w:basedOn w:val="10"/>
    <w:qFormat/>
    <w:uiPriority w:val="0"/>
    <w:rPr>
      <w:rFonts w:hint="eastAsia" w:ascii="宋体" w:hAnsi="宋体" w:eastAsia="宋体" w:cs="宋体"/>
      <w:color w:val="000000"/>
      <w:sz w:val="28"/>
      <w:szCs w:val="28"/>
      <w:u w:val="none"/>
    </w:rPr>
  </w:style>
  <w:style w:type="character" w:customStyle="1" w:styleId="18">
    <w:name w:val="font71"/>
    <w:basedOn w:val="10"/>
    <w:qFormat/>
    <w:uiPriority w:val="0"/>
    <w:rPr>
      <w:rFonts w:hint="eastAsia" w:ascii="宋体" w:hAnsi="宋体" w:eastAsia="宋体" w:cs="宋体"/>
      <w:color w:val="000000"/>
      <w:sz w:val="21"/>
      <w:szCs w:val="21"/>
      <w:u w:val="none"/>
    </w:rPr>
  </w:style>
  <w:style w:type="character" w:customStyle="1" w:styleId="19">
    <w:name w:val="font51"/>
    <w:qFormat/>
    <w:uiPriority w:val="0"/>
    <w:rPr>
      <w:rFonts w:hint="default" w:ascii="Times New Roman" w:hAnsi="Times New Roman" w:cs="Times New Roman"/>
      <w:color w:val="000000"/>
      <w:sz w:val="28"/>
      <w:szCs w:val="28"/>
      <w:u w:val="none"/>
    </w:rPr>
  </w:style>
  <w:style w:type="character" w:customStyle="1" w:styleId="20">
    <w:name w:val="正文首行缩进 2 Char"/>
    <w:basedOn w:val="15"/>
    <w:link w:val="7"/>
    <w:qFormat/>
    <w:uiPriority w:val="0"/>
    <w:rPr>
      <w:rFonts w:ascii="仿宋_GB2312" w:eastAsia="方正小标宋简体"/>
      <w:kern w:val="2"/>
      <w:sz w:val="32"/>
      <w:szCs w:val="32"/>
    </w:rPr>
  </w:style>
  <w:style w:type="paragraph" w:customStyle="1" w:styleId="21">
    <w:name w:val="样式 样式 左侧:  2 字符 + 左侧:  0.85 厘米 首行缩进:  2 字符1"/>
    <w:basedOn w:val="1"/>
    <w:qFormat/>
    <w:uiPriority w:val="0"/>
    <w:pPr>
      <w:widowControl/>
      <w:kinsoku w:val="0"/>
      <w:autoSpaceDE w:val="0"/>
      <w:autoSpaceDN w:val="0"/>
      <w:adjustRightInd w:val="0"/>
      <w:snapToGrid w:val="0"/>
      <w:ind w:left="482" w:firstLine="200" w:firstLineChars="200"/>
      <w:jc w:val="left"/>
      <w:textAlignment w:val="baseline"/>
    </w:pPr>
    <w:rPr>
      <w:rFonts w:ascii="Arial" w:hAnsi="Arial" w:eastAsia="Arial" w:cs="宋体"/>
      <w:snapToGrid w:val="0"/>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260</Words>
  <Characters>1487</Characters>
  <Lines>12</Lines>
  <Paragraphs>3</Paragraphs>
  <TotalTime>3</TotalTime>
  <ScaleCrop>false</ScaleCrop>
  <LinksUpToDate>false</LinksUpToDate>
  <CharactersWithSpaces>1744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2023-10-20T18:32:00Z</dcterms:created>
  <dc:creator>赵志</dc:creator>
  <cp:lastModifiedBy>thth</cp:lastModifiedBy>
  <cp:lastPrinted>2022-05-11T09:14:00Z</cp:lastPrinted>
  <dcterms:modified xsi:type="dcterms:W3CDTF">2024-01-04T15:26:48Z</dcterms:modified>
  <dc:title>济宁市第十五届人民政府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D052E7CC8C7B4C8CA0D176FB2AB6657A</vt:lpwstr>
  </property>
</Properties>
</file>