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200" w:lineRule="exact"/>
        <w:jc w:val="center"/>
        <w:rPr>
          <w:rFonts w:hint="eastAsia" w:ascii="文星标宋" w:hAnsi="文星标宋" w:eastAsia="文星标宋" w:cs="文星标宋"/>
          <w:color w:val="FF0000"/>
          <w:sz w:val="28"/>
          <w:szCs w:val="28"/>
        </w:rPr>
      </w:pPr>
    </w:p>
    <w:tbl>
      <w:tblPr>
        <w:tblStyle w:val="7"/>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z w:val="120"/>
                <w:szCs w:val="120"/>
              </w:rPr>
            </w:pPr>
            <w:bookmarkStart w:id="0" w:name="print1"/>
            <w:r>
              <w:rPr>
                <w:rFonts w:hint="eastAsia" w:ascii="方正小标宋简体" w:hAnsi="文星标宋" w:eastAsia="方正小标宋简体" w:cs="方正小标宋简体"/>
                <w:b/>
                <w:color w:val="FF0000"/>
                <w:w w:val="70"/>
                <w:sz w:val="120"/>
                <w:szCs w:val="120"/>
                <w:lang w:bidi="ar"/>
              </w:rPr>
              <w:t>济宁市人民政府文件</w:t>
            </w:r>
            <w:bookmarkEnd w:id="0"/>
          </w:p>
        </w:tc>
      </w:tr>
    </w:tbl>
    <w:p>
      <w:pPr>
        <w:spacing w:line="400" w:lineRule="exact"/>
        <w:jc w:val="center"/>
      </w:pPr>
    </w:p>
    <w:p>
      <w:pPr>
        <w:spacing w:line="400" w:lineRule="exact"/>
        <w:jc w:val="center"/>
      </w:pPr>
    </w:p>
    <w:p>
      <w:pPr>
        <w:jc w:val="center"/>
        <w:rPr>
          <w:rFonts w:ascii="仿宋_GB2312" w:hAnsi="仿宋_GB2312" w:eastAsia="仿宋_GB2312" w:cs="仿宋_GB2312"/>
          <w:b/>
        </w:rPr>
      </w:pPr>
      <w:r>
        <w:rPr>
          <w:rFonts w:hint="eastAsia" w:ascii="方正仿宋简体" w:hAnsi="文星仿宋" w:eastAsia="方正仿宋简体" w:cs="方正仿宋简体"/>
          <w:b/>
          <w:sz w:val="32"/>
          <w:szCs w:val="32"/>
          <w:lang w:bidi="ar"/>
        </w:rPr>
        <w:t>济政发〔2026〕7号</w:t>
      </w:r>
    </w:p>
    <w:p>
      <w:pPr>
        <w:spacing w:line="600" w:lineRule="exact"/>
        <w:jc w:val="center"/>
        <w:rPr>
          <w:rFonts w:ascii="方正小标宋简体" w:hAnsi="文星仿宋" w:eastAsia="方正小标宋简体" w:cs="方正小标宋简体"/>
          <w:b/>
          <w:color w:val="FF0000"/>
          <w:sz w:val="44"/>
          <w:szCs w:val="44"/>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38100</wp:posOffset>
                </wp:positionH>
                <wp:positionV relativeFrom="paragraph">
                  <wp:posOffset>100965</wp:posOffset>
                </wp:positionV>
                <wp:extent cx="5579745" cy="0"/>
                <wp:effectExtent l="0" t="0" r="20955" b="19050"/>
                <wp:wrapNone/>
                <wp:docPr id="2" name="Line 4"/>
                <wp:cNvGraphicFramePr/>
                <a:graphic xmlns:a="http://schemas.openxmlformats.org/drawingml/2006/main">
                  <a:graphicData uri="http://schemas.microsoft.com/office/word/2010/wordprocessingShape">
                    <wps:wsp>
                      <wps:cNvCnPr/>
                      <wps:spPr>
                        <a:xfrm>
                          <a:off x="0" y="0"/>
                          <a:ext cx="5580000"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3pt;margin-top:7.95pt;height:0pt;width:439.35pt;z-index:251659264;mso-width-relative:page;mso-height-relative:page;" filled="f" stroked="t" coordsize="21600,21600" o:gfxdata="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KJlcBLVAAAA&#10;BwEAAA8AAAAAAAAAAQAgAAAAOAAAAGRycy9kb3ducmV2LnhtbFBLAQIUABQAAAAIAIdO4kDFhTH0&#10;0QEAAM4DAAAOAAAAAAAAAAEAIAAAADoBAABkcnMvZTJvRG9jLnhtbFBLBQYAAAAABgAGAFkBAAB9&#10;BQAAAAA=&#10;">
                <v:fill on="f" focussize="0,0"/>
                <v:stroke weight="1pt" color="#FF0000" joinstyle="round"/>
                <v:imagedata o:title=""/>
                <o:lock v:ext="edit" aspectratio="f"/>
              </v:line>
            </w:pict>
          </mc:Fallback>
        </mc:AlternateContent>
      </w:r>
    </w:p>
    <w:p>
      <w:pPr>
        <w:spacing w:line="600" w:lineRule="exact"/>
        <w:jc w:val="center"/>
        <w:rPr>
          <w:rFonts w:ascii="方正小标宋简体" w:hAnsi="文星仿宋" w:eastAsia="方正小标宋简体" w:cs="方正小标宋简体"/>
          <w:b/>
          <w:color w:val="000000"/>
          <w:sz w:val="44"/>
          <w:szCs w:val="44"/>
        </w:rPr>
      </w:pPr>
    </w:p>
    <w:p>
      <w:pPr>
        <w:tabs>
          <w:tab w:val="left" w:pos="8730"/>
        </w:tabs>
        <w:adjustRightInd w:val="0"/>
        <w:spacing w:line="520" w:lineRule="exact"/>
        <w:ind w:right="-6"/>
        <w:jc w:val="center"/>
        <w:rPr>
          <w:rFonts w:ascii="方正小标宋简体" w:hAnsi="方正小标宋简体" w:eastAsia="方正小标宋简体" w:cs="方正小标宋简体"/>
          <w:b/>
          <w:color w:val="000000"/>
          <w:spacing w:val="40"/>
          <w:sz w:val="44"/>
          <w:szCs w:val="44"/>
        </w:rPr>
      </w:pPr>
      <w:bookmarkStart w:id="1" w:name="标题"/>
      <w:bookmarkEnd w:id="1"/>
      <w:r>
        <w:rPr>
          <w:rFonts w:hint="eastAsia" w:ascii="方正小标宋简体" w:hAnsi="方正小标宋简体" w:eastAsia="方正小标宋简体" w:cs="方正小标宋简体"/>
          <w:b/>
          <w:spacing w:val="40"/>
          <w:sz w:val="44"/>
          <w:szCs w:val="44"/>
          <w:lang w:bidi="ar"/>
        </w:rPr>
        <w:t>济宁市人民政</w:t>
      </w:r>
      <w:r>
        <w:rPr>
          <w:rFonts w:hint="eastAsia" w:ascii="方正小标宋简体" w:hAnsi="方正小标宋简体" w:eastAsia="方正小标宋简体" w:cs="方正小标宋简体"/>
          <w:b/>
          <w:sz w:val="44"/>
          <w:szCs w:val="44"/>
          <w:lang w:bidi="ar"/>
        </w:rPr>
        <w:t>府</w:t>
      </w:r>
    </w:p>
    <w:p>
      <w:pPr>
        <w:adjustRightInd w:val="0"/>
        <w:spacing w:line="520" w:lineRule="exact"/>
        <w:jc w:val="center"/>
        <w:rPr>
          <w:rFonts w:ascii="方正小标宋简体" w:hAnsi="文星仿宋" w:eastAsia="方正小标宋简体" w:cs="方正小标宋简体"/>
          <w:b/>
          <w:sz w:val="44"/>
          <w:szCs w:val="44"/>
          <w:lang w:bidi="ar"/>
        </w:rPr>
      </w:pPr>
      <w:bookmarkStart w:id="2" w:name="BKsubject"/>
      <w:r>
        <w:rPr>
          <w:rFonts w:hint="eastAsia" w:ascii="方正小标宋简体" w:hAnsi="文星仿宋" w:eastAsia="方正小标宋简体" w:cs="方正小标宋简体"/>
          <w:b/>
          <w:sz w:val="44"/>
          <w:szCs w:val="44"/>
          <w:lang w:bidi="ar"/>
        </w:rPr>
        <w:t>关于印发《济宁市国民经济和社会发展</w:t>
      </w:r>
    </w:p>
    <w:p>
      <w:pPr>
        <w:adjustRightInd w:val="0"/>
        <w:spacing w:line="52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第十五个五年规划纲要》的通知</w:t>
      </w:r>
      <w:bookmarkEnd w:id="2"/>
    </w:p>
    <w:p>
      <w:pPr>
        <w:adjustRightInd w:val="0"/>
        <w:spacing w:line="520" w:lineRule="exact"/>
        <w:rPr>
          <w:rFonts w:ascii="方正仿宋简体" w:hAnsi="文星仿宋" w:eastAsia="方正仿宋简体" w:cs="方正仿宋简体"/>
          <w:b/>
          <w:color w:val="000000"/>
        </w:rPr>
      </w:pPr>
    </w:p>
    <w:p>
      <w:pPr>
        <w:adjustRightInd w:val="0"/>
        <w:spacing w:line="520" w:lineRule="exact"/>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pacing w:val="6"/>
          <w:sz w:val="32"/>
          <w:szCs w:val="32"/>
        </w:rPr>
        <w:t>各县、市、区人民政府，济宁高新区、太白湖新区、济宁经济</w:t>
      </w:r>
      <w:r>
        <w:rPr>
          <w:rFonts w:hint="eastAsia" w:ascii="方正仿宋简体" w:hAnsi="方正仿宋简体" w:eastAsia="方正仿宋简体" w:cs="方正仿宋简体"/>
          <w:b/>
          <w:sz w:val="32"/>
          <w:szCs w:val="32"/>
        </w:rPr>
        <w:t>技术开发区管委会，市人民政府各部门，各大企业，各高等院校：</w:t>
      </w:r>
    </w:p>
    <w:p>
      <w:pPr>
        <w:adjustRightInd w:val="0"/>
        <w:spacing w:line="520" w:lineRule="exact"/>
        <w:ind w:firstLine="642"/>
        <w:rPr>
          <w:rFonts w:ascii="方正仿宋简体" w:hAnsi="方正仿宋简体" w:eastAsia="方正仿宋简体" w:cs="方正仿宋简体"/>
          <w:b/>
          <w:sz w:val="32"/>
          <w:szCs w:val="32"/>
        </w:rPr>
      </w:pPr>
      <w:r>
        <w:rPr>
          <w:rFonts w:hint="eastAsia" w:ascii="方正仿宋简体" w:hAnsi="方正仿宋简体" w:eastAsia="方正仿宋简体" w:cs="方正仿宋简体"/>
          <w:b/>
          <w:sz w:val="32"/>
          <w:szCs w:val="32"/>
        </w:rPr>
        <w:t>《济宁市国民经济和社会发展第十五个五年规划纲要》已经</w:t>
      </w:r>
      <w:r>
        <w:rPr>
          <w:rFonts w:hint="eastAsia" w:ascii="方正仿宋简体" w:hAnsi="方正仿宋简体" w:eastAsia="方正仿宋简体" w:cs="方正仿宋简体"/>
          <w:b/>
          <w:spacing w:val="-6"/>
          <w:sz w:val="32"/>
          <w:szCs w:val="32"/>
        </w:rPr>
        <w:t>市十八届人大五次会议审查批准，现印发给你们，请认真贯彻执行。</w:t>
      </w:r>
    </w:p>
    <w:p>
      <w:pPr>
        <w:spacing w:line="520" w:lineRule="exact"/>
        <w:ind w:firstLine="642"/>
        <w:rPr>
          <w:rFonts w:ascii="方正仿宋简体" w:hAnsi="方正仿宋简体" w:eastAsia="方正仿宋简体" w:cs="方正仿宋简体"/>
          <w:b/>
          <w:spacing w:val="6"/>
          <w:sz w:val="32"/>
          <w:szCs w:val="32"/>
        </w:rPr>
      </w:pPr>
    </w:p>
    <w:p>
      <w:pPr>
        <w:spacing w:line="520" w:lineRule="exact"/>
        <w:ind w:firstLine="642"/>
        <w:rPr>
          <w:rFonts w:ascii="方正仿宋简体" w:hAnsi="方正仿宋简体" w:eastAsia="方正仿宋简体" w:cs="方正仿宋简体"/>
          <w:b/>
          <w:spacing w:val="6"/>
          <w:sz w:val="32"/>
          <w:szCs w:val="32"/>
        </w:rPr>
      </w:pPr>
    </w:p>
    <w:p>
      <w:pPr>
        <w:spacing w:line="520" w:lineRule="exact"/>
        <w:ind w:firstLine="642"/>
        <w:rPr>
          <w:rFonts w:ascii="方正仿宋简体" w:hAnsi="方正仿宋简体" w:eastAsia="方正仿宋简体" w:cs="方正仿宋简体"/>
          <w:b/>
          <w:spacing w:val="6"/>
          <w:sz w:val="32"/>
          <w:szCs w:val="32"/>
        </w:rPr>
      </w:pP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济宁市人民政府        </w:t>
      </w:r>
    </w:p>
    <w:p>
      <w:pPr>
        <w:wordWrap w:val="0"/>
        <w:spacing w:line="600" w:lineRule="exact"/>
        <w:jc w:val="right"/>
        <w:rPr>
          <w:rFonts w:ascii="方正仿宋简体" w:hAnsi="方正仿宋简体" w:eastAsia="方正仿宋简体" w:cs="方正仿宋简体"/>
          <w:b/>
          <w:spacing w:val="6"/>
        </w:rPr>
      </w:pPr>
      <w:r>
        <w:rPr>
          <w:rFonts w:hint="eastAsia" w:ascii="方正仿宋简体" w:hAnsi="方正仿宋简体" w:eastAsia="方正仿宋简体" w:cs="方正仿宋简体"/>
          <w:b/>
          <w:spacing w:val="6"/>
          <w:sz w:val="32"/>
          <w:szCs w:val="32"/>
          <w:lang w:bidi="ar"/>
        </w:rPr>
        <w:t xml:space="preserve">2026年5月14日       </w:t>
      </w:r>
    </w:p>
    <w:p>
      <w:pPr>
        <w:spacing w:line="600" w:lineRule="exact"/>
      </w:pPr>
      <w:r>
        <w:rPr>
          <w:rFonts w:hint="eastAsia" w:ascii="方正仿宋简体" w:hAnsi="文星仿宋" w:eastAsia="方正仿宋简体" w:cs="方正仿宋简体"/>
          <w:b/>
          <w:color w:val="000000"/>
          <w:sz w:val="32"/>
          <w:szCs w:val="32"/>
          <w:lang w:bidi="ar"/>
        </w:rPr>
        <w:t xml:space="preserve">    </w:t>
      </w:r>
      <w:bookmarkStart w:id="14" w:name="_GoBack"/>
      <w:bookmarkEnd w:id="14"/>
      <w:r>
        <w:rPr>
          <w:rFonts w:hint="eastAsia" w:ascii="方正仿宋简体" w:hAnsi="文星仿宋" w:eastAsia="方正仿宋简体" w:cs="方正仿宋简体"/>
          <w:b/>
          <w:color w:val="000000"/>
          <w:sz w:val="32"/>
          <w:szCs w:val="32"/>
          <w:lang w:bidi="ar"/>
        </w:rPr>
        <w:t>（此件公开发布）</w:t>
      </w:r>
    </w:p>
    <w:p>
      <w:pPr>
        <w:spacing w:line="600" w:lineRule="exact"/>
      </w:pPr>
    </w:p>
    <w:p>
      <w:pPr>
        <w:spacing w:line="600" w:lineRule="exact"/>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济宁市国民经济和社会发展</w:t>
      </w:r>
    </w:p>
    <w:p>
      <w:pPr>
        <w:spacing w:line="600" w:lineRule="exact"/>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第十五个五年规划纲要</w:t>
      </w:r>
    </w:p>
    <w:p>
      <w:pPr>
        <w:overflowPunct w:val="0"/>
        <w:adjustRightInd w:val="0"/>
        <w:spacing w:line="600" w:lineRule="exact"/>
        <w:rPr>
          <w:rFonts w:ascii="方正仿宋简体" w:hAnsi="文星仿宋" w:eastAsia="方正仿宋简体" w:cs="方正仿宋简体"/>
          <w:b/>
          <w:color w:val="000000"/>
          <w:sz w:val="32"/>
          <w:szCs w:val="32"/>
        </w:rPr>
      </w:pPr>
    </w:p>
    <w:p>
      <w:pPr>
        <w:overflowPunct w:val="0"/>
        <w:adjustRightInd w:val="0"/>
        <w:spacing w:line="600" w:lineRule="exact"/>
        <w:jc w:val="center"/>
        <w:rPr>
          <w:rFonts w:ascii="方正小标宋简体" w:hAnsi="文星仿宋" w:eastAsia="方正小标宋简体" w:cs="方正仿宋简体"/>
          <w:b/>
          <w:color w:val="000000"/>
          <w:sz w:val="36"/>
          <w:szCs w:val="36"/>
        </w:rPr>
      </w:pPr>
      <w:r>
        <w:rPr>
          <w:rFonts w:hint="eastAsia" w:ascii="方正小标宋简体" w:hAnsi="文星仿宋" w:eastAsia="方正小标宋简体" w:cs="方正仿宋简体"/>
          <w:b/>
          <w:color w:val="000000"/>
          <w:sz w:val="36"/>
          <w:szCs w:val="36"/>
        </w:rPr>
        <w:t>目  录</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tabs>
          <w:tab w:val="right" w:leader="dot" w:pos="8789"/>
        </w:tabs>
        <w:overflowPunct w:val="0"/>
        <w:spacing w:line="600" w:lineRule="exact"/>
        <w:jc w:val="left"/>
        <w:rPr>
          <w:rFonts w:ascii="方正黑体简体" w:eastAsia="方正黑体简体"/>
          <w:b/>
          <w:sz w:val="32"/>
          <w:szCs w:val="32"/>
        </w:rPr>
      </w:pPr>
      <w:r>
        <w:rPr>
          <w:rFonts w:hint="eastAsia" w:ascii="方正黑体简体" w:eastAsia="方正黑体简体"/>
          <w:b/>
          <w:sz w:val="32"/>
          <w:szCs w:val="32"/>
        </w:rPr>
        <w:t>第一篇  “十五五”时期是基本建成新时代社会主义现代化强市</w:t>
      </w:r>
    </w:p>
    <w:p>
      <w:pPr>
        <w:tabs>
          <w:tab w:val="right" w:leader="dot" w:pos="8789"/>
        </w:tabs>
        <w:overflowPunct w:val="0"/>
        <w:spacing w:line="600" w:lineRule="exact"/>
        <w:ind w:firstLine="1285" w:firstLineChars="400"/>
        <w:jc w:val="left"/>
        <w:rPr>
          <w:rFonts w:ascii="方正仿宋简体" w:eastAsia="方正仿宋简体"/>
          <w:b/>
          <w:sz w:val="32"/>
          <w:szCs w:val="32"/>
        </w:rPr>
      </w:pPr>
      <w:r>
        <w:rPr>
          <w:rFonts w:hint="eastAsia" w:ascii="方正黑体简体" w:eastAsia="方正黑体简体"/>
          <w:b/>
          <w:sz w:val="32"/>
          <w:szCs w:val="32"/>
        </w:rPr>
        <w:t>承前启后的关键时期</w:t>
      </w:r>
      <w:r>
        <w:rPr>
          <w:rFonts w:hint="eastAsia" w:ascii="方正仿宋简体" w:eastAsia="方正仿宋简体"/>
          <w:b/>
          <w:sz w:val="32"/>
          <w:szCs w:val="32"/>
        </w:rPr>
        <w:tab/>
      </w:r>
      <w:r>
        <w:rPr>
          <w:rFonts w:hint="eastAsia" w:ascii="方正仿宋简体" w:eastAsia="方正仿宋简体"/>
          <w:b/>
          <w:sz w:val="32"/>
          <w:szCs w:val="32"/>
        </w:rPr>
        <w:t>6</w:t>
      </w:r>
    </w:p>
    <w:p>
      <w:pPr>
        <w:tabs>
          <w:tab w:val="right" w:leader="dot" w:pos="8789"/>
        </w:tabs>
        <w:overflowPunct w:val="0"/>
        <w:spacing w:line="600" w:lineRule="exact"/>
        <w:ind w:firstLine="321" w:firstLineChars="100"/>
        <w:jc w:val="left"/>
        <w:rPr>
          <w:rFonts w:ascii="方正仿宋简体" w:eastAsia="方正仿宋简体"/>
          <w:b/>
          <w:sz w:val="32"/>
          <w:szCs w:val="32"/>
        </w:rPr>
      </w:pPr>
      <w:r>
        <w:rPr>
          <w:rFonts w:hint="eastAsia" w:ascii="方正仿宋简体" w:eastAsia="方正仿宋简体"/>
          <w:b/>
          <w:sz w:val="32"/>
          <w:szCs w:val="32"/>
        </w:rPr>
        <w:t xml:space="preserve">第一章  </w:t>
      </w:r>
      <w:r>
        <w:rPr>
          <w:rFonts w:hint="eastAsia" w:ascii="方正仿宋简体" w:eastAsia="方正仿宋简体"/>
          <w:b/>
          <w:spacing w:val="-6"/>
          <w:sz w:val="32"/>
          <w:szCs w:val="32"/>
        </w:rPr>
        <w:t>“十四五”时期经济社会发展迈出新的坚实步伐</w:t>
      </w:r>
      <w:r>
        <w:rPr>
          <w:rFonts w:hint="eastAsia" w:ascii="方正仿宋简体" w:eastAsia="方正仿宋简体"/>
          <w:b/>
          <w:sz w:val="32"/>
          <w:szCs w:val="32"/>
        </w:rPr>
        <w:tab/>
      </w:r>
      <w:r>
        <w:rPr>
          <w:rFonts w:hint="eastAsia" w:ascii="方正仿宋简体" w:eastAsia="方正仿宋简体"/>
          <w:b/>
          <w:sz w:val="32"/>
          <w:szCs w:val="32"/>
        </w:rPr>
        <w:t>7</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eastAsia="方正仿宋简体"/>
          <w:b/>
          <w:sz w:val="32"/>
          <w:szCs w:val="32"/>
        </w:rPr>
        <w:t>第二章  “十五五”时期济宁发展的历史方位</w:t>
      </w:r>
      <w:r>
        <w:rPr>
          <w:rFonts w:hint="eastAsia" w:ascii="方正仿宋简体" w:eastAsia="方正仿宋简体"/>
          <w:b/>
          <w:sz w:val="32"/>
          <w:szCs w:val="32"/>
        </w:rPr>
        <w:tab/>
      </w:r>
      <w:r>
        <w:rPr>
          <w:rFonts w:hint="eastAsia" w:ascii="方正仿宋简体" w:eastAsia="方正仿宋简体"/>
          <w:b/>
          <w:sz w:val="32"/>
          <w:szCs w:val="32"/>
        </w:rPr>
        <w:t>13</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第三章  “十五五”时期面临新机遇新挑战</w:t>
      </w:r>
      <w:r>
        <w:rPr>
          <w:rFonts w:hint="eastAsia" w:ascii="方正仿宋简体" w:eastAsia="方正仿宋简体"/>
          <w:b/>
          <w:sz w:val="32"/>
          <w:szCs w:val="32"/>
        </w:rPr>
        <w:tab/>
      </w:r>
      <w:r>
        <w:rPr>
          <w:rFonts w:hint="eastAsia" w:ascii="方正仿宋简体" w:eastAsia="方正仿宋简体"/>
          <w:b/>
          <w:sz w:val="32"/>
          <w:szCs w:val="32"/>
        </w:rPr>
        <w:t>14</w:t>
      </w:r>
    </w:p>
    <w:p>
      <w:pPr>
        <w:tabs>
          <w:tab w:val="right" w:leader="dot" w:pos="8789"/>
        </w:tabs>
        <w:overflowPunct w:val="0"/>
        <w:spacing w:line="600" w:lineRule="exact"/>
        <w:rPr>
          <w:rFonts w:ascii="方正黑体简体" w:eastAsia="方正黑体简体"/>
          <w:b/>
          <w:sz w:val="32"/>
          <w:szCs w:val="32"/>
        </w:rPr>
      </w:pPr>
      <w:r>
        <w:rPr>
          <w:rFonts w:hint="eastAsia" w:ascii="方正黑体简体" w:eastAsia="方正黑体简体"/>
          <w:b/>
          <w:sz w:val="32"/>
          <w:szCs w:val="32"/>
        </w:rPr>
        <w:t>第二篇  坚定扛牢“走在前、勇争先”使命担当，确保基本建成</w:t>
      </w:r>
    </w:p>
    <w:p>
      <w:pPr>
        <w:tabs>
          <w:tab w:val="right" w:leader="dot" w:pos="8789"/>
        </w:tabs>
        <w:overflowPunct w:val="0"/>
        <w:spacing w:line="600" w:lineRule="exact"/>
        <w:ind w:firstLine="1285" w:firstLineChars="400"/>
        <w:rPr>
          <w:rFonts w:ascii="方正黑体简体" w:eastAsia="方正黑体简体"/>
          <w:b/>
          <w:sz w:val="32"/>
          <w:szCs w:val="32"/>
        </w:rPr>
      </w:pPr>
      <w:r>
        <w:rPr>
          <w:rFonts w:hint="eastAsia" w:ascii="方正黑体简体" w:eastAsia="方正黑体简体"/>
          <w:b/>
          <w:sz w:val="32"/>
          <w:szCs w:val="32"/>
        </w:rPr>
        <w:t>新时代社会主义现代化强市取得决定性进展</w:t>
      </w:r>
      <w:r>
        <w:rPr>
          <w:rFonts w:hint="eastAsia" w:ascii="方正仿宋简体" w:eastAsia="方正仿宋简体"/>
          <w:b/>
          <w:sz w:val="32"/>
          <w:szCs w:val="32"/>
        </w:rPr>
        <w:tab/>
      </w:r>
      <w:r>
        <w:rPr>
          <w:rFonts w:hint="eastAsia" w:ascii="方正仿宋简体" w:eastAsia="方正仿宋简体"/>
          <w:b/>
          <w:sz w:val="32"/>
          <w:szCs w:val="32"/>
        </w:rPr>
        <w:t>16</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第一章  “十五五”时期经济社会发展指导思想</w:t>
      </w:r>
      <w:r>
        <w:rPr>
          <w:rFonts w:hint="eastAsia" w:ascii="方正仿宋简体" w:eastAsia="方正仿宋简体"/>
          <w:b/>
          <w:sz w:val="32"/>
          <w:szCs w:val="32"/>
        </w:rPr>
        <w:tab/>
      </w:r>
      <w:r>
        <w:rPr>
          <w:rFonts w:hint="eastAsia" w:ascii="方正仿宋简体" w:eastAsia="方正仿宋简体"/>
          <w:b/>
          <w:sz w:val="32"/>
          <w:szCs w:val="32"/>
        </w:rPr>
        <w:t>16</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第二章  “十五五”时期经济社会发展必须遵循的原则</w:t>
      </w:r>
      <w:r>
        <w:rPr>
          <w:rFonts w:hint="eastAsia" w:ascii="方正仿宋简体" w:eastAsia="方正仿宋简体"/>
          <w:b/>
          <w:sz w:val="32"/>
          <w:szCs w:val="32"/>
        </w:rPr>
        <w:tab/>
      </w:r>
      <w:r>
        <w:rPr>
          <w:rFonts w:hint="eastAsia" w:ascii="方正仿宋简体" w:eastAsia="方正仿宋简体"/>
          <w:b/>
          <w:sz w:val="32"/>
          <w:szCs w:val="32"/>
        </w:rPr>
        <w:t>17</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第三章  “十五五”时期济宁经济社会发展主要目标</w:t>
      </w:r>
      <w:r>
        <w:rPr>
          <w:rFonts w:hint="eastAsia" w:ascii="方正仿宋简体" w:eastAsia="方正仿宋简体"/>
          <w:b/>
          <w:sz w:val="32"/>
          <w:szCs w:val="32"/>
        </w:rPr>
        <w:tab/>
      </w:r>
      <w:r>
        <w:rPr>
          <w:rFonts w:hint="eastAsia" w:ascii="方正仿宋简体" w:eastAsia="方正仿宋简体"/>
          <w:b/>
          <w:sz w:val="32"/>
          <w:szCs w:val="32"/>
        </w:rPr>
        <w:t>17</w:t>
      </w:r>
    </w:p>
    <w:p>
      <w:pPr>
        <w:tabs>
          <w:tab w:val="right" w:leader="dot" w:pos="8789"/>
        </w:tabs>
        <w:overflowPunct w:val="0"/>
        <w:spacing w:line="600" w:lineRule="exact"/>
        <w:rPr>
          <w:rFonts w:ascii="方正黑体简体" w:eastAsia="方正黑体简体"/>
          <w:b/>
          <w:sz w:val="32"/>
          <w:szCs w:val="32"/>
        </w:rPr>
      </w:pPr>
      <w:r>
        <w:rPr>
          <w:rFonts w:hint="eastAsia" w:ascii="方正黑体简体" w:eastAsia="方正黑体简体"/>
          <w:b/>
          <w:sz w:val="32"/>
          <w:szCs w:val="32"/>
        </w:rPr>
        <w:t xml:space="preserve">第三篇  </w:t>
      </w:r>
      <w:r>
        <w:rPr>
          <w:rFonts w:hint="eastAsia" w:ascii="方正黑体简体" w:eastAsia="方正黑体简体"/>
          <w:b/>
          <w:spacing w:val="-20"/>
          <w:sz w:val="32"/>
          <w:szCs w:val="32"/>
        </w:rPr>
        <w:t>加力实施工业经济“头号工程”，建设现代化产业体系</w:t>
      </w:r>
      <w:r>
        <w:rPr>
          <w:rFonts w:hint="eastAsia" w:ascii="方正仿宋简体" w:eastAsia="方正仿宋简体"/>
          <w:b/>
          <w:sz w:val="32"/>
          <w:szCs w:val="32"/>
        </w:rPr>
        <w:tab/>
      </w:r>
      <w:r>
        <w:rPr>
          <w:rFonts w:hint="eastAsia" w:ascii="方正仿宋简体" w:eastAsia="方正仿宋简体"/>
          <w:b/>
          <w:sz w:val="32"/>
          <w:szCs w:val="32"/>
        </w:rPr>
        <w:t>21</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第一章  培优做强“232”优势产业集群</w:t>
      </w:r>
      <w:r>
        <w:rPr>
          <w:rFonts w:hint="eastAsia" w:ascii="方正仿宋简体" w:eastAsia="方正仿宋简体"/>
          <w:b/>
          <w:sz w:val="32"/>
          <w:szCs w:val="32"/>
        </w:rPr>
        <w:tab/>
      </w:r>
      <w:r>
        <w:rPr>
          <w:rFonts w:hint="eastAsia" w:ascii="方正仿宋简体" w:eastAsia="方正仿宋简体"/>
          <w:b/>
          <w:sz w:val="32"/>
          <w:szCs w:val="32"/>
        </w:rPr>
        <w:t>21</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第二章  优化提升五大重点传统产业</w:t>
      </w:r>
      <w:r>
        <w:rPr>
          <w:rFonts w:hint="eastAsia" w:ascii="方正仿宋简体" w:eastAsia="方正仿宋简体"/>
          <w:b/>
          <w:sz w:val="32"/>
          <w:szCs w:val="32"/>
        </w:rPr>
        <w:tab/>
      </w:r>
      <w:r>
        <w:rPr>
          <w:rFonts w:hint="eastAsia" w:ascii="方正仿宋简体" w:eastAsia="方正仿宋简体"/>
          <w:b/>
          <w:sz w:val="32"/>
          <w:szCs w:val="32"/>
        </w:rPr>
        <w:t>28</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第三章  抢位发展四大新兴产业和未来产业</w:t>
      </w:r>
      <w:r>
        <w:rPr>
          <w:rFonts w:hint="eastAsia" w:ascii="方正仿宋简体" w:eastAsia="方正仿宋简体"/>
          <w:b/>
          <w:sz w:val="32"/>
          <w:szCs w:val="32"/>
        </w:rPr>
        <w:tab/>
      </w:r>
      <w:r>
        <w:rPr>
          <w:rFonts w:hint="eastAsia" w:ascii="方正仿宋简体" w:eastAsia="方正仿宋简体"/>
          <w:b/>
          <w:sz w:val="32"/>
          <w:szCs w:val="32"/>
        </w:rPr>
        <w:t>31</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第四章  打造全省服务业标杆城市</w:t>
      </w:r>
      <w:r>
        <w:rPr>
          <w:rFonts w:hint="eastAsia" w:ascii="方正仿宋简体" w:eastAsia="方正仿宋简体"/>
          <w:b/>
          <w:sz w:val="32"/>
          <w:szCs w:val="32"/>
        </w:rPr>
        <w:tab/>
      </w:r>
      <w:r>
        <w:rPr>
          <w:rFonts w:hint="eastAsia" w:ascii="方正仿宋简体" w:eastAsia="方正仿宋简体"/>
          <w:b/>
          <w:sz w:val="32"/>
          <w:szCs w:val="32"/>
        </w:rPr>
        <w:t>34</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第五章  做强现代产业园区</w:t>
      </w:r>
      <w:r>
        <w:rPr>
          <w:rFonts w:hint="eastAsia" w:ascii="方正仿宋简体" w:eastAsia="方正仿宋简体"/>
          <w:b/>
          <w:sz w:val="32"/>
          <w:szCs w:val="32"/>
        </w:rPr>
        <w:tab/>
      </w:r>
      <w:r>
        <w:rPr>
          <w:rFonts w:hint="eastAsia" w:ascii="方正仿宋简体" w:eastAsia="方正仿宋简体"/>
          <w:b/>
          <w:sz w:val="32"/>
          <w:szCs w:val="32"/>
        </w:rPr>
        <w:t>36</w:t>
      </w:r>
    </w:p>
    <w:p>
      <w:pPr>
        <w:tabs>
          <w:tab w:val="right" w:leader="dot" w:pos="8789"/>
        </w:tabs>
        <w:overflowPunct w:val="0"/>
        <w:spacing w:line="600" w:lineRule="exact"/>
        <w:rPr>
          <w:rFonts w:ascii="方正黑体简体" w:eastAsia="方正黑体简体"/>
          <w:b/>
          <w:spacing w:val="8"/>
          <w:sz w:val="32"/>
          <w:szCs w:val="32"/>
        </w:rPr>
      </w:pPr>
      <w:r>
        <w:rPr>
          <w:rFonts w:hint="eastAsia" w:ascii="方正黑体简体" w:eastAsia="方正黑体简体"/>
          <w:b/>
          <w:sz w:val="32"/>
          <w:szCs w:val="32"/>
        </w:rPr>
        <w:t xml:space="preserve">第四篇  </w:t>
      </w:r>
      <w:r>
        <w:rPr>
          <w:rFonts w:hint="eastAsia" w:ascii="方正黑体简体" w:eastAsia="方正黑体简体"/>
          <w:b/>
          <w:spacing w:val="8"/>
          <w:sz w:val="32"/>
          <w:szCs w:val="32"/>
        </w:rPr>
        <w:t>推动科技创新和产业创新深度融合，引领发展新质</w:t>
      </w:r>
    </w:p>
    <w:p>
      <w:pPr>
        <w:tabs>
          <w:tab w:val="right" w:leader="dot" w:pos="8789"/>
        </w:tabs>
        <w:overflowPunct w:val="0"/>
        <w:spacing w:line="600" w:lineRule="exact"/>
        <w:ind w:firstLine="1278" w:firstLineChars="379"/>
        <w:rPr>
          <w:rFonts w:ascii="方正黑体简体" w:eastAsia="方正黑体简体"/>
          <w:b/>
          <w:sz w:val="32"/>
          <w:szCs w:val="32"/>
        </w:rPr>
      </w:pPr>
      <w:r>
        <w:rPr>
          <w:rFonts w:hint="eastAsia" w:ascii="方正黑体简体" w:eastAsia="方正黑体简体"/>
          <w:b/>
          <w:spacing w:val="8"/>
          <w:sz w:val="32"/>
          <w:szCs w:val="32"/>
        </w:rPr>
        <w:t>生产力</w:t>
      </w:r>
      <w:r>
        <w:rPr>
          <w:rFonts w:hint="eastAsia" w:ascii="方正仿宋简体" w:eastAsia="方正仿宋简体"/>
          <w:b/>
          <w:sz w:val="32"/>
          <w:szCs w:val="32"/>
        </w:rPr>
        <w:tab/>
      </w:r>
      <w:r>
        <w:rPr>
          <w:rFonts w:hint="eastAsia" w:ascii="方正仿宋简体" w:eastAsia="方正仿宋简体"/>
          <w:b/>
          <w:sz w:val="32"/>
          <w:szCs w:val="32"/>
        </w:rPr>
        <w:t>38</w:t>
      </w:r>
    </w:p>
    <w:p>
      <w:pPr>
        <w:tabs>
          <w:tab w:val="right" w:leader="dot" w:pos="8789"/>
        </w:tabs>
        <w:overflowPunct w:val="0"/>
        <w:spacing w:line="600" w:lineRule="exact"/>
        <w:rPr>
          <w:rFonts w:ascii="方正仿宋简体" w:eastAsia="方正仿宋简体"/>
          <w:b/>
          <w:sz w:val="32"/>
          <w:szCs w:val="32"/>
        </w:rPr>
      </w:pPr>
      <w:r>
        <w:rPr>
          <w:rFonts w:hint="eastAsia" w:ascii="方正仿宋简体" w:eastAsia="方正仿宋简体"/>
          <w:b/>
          <w:sz w:val="32"/>
          <w:szCs w:val="32"/>
        </w:rPr>
        <w:t xml:space="preserve">  第一章  加快建设高水平创新型城市</w:t>
      </w:r>
      <w:r>
        <w:rPr>
          <w:rFonts w:hint="eastAsia" w:ascii="方正仿宋简体" w:eastAsia="方正仿宋简体"/>
          <w:b/>
          <w:sz w:val="32"/>
          <w:szCs w:val="32"/>
        </w:rPr>
        <w:tab/>
      </w:r>
      <w:r>
        <w:rPr>
          <w:rFonts w:hint="eastAsia" w:ascii="方正仿宋简体" w:eastAsia="方正仿宋简体"/>
          <w:b/>
          <w:sz w:val="32"/>
          <w:szCs w:val="32"/>
        </w:rPr>
        <w:t>38</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打造校地融合特色高等教育</w:t>
      </w:r>
      <w:r>
        <w:rPr>
          <w:rFonts w:hint="eastAsia" w:ascii="方正仿宋简体" w:eastAsia="方正仿宋简体"/>
          <w:b/>
          <w:sz w:val="32"/>
          <w:szCs w:val="32"/>
        </w:rPr>
        <w:tab/>
      </w:r>
      <w:r>
        <w:rPr>
          <w:rFonts w:hint="eastAsia" w:ascii="方正仿宋简体" w:eastAsia="方正仿宋简体"/>
          <w:b/>
          <w:sz w:val="32"/>
          <w:szCs w:val="32"/>
        </w:rPr>
        <w:t>42</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打造“近悦远来”一流人才高地</w:t>
      </w:r>
      <w:r>
        <w:rPr>
          <w:rFonts w:hint="eastAsia" w:ascii="方正仿宋简体" w:eastAsia="方正仿宋简体"/>
          <w:b/>
          <w:sz w:val="32"/>
          <w:szCs w:val="32"/>
        </w:rPr>
        <w:tab/>
      </w:r>
      <w:r>
        <w:rPr>
          <w:rFonts w:hint="eastAsia" w:ascii="方正仿宋简体" w:eastAsia="方正仿宋简体"/>
          <w:b/>
          <w:sz w:val="32"/>
          <w:szCs w:val="32"/>
        </w:rPr>
        <w:t>44</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第四章  打造全省特色数字经济发展高地</w:t>
      </w:r>
      <w:r>
        <w:rPr>
          <w:rFonts w:hint="eastAsia" w:ascii="方正仿宋简体" w:eastAsia="方正仿宋简体"/>
          <w:b/>
          <w:sz w:val="32"/>
          <w:szCs w:val="32"/>
        </w:rPr>
        <w:tab/>
      </w:r>
      <w:r>
        <w:rPr>
          <w:rFonts w:hint="eastAsia" w:ascii="方正仿宋简体" w:eastAsia="方正仿宋简体"/>
          <w:b/>
          <w:sz w:val="32"/>
          <w:szCs w:val="32"/>
        </w:rPr>
        <w:t>47</w:t>
      </w:r>
    </w:p>
    <w:p>
      <w:pPr>
        <w:tabs>
          <w:tab w:val="right" w:leader="dot" w:pos="8789"/>
        </w:tabs>
        <w:overflowPunct w:val="0"/>
        <w:spacing w:line="600" w:lineRule="exact"/>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第五篇  全方位扩大内需，服务和融入全国统一大市场</w:t>
      </w:r>
      <w:r>
        <w:rPr>
          <w:rFonts w:hint="eastAsia" w:ascii="方正仿宋简体" w:eastAsia="方正仿宋简体"/>
          <w:b/>
          <w:sz w:val="32"/>
          <w:szCs w:val="32"/>
        </w:rPr>
        <w:tab/>
      </w:r>
      <w:r>
        <w:rPr>
          <w:rFonts w:hint="eastAsia" w:ascii="方正仿宋简体" w:eastAsia="方正仿宋简体"/>
          <w:b/>
          <w:sz w:val="32"/>
          <w:szCs w:val="32"/>
        </w:rPr>
        <w:t>49</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建设区域消费中心城市</w:t>
      </w:r>
      <w:r>
        <w:rPr>
          <w:rFonts w:hint="eastAsia" w:ascii="方正仿宋简体" w:eastAsia="方正仿宋简体"/>
          <w:b/>
          <w:sz w:val="32"/>
          <w:szCs w:val="32"/>
        </w:rPr>
        <w:tab/>
      </w:r>
      <w:r>
        <w:rPr>
          <w:rFonts w:hint="eastAsia" w:ascii="方正仿宋简体" w:eastAsia="方正仿宋简体"/>
          <w:b/>
          <w:sz w:val="32"/>
          <w:szCs w:val="32"/>
        </w:rPr>
        <w:t>49</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建设全省产业投资高地</w:t>
      </w:r>
      <w:r>
        <w:rPr>
          <w:rFonts w:hint="eastAsia" w:ascii="方正仿宋简体" w:eastAsia="方正仿宋简体"/>
          <w:b/>
          <w:sz w:val="32"/>
          <w:szCs w:val="32"/>
        </w:rPr>
        <w:tab/>
      </w:r>
      <w:r>
        <w:rPr>
          <w:rFonts w:hint="eastAsia" w:ascii="方正仿宋简体" w:eastAsia="方正仿宋简体"/>
          <w:b/>
          <w:sz w:val="32"/>
          <w:szCs w:val="32"/>
        </w:rPr>
        <w:t>51</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打造全国性综合交通枢纽城市</w:t>
      </w:r>
      <w:r>
        <w:rPr>
          <w:rFonts w:hint="eastAsia" w:ascii="方正仿宋简体" w:eastAsia="方正仿宋简体"/>
          <w:b/>
          <w:sz w:val="32"/>
          <w:szCs w:val="32"/>
        </w:rPr>
        <w:tab/>
      </w:r>
      <w:r>
        <w:rPr>
          <w:rFonts w:hint="eastAsia" w:ascii="方正仿宋简体" w:eastAsia="方正仿宋简体"/>
          <w:b/>
          <w:sz w:val="32"/>
          <w:szCs w:val="32"/>
        </w:rPr>
        <w:t>52</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第四章  打造安全韧性现代水网</w:t>
      </w:r>
      <w:r>
        <w:rPr>
          <w:rFonts w:hint="eastAsia" w:ascii="方正仿宋简体" w:eastAsia="方正仿宋简体"/>
          <w:b/>
          <w:sz w:val="32"/>
          <w:szCs w:val="32"/>
        </w:rPr>
        <w:tab/>
      </w:r>
      <w:r>
        <w:rPr>
          <w:rFonts w:hint="eastAsia" w:ascii="方正仿宋简体" w:eastAsia="方正仿宋简体"/>
          <w:b/>
          <w:sz w:val="32"/>
          <w:szCs w:val="32"/>
        </w:rPr>
        <w:t>55</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第五章  打造全国统一大市场市域典范</w:t>
      </w:r>
      <w:r>
        <w:rPr>
          <w:rFonts w:hint="eastAsia" w:ascii="方正仿宋简体" w:hAnsi="文星仿宋" w:eastAsia="方正仿宋简体" w:cs="方正仿宋简体"/>
          <w:b/>
          <w:color w:val="000000"/>
          <w:sz w:val="32"/>
          <w:szCs w:val="32"/>
        </w:rPr>
        <w:tab/>
      </w:r>
      <w:r>
        <w:rPr>
          <w:rFonts w:hint="eastAsia" w:ascii="方正仿宋简体" w:hAnsi="文星仿宋" w:eastAsia="方正仿宋简体" w:cs="方正仿宋简体"/>
          <w:b/>
          <w:color w:val="000000"/>
          <w:sz w:val="32"/>
          <w:szCs w:val="32"/>
        </w:rPr>
        <w:t>58</w:t>
      </w:r>
      <w:r>
        <w:rPr>
          <w:rFonts w:hint="eastAsia" w:ascii="方正仿宋简体" w:eastAsia="方正仿宋简体"/>
          <w:b/>
          <w:sz w:val="32"/>
          <w:szCs w:val="32"/>
        </w:rPr>
        <w:tab/>
      </w:r>
    </w:p>
    <w:p>
      <w:pPr>
        <w:tabs>
          <w:tab w:val="right" w:leader="dot" w:pos="8789"/>
        </w:tabs>
        <w:overflowPunct w:val="0"/>
        <w:spacing w:line="600" w:lineRule="exact"/>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 xml:space="preserve">第六篇  </w:t>
      </w:r>
      <w:r>
        <w:rPr>
          <w:rFonts w:hint="eastAsia" w:ascii="方正黑体简体" w:hAnsi="文星仿宋" w:eastAsia="方正黑体简体" w:cs="方正仿宋简体"/>
          <w:b/>
          <w:color w:val="000000"/>
          <w:spacing w:val="-16"/>
          <w:sz w:val="32"/>
          <w:szCs w:val="32"/>
        </w:rPr>
        <w:t>进一步全面深化改革，充分激发高质量发展动力活力</w:t>
      </w:r>
      <w:r>
        <w:rPr>
          <w:rFonts w:hint="eastAsia" w:ascii="方正仿宋简体" w:hAnsi="文星仿宋" w:eastAsia="方正仿宋简体" w:cs="方正仿宋简体"/>
          <w:b/>
          <w:color w:val="000000"/>
          <w:sz w:val="32"/>
          <w:szCs w:val="32"/>
        </w:rPr>
        <w:tab/>
      </w:r>
      <w:r>
        <w:rPr>
          <w:rFonts w:hint="eastAsia" w:ascii="方正仿宋简体" w:hAnsi="文星仿宋" w:eastAsia="方正仿宋简体" w:cs="方正仿宋简体"/>
          <w:b/>
          <w:color w:val="000000"/>
          <w:sz w:val="32"/>
          <w:szCs w:val="32"/>
        </w:rPr>
        <w:t>61</w:t>
      </w:r>
      <w:r>
        <w:rPr>
          <w:rFonts w:hint="eastAsia" w:ascii="方正仿宋简体" w:eastAsia="方正仿宋简体"/>
          <w:b/>
          <w:sz w:val="32"/>
          <w:szCs w:val="32"/>
        </w:rPr>
        <w:tab/>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深化激发经营主体活力改革</w:t>
      </w:r>
      <w:r>
        <w:rPr>
          <w:rFonts w:hint="eastAsia" w:ascii="方正仿宋简体" w:eastAsia="方正仿宋简体"/>
          <w:b/>
          <w:sz w:val="32"/>
          <w:szCs w:val="32"/>
        </w:rPr>
        <w:tab/>
      </w:r>
      <w:r>
        <w:rPr>
          <w:rFonts w:hint="eastAsia" w:ascii="方正仿宋简体" w:eastAsia="方正仿宋简体"/>
          <w:b/>
          <w:sz w:val="32"/>
          <w:szCs w:val="32"/>
        </w:rPr>
        <w:t>61</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提升经济治理效能</w:t>
      </w:r>
      <w:r>
        <w:rPr>
          <w:rFonts w:hint="eastAsia" w:ascii="方正仿宋简体" w:eastAsia="方正仿宋简体"/>
          <w:b/>
          <w:sz w:val="32"/>
          <w:szCs w:val="32"/>
        </w:rPr>
        <w:tab/>
      </w:r>
      <w:r>
        <w:rPr>
          <w:rFonts w:hint="eastAsia" w:ascii="方正仿宋简体" w:eastAsia="方正仿宋简体"/>
          <w:b/>
          <w:sz w:val="32"/>
          <w:szCs w:val="32"/>
        </w:rPr>
        <w:t>62</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擦亮营商环境“济宁品牌”</w:t>
      </w:r>
      <w:r>
        <w:rPr>
          <w:rFonts w:hint="eastAsia" w:ascii="方正仿宋简体" w:eastAsia="方正仿宋简体"/>
          <w:b/>
          <w:sz w:val="32"/>
          <w:szCs w:val="32"/>
        </w:rPr>
        <w:tab/>
      </w:r>
      <w:r>
        <w:rPr>
          <w:rFonts w:hint="eastAsia" w:ascii="方正仿宋简体" w:eastAsia="方正仿宋简体"/>
          <w:b/>
          <w:sz w:val="32"/>
          <w:szCs w:val="32"/>
        </w:rPr>
        <w:t>63</w:t>
      </w:r>
    </w:p>
    <w:p>
      <w:pPr>
        <w:tabs>
          <w:tab w:val="right" w:leader="dot" w:pos="8789"/>
        </w:tabs>
        <w:overflowPunct w:val="0"/>
        <w:spacing w:line="600" w:lineRule="exact"/>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 xml:space="preserve">第七篇  </w:t>
      </w:r>
      <w:r>
        <w:rPr>
          <w:rFonts w:hint="eastAsia" w:ascii="方正黑体简体" w:hAnsi="文星仿宋" w:eastAsia="方正黑体简体" w:cs="方正仿宋简体"/>
          <w:b/>
          <w:color w:val="000000"/>
          <w:spacing w:val="-4"/>
          <w:sz w:val="32"/>
          <w:szCs w:val="32"/>
        </w:rPr>
        <w:t>着力优化开放格局，打造高水平对外开放新高地</w:t>
      </w:r>
      <w:r>
        <w:rPr>
          <w:rFonts w:hint="eastAsia" w:ascii="方正仿宋简体" w:eastAsia="方正仿宋简体"/>
          <w:b/>
          <w:sz w:val="32"/>
          <w:szCs w:val="32"/>
        </w:rPr>
        <w:tab/>
      </w:r>
      <w:r>
        <w:rPr>
          <w:rFonts w:hint="eastAsia" w:ascii="方正仿宋简体" w:eastAsia="方正仿宋简体"/>
          <w:b/>
          <w:sz w:val="32"/>
          <w:szCs w:val="32"/>
        </w:rPr>
        <w:t>65</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强化区域开放合作</w:t>
      </w:r>
      <w:r>
        <w:rPr>
          <w:rFonts w:hint="eastAsia" w:ascii="方正仿宋简体" w:eastAsia="方正仿宋简体"/>
          <w:b/>
          <w:sz w:val="32"/>
          <w:szCs w:val="32"/>
        </w:rPr>
        <w:tab/>
      </w:r>
      <w:r>
        <w:rPr>
          <w:rFonts w:hint="eastAsia" w:ascii="方正仿宋简体" w:eastAsia="方正仿宋简体"/>
          <w:b/>
          <w:sz w:val="32"/>
          <w:szCs w:val="32"/>
        </w:rPr>
        <w:t>65</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促进双向投资合作</w:t>
      </w:r>
      <w:r>
        <w:rPr>
          <w:rFonts w:hint="eastAsia" w:ascii="方正仿宋简体" w:eastAsia="方正仿宋简体"/>
          <w:b/>
          <w:sz w:val="32"/>
          <w:szCs w:val="32"/>
        </w:rPr>
        <w:tab/>
      </w:r>
      <w:r>
        <w:rPr>
          <w:rFonts w:hint="eastAsia" w:ascii="方正仿宋简体" w:eastAsia="方正仿宋简体"/>
          <w:b/>
          <w:sz w:val="32"/>
          <w:szCs w:val="32"/>
        </w:rPr>
        <w:t>66</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推动贸易创新发展</w:t>
      </w:r>
      <w:r>
        <w:rPr>
          <w:rFonts w:hint="eastAsia" w:ascii="方正仿宋简体" w:eastAsia="方正仿宋简体"/>
          <w:b/>
          <w:sz w:val="32"/>
          <w:szCs w:val="32"/>
        </w:rPr>
        <w:tab/>
      </w:r>
      <w:r>
        <w:rPr>
          <w:rFonts w:hint="eastAsia" w:ascii="方正仿宋简体" w:eastAsia="方正仿宋简体"/>
          <w:b/>
          <w:sz w:val="32"/>
          <w:szCs w:val="32"/>
        </w:rPr>
        <w:t>67</w:t>
      </w:r>
    </w:p>
    <w:p>
      <w:pPr>
        <w:tabs>
          <w:tab w:val="right" w:leader="dot" w:pos="8789"/>
        </w:tabs>
        <w:overflowPunct w:val="0"/>
        <w:spacing w:line="600" w:lineRule="exact"/>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 xml:space="preserve">第八篇  </w:t>
      </w:r>
      <w:r>
        <w:rPr>
          <w:rFonts w:hint="eastAsia" w:ascii="方正黑体简体" w:hAnsi="文星仿宋" w:eastAsia="方正黑体简体" w:cs="方正仿宋简体"/>
          <w:b/>
          <w:color w:val="000000"/>
          <w:spacing w:val="-12"/>
          <w:sz w:val="32"/>
          <w:szCs w:val="32"/>
        </w:rPr>
        <w:t>发挥内河航运独特优势，加快建设北方内河航运中心</w:t>
      </w:r>
      <w:r>
        <w:rPr>
          <w:rFonts w:hint="eastAsia" w:ascii="方正仿宋简体" w:hAnsi="文星仿宋" w:eastAsia="方正仿宋简体" w:cs="方正仿宋简体"/>
          <w:b/>
          <w:color w:val="000000"/>
          <w:sz w:val="32"/>
          <w:szCs w:val="32"/>
        </w:rPr>
        <w:tab/>
      </w:r>
      <w:r>
        <w:rPr>
          <w:rFonts w:hint="eastAsia" w:ascii="方正仿宋简体" w:hAnsi="文星仿宋" w:eastAsia="方正仿宋简体" w:cs="方正仿宋简体"/>
          <w:b/>
          <w:color w:val="000000"/>
          <w:sz w:val="32"/>
          <w:szCs w:val="32"/>
        </w:rPr>
        <w:t>68</w:t>
      </w:r>
      <w:r>
        <w:rPr>
          <w:rFonts w:hint="eastAsia" w:ascii="方正黑体简体" w:eastAsia="方正黑体简体"/>
          <w:b/>
          <w:sz w:val="32"/>
          <w:szCs w:val="32"/>
        </w:rPr>
        <w:tab/>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推动建设港口型国家物流枢纽</w:t>
      </w:r>
      <w:r>
        <w:rPr>
          <w:rFonts w:hint="eastAsia" w:ascii="方正仿宋简体" w:eastAsia="方正仿宋简体"/>
          <w:b/>
          <w:sz w:val="32"/>
          <w:szCs w:val="32"/>
        </w:rPr>
        <w:tab/>
      </w:r>
      <w:r>
        <w:rPr>
          <w:rFonts w:hint="eastAsia" w:ascii="方正仿宋简体" w:eastAsia="方正仿宋简体"/>
          <w:b/>
          <w:sz w:val="32"/>
          <w:szCs w:val="32"/>
        </w:rPr>
        <w:t>68</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推动港产城融合发展</w:t>
      </w:r>
      <w:r>
        <w:rPr>
          <w:rFonts w:hint="eastAsia" w:ascii="方正仿宋简体" w:eastAsia="方正仿宋简体"/>
          <w:b/>
          <w:sz w:val="32"/>
          <w:szCs w:val="32"/>
        </w:rPr>
        <w:tab/>
      </w:r>
      <w:r>
        <w:rPr>
          <w:rFonts w:hint="eastAsia" w:ascii="方正仿宋简体" w:eastAsia="方正仿宋简体"/>
          <w:b/>
          <w:sz w:val="32"/>
          <w:szCs w:val="32"/>
        </w:rPr>
        <w:t>70</w:t>
      </w:r>
    </w:p>
    <w:p>
      <w:pPr>
        <w:tabs>
          <w:tab w:val="right" w:leader="dot" w:pos="8789"/>
        </w:tabs>
        <w:overflowPunct w:val="0"/>
        <w:spacing w:line="600" w:lineRule="exact"/>
        <w:rPr>
          <w:rFonts w:ascii="方正黑体简体" w:hAnsi="文星仿宋" w:eastAsia="方正黑体简体" w:cs="方正仿宋简体"/>
          <w:b/>
          <w:color w:val="000000"/>
          <w:spacing w:val="12"/>
          <w:sz w:val="32"/>
          <w:szCs w:val="32"/>
        </w:rPr>
      </w:pPr>
      <w:r>
        <w:rPr>
          <w:rFonts w:hint="eastAsia" w:ascii="方正黑体简体" w:hAnsi="文星仿宋" w:eastAsia="方正黑体简体" w:cs="方正仿宋简体"/>
          <w:b/>
          <w:color w:val="000000"/>
          <w:sz w:val="32"/>
          <w:szCs w:val="32"/>
        </w:rPr>
        <w:t xml:space="preserve">第九篇  </w:t>
      </w:r>
      <w:r>
        <w:rPr>
          <w:rFonts w:hint="eastAsia" w:ascii="方正黑体简体" w:hAnsi="文星仿宋" w:eastAsia="方正黑体简体" w:cs="方正仿宋简体"/>
          <w:b/>
          <w:color w:val="000000"/>
          <w:spacing w:val="17"/>
          <w:sz w:val="32"/>
          <w:szCs w:val="32"/>
        </w:rPr>
        <w:t>加快建设现代农业强市，打造乡村振兴齐鲁样板</w:t>
      </w:r>
    </w:p>
    <w:p>
      <w:pPr>
        <w:tabs>
          <w:tab w:val="right" w:leader="dot" w:pos="8789"/>
        </w:tabs>
        <w:overflowPunct w:val="0"/>
        <w:spacing w:line="600" w:lineRule="exact"/>
        <w:ind w:firstLine="1277" w:firstLineChars="370"/>
        <w:rPr>
          <w:rFonts w:ascii="方正黑体简体" w:eastAsia="方正黑体简体"/>
          <w:b/>
          <w:sz w:val="32"/>
          <w:szCs w:val="32"/>
        </w:rPr>
      </w:pPr>
      <w:r>
        <w:rPr>
          <w:rFonts w:hint="eastAsia" w:ascii="方正黑体简体" w:hAnsi="文星仿宋" w:eastAsia="方正黑体简体" w:cs="方正仿宋简体"/>
          <w:b/>
          <w:color w:val="000000"/>
          <w:spacing w:val="12"/>
          <w:sz w:val="32"/>
          <w:szCs w:val="32"/>
        </w:rPr>
        <w:t>引领区</w:t>
      </w:r>
      <w:r>
        <w:rPr>
          <w:rFonts w:hint="eastAsia" w:ascii="方正仿宋简体" w:eastAsia="方正仿宋简体"/>
          <w:b/>
          <w:sz w:val="32"/>
          <w:szCs w:val="32"/>
        </w:rPr>
        <w:tab/>
      </w:r>
      <w:r>
        <w:rPr>
          <w:rFonts w:hint="eastAsia" w:ascii="方正仿宋简体" w:eastAsia="方正仿宋简体"/>
          <w:b/>
          <w:sz w:val="32"/>
          <w:szCs w:val="32"/>
        </w:rPr>
        <w:t>72</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加快现代农业高质高效发展</w:t>
      </w:r>
      <w:r>
        <w:rPr>
          <w:rFonts w:hint="eastAsia" w:ascii="方正仿宋简体" w:eastAsia="方正仿宋简体"/>
          <w:b/>
          <w:sz w:val="32"/>
          <w:szCs w:val="32"/>
        </w:rPr>
        <w:tab/>
      </w:r>
      <w:r>
        <w:rPr>
          <w:rFonts w:hint="eastAsia" w:ascii="方正仿宋简体" w:eastAsia="方正仿宋简体"/>
          <w:b/>
          <w:sz w:val="32"/>
          <w:szCs w:val="32"/>
        </w:rPr>
        <w:t>72</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全域打造宜居宜业和美乡村</w:t>
      </w:r>
      <w:r>
        <w:rPr>
          <w:rFonts w:hint="eastAsia" w:ascii="方正仿宋简体" w:eastAsia="方正仿宋简体"/>
          <w:b/>
          <w:sz w:val="32"/>
          <w:szCs w:val="32"/>
        </w:rPr>
        <w:tab/>
      </w:r>
      <w:r>
        <w:rPr>
          <w:rFonts w:hint="eastAsia" w:ascii="方正仿宋简体" w:eastAsia="方正仿宋简体"/>
          <w:b/>
          <w:sz w:val="32"/>
          <w:szCs w:val="32"/>
        </w:rPr>
        <w:t>74</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健全强农富农惠农机制</w:t>
      </w:r>
      <w:r>
        <w:rPr>
          <w:rFonts w:hint="eastAsia" w:ascii="方正仿宋简体" w:eastAsia="方正仿宋简体"/>
          <w:b/>
          <w:sz w:val="32"/>
          <w:szCs w:val="32"/>
        </w:rPr>
        <w:tab/>
      </w:r>
      <w:r>
        <w:rPr>
          <w:rFonts w:hint="eastAsia" w:ascii="方正仿宋简体" w:eastAsia="方正仿宋简体"/>
          <w:b/>
          <w:sz w:val="32"/>
          <w:szCs w:val="32"/>
        </w:rPr>
        <w:t>76</w:t>
      </w:r>
    </w:p>
    <w:p>
      <w:pPr>
        <w:tabs>
          <w:tab w:val="right" w:leader="dot" w:pos="8789"/>
        </w:tabs>
        <w:overflowPunct w:val="0"/>
        <w:spacing w:line="600" w:lineRule="exact"/>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 xml:space="preserve">第十篇  </w:t>
      </w:r>
      <w:r>
        <w:rPr>
          <w:rFonts w:hint="eastAsia" w:ascii="方正黑体简体" w:hAnsi="文星仿宋" w:eastAsia="方正黑体简体" w:cs="方正仿宋简体"/>
          <w:b/>
          <w:color w:val="000000"/>
          <w:spacing w:val="-16"/>
          <w:sz w:val="32"/>
          <w:szCs w:val="32"/>
        </w:rPr>
        <w:t>深入推进以人为本的新型城镇化，促进城乡融合发展</w:t>
      </w:r>
      <w:r>
        <w:rPr>
          <w:rFonts w:hint="eastAsia" w:ascii="方正仿宋简体" w:eastAsia="方正仿宋简体"/>
          <w:b/>
          <w:sz w:val="32"/>
          <w:szCs w:val="32"/>
        </w:rPr>
        <w:tab/>
      </w:r>
      <w:r>
        <w:rPr>
          <w:rFonts w:hint="eastAsia" w:ascii="方正仿宋简体" w:eastAsia="方正仿宋简体"/>
          <w:b/>
          <w:sz w:val="32"/>
          <w:szCs w:val="32"/>
        </w:rPr>
        <w:t>78</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全面提升城市发展能级</w:t>
      </w:r>
      <w:r>
        <w:rPr>
          <w:rFonts w:hint="eastAsia" w:ascii="方正仿宋简体" w:eastAsia="方正仿宋简体"/>
          <w:b/>
          <w:sz w:val="32"/>
          <w:szCs w:val="32"/>
        </w:rPr>
        <w:tab/>
      </w:r>
      <w:r>
        <w:rPr>
          <w:rFonts w:hint="eastAsia" w:ascii="方正仿宋简体" w:eastAsia="方正仿宋简体"/>
          <w:b/>
          <w:sz w:val="32"/>
          <w:szCs w:val="32"/>
        </w:rPr>
        <w:t>78</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着力提升城市功能品质</w:t>
      </w:r>
      <w:r>
        <w:rPr>
          <w:rFonts w:hint="eastAsia" w:ascii="方正仿宋简体" w:eastAsia="方正仿宋简体"/>
          <w:b/>
          <w:sz w:val="32"/>
          <w:szCs w:val="32"/>
        </w:rPr>
        <w:tab/>
      </w:r>
      <w:r>
        <w:rPr>
          <w:rFonts w:hint="eastAsia" w:ascii="方正仿宋简体" w:eastAsia="方正仿宋简体"/>
          <w:b/>
          <w:sz w:val="32"/>
          <w:szCs w:val="32"/>
        </w:rPr>
        <w:t>84</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推动城乡融合发展</w:t>
      </w:r>
      <w:r>
        <w:rPr>
          <w:rFonts w:hint="eastAsia" w:ascii="方正仿宋简体" w:eastAsia="方正仿宋简体"/>
          <w:b/>
          <w:sz w:val="32"/>
          <w:szCs w:val="32"/>
        </w:rPr>
        <w:tab/>
      </w:r>
      <w:r>
        <w:rPr>
          <w:rFonts w:hint="eastAsia" w:ascii="方正仿宋简体" w:eastAsia="方正仿宋简体"/>
          <w:b/>
          <w:sz w:val="32"/>
          <w:szCs w:val="32"/>
        </w:rPr>
        <w:t>85</w:t>
      </w:r>
    </w:p>
    <w:p>
      <w:pPr>
        <w:tabs>
          <w:tab w:val="right" w:leader="dot" w:pos="8789"/>
        </w:tabs>
        <w:overflowPunct w:val="0"/>
        <w:spacing w:line="600" w:lineRule="exact"/>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 xml:space="preserve">第十一篇  </w:t>
      </w:r>
      <w:r>
        <w:rPr>
          <w:rFonts w:hint="eastAsia" w:ascii="方正黑体简体" w:hAnsi="文星仿宋" w:eastAsia="方正黑体简体" w:cs="方正仿宋简体"/>
          <w:b/>
          <w:color w:val="000000"/>
          <w:spacing w:val="-14"/>
          <w:sz w:val="32"/>
          <w:szCs w:val="32"/>
        </w:rPr>
        <w:t>担负新时代文化使命，加快建设世界文化旅游名城</w:t>
      </w:r>
      <w:r>
        <w:rPr>
          <w:rFonts w:hint="eastAsia" w:ascii="方正仿宋简体" w:eastAsia="方正仿宋简体"/>
          <w:b/>
          <w:sz w:val="32"/>
          <w:szCs w:val="32"/>
        </w:rPr>
        <w:tab/>
      </w:r>
      <w:r>
        <w:rPr>
          <w:rFonts w:hint="eastAsia" w:ascii="方正仿宋简体" w:eastAsia="方正仿宋简体"/>
          <w:b/>
          <w:sz w:val="32"/>
          <w:szCs w:val="32"/>
        </w:rPr>
        <w:t>87</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弘扬和践行社会主义核心价值观</w:t>
      </w:r>
      <w:r>
        <w:rPr>
          <w:rFonts w:hint="eastAsia" w:ascii="方正仿宋简体" w:eastAsia="方正仿宋简体"/>
          <w:b/>
          <w:sz w:val="32"/>
          <w:szCs w:val="32"/>
        </w:rPr>
        <w:tab/>
      </w:r>
      <w:r>
        <w:rPr>
          <w:rFonts w:hint="eastAsia" w:ascii="方正仿宋简体" w:eastAsia="方正仿宋简体"/>
          <w:b/>
          <w:sz w:val="32"/>
          <w:szCs w:val="32"/>
        </w:rPr>
        <w:t>87</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建设世界文明交流互鉴高地</w:t>
      </w:r>
      <w:r>
        <w:rPr>
          <w:rFonts w:hint="eastAsia" w:ascii="方正仿宋简体" w:hAnsi="文星仿宋" w:eastAsia="方正仿宋简体" w:cs="方正仿宋简体"/>
          <w:b/>
          <w:color w:val="000000"/>
          <w:sz w:val="32"/>
          <w:szCs w:val="32"/>
        </w:rPr>
        <w:tab/>
      </w:r>
      <w:r>
        <w:rPr>
          <w:rFonts w:hint="eastAsia" w:ascii="方正仿宋简体" w:hAnsi="文星仿宋" w:eastAsia="方正仿宋简体" w:cs="方正仿宋简体"/>
          <w:b/>
          <w:color w:val="000000"/>
          <w:sz w:val="32"/>
          <w:szCs w:val="32"/>
        </w:rPr>
        <w:t>89</w:t>
      </w:r>
      <w:r>
        <w:rPr>
          <w:rFonts w:hint="eastAsia" w:ascii="方正仿宋简体" w:eastAsia="方正仿宋简体"/>
          <w:b/>
          <w:sz w:val="32"/>
          <w:szCs w:val="32"/>
        </w:rPr>
        <w:tab/>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塑强济宁特色文化旅游品牌</w:t>
      </w:r>
      <w:r>
        <w:rPr>
          <w:rFonts w:hint="eastAsia" w:ascii="方正仿宋简体" w:eastAsia="方正仿宋简体"/>
          <w:b/>
          <w:sz w:val="32"/>
          <w:szCs w:val="32"/>
        </w:rPr>
        <w:tab/>
      </w:r>
      <w:r>
        <w:rPr>
          <w:rFonts w:hint="eastAsia" w:ascii="方正仿宋简体" w:eastAsia="方正仿宋简体"/>
          <w:b/>
          <w:sz w:val="32"/>
          <w:szCs w:val="32"/>
        </w:rPr>
        <w:t>91</w:t>
      </w:r>
    </w:p>
    <w:p>
      <w:pPr>
        <w:tabs>
          <w:tab w:val="right" w:leader="dot" w:pos="8789"/>
        </w:tabs>
        <w:overflowPunct w:val="0"/>
        <w:spacing w:line="600" w:lineRule="exact"/>
        <w:rPr>
          <w:rFonts w:ascii="方正黑体简体" w:hAnsi="文星仿宋" w:eastAsia="方正黑体简体" w:cs="方正仿宋简体"/>
          <w:b/>
          <w:color w:val="000000"/>
          <w:spacing w:val="11"/>
          <w:sz w:val="32"/>
          <w:szCs w:val="32"/>
        </w:rPr>
      </w:pPr>
      <w:r>
        <w:rPr>
          <w:rFonts w:hint="eastAsia" w:ascii="方正黑体简体" w:hAnsi="文星仿宋" w:eastAsia="方正黑体简体" w:cs="方正仿宋简体"/>
          <w:b/>
          <w:color w:val="000000"/>
          <w:sz w:val="32"/>
          <w:szCs w:val="32"/>
        </w:rPr>
        <w:t xml:space="preserve">第十二篇  </w:t>
      </w:r>
      <w:r>
        <w:rPr>
          <w:rFonts w:hint="eastAsia" w:ascii="方正黑体简体" w:hAnsi="文星仿宋" w:eastAsia="方正黑体简体" w:cs="方正仿宋简体"/>
          <w:b/>
          <w:color w:val="000000"/>
          <w:spacing w:val="11"/>
          <w:sz w:val="32"/>
          <w:szCs w:val="32"/>
        </w:rPr>
        <w:t>切实保障和改善民生，持续增强人民群众获得感</w:t>
      </w:r>
    </w:p>
    <w:p>
      <w:pPr>
        <w:tabs>
          <w:tab w:val="right" w:leader="dot" w:pos="8789"/>
        </w:tabs>
        <w:overflowPunct w:val="0"/>
        <w:spacing w:line="600" w:lineRule="exact"/>
        <w:ind w:firstLine="1606" w:firstLineChars="500"/>
        <w:rPr>
          <w:rFonts w:ascii="方正仿宋简体" w:eastAsia="方正仿宋简体"/>
          <w:b/>
          <w:sz w:val="32"/>
          <w:szCs w:val="32"/>
        </w:rPr>
      </w:pPr>
      <w:r>
        <w:rPr>
          <w:rFonts w:hint="eastAsia" w:ascii="方正黑体简体" w:hAnsi="文星仿宋" w:eastAsia="方正黑体简体" w:cs="方正仿宋简体"/>
          <w:b/>
          <w:color w:val="000000"/>
          <w:sz w:val="32"/>
          <w:szCs w:val="32"/>
        </w:rPr>
        <w:t>幸福感安全感</w:t>
      </w:r>
      <w:r>
        <w:rPr>
          <w:rFonts w:hint="eastAsia" w:ascii="方正仿宋简体" w:eastAsia="方正仿宋简体"/>
          <w:b/>
          <w:sz w:val="32"/>
          <w:szCs w:val="32"/>
        </w:rPr>
        <w:tab/>
      </w:r>
      <w:r>
        <w:rPr>
          <w:rFonts w:hint="eastAsia" w:ascii="方正仿宋简体" w:eastAsia="方正仿宋简体"/>
          <w:b/>
          <w:sz w:val="32"/>
          <w:szCs w:val="32"/>
        </w:rPr>
        <w:t>94</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着力稳就业促增收</w:t>
      </w:r>
      <w:r>
        <w:rPr>
          <w:rFonts w:hint="eastAsia" w:ascii="方正仿宋简体" w:eastAsia="方正仿宋简体"/>
          <w:b/>
          <w:sz w:val="32"/>
          <w:szCs w:val="32"/>
        </w:rPr>
        <w:tab/>
      </w:r>
      <w:r>
        <w:rPr>
          <w:rFonts w:hint="eastAsia" w:ascii="方正仿宋简体" w:eastAsia="方正仿宋简体"/>
          <w:b/>
          <w:sz w:val="32"/>
          <w:szCs w:val="32"/>
        </w:rPr>
        <w:t>94</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办好人民满意的教育</w:t>
      </w:r>
      <w:r>
        <w:rPr>
          <w:rFonts w:hint="eastAsia" w:ascii="方正仿宋简体" w:eastAsia="方正仿宋简体"/>
          <w:b/>
          <w:sz w:val="32"/>
          <w:szCs w:val="32"/>
        </w:rPr>
        <w:tab/>
      </w:r>
      <w:r>
        <w:rPr>
          <w:rFonts w:hint="eastAsia" w:ascii="方正仿宋简体" w:eastAsia="方正仿宋简体"/>
          <w:b/>
          <w:sz w:val="32"/>
          <w:szCs w:val="32"/>
        </w:rPr>
        <w:t>96</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健全社会保障体系</w:t>
      </w:r>
      <w:r>
        <w:rPr>
          <w:rFonts w:hint="eastAsia" w:ascii="方正仿宋简体" w:eastAsia="方正仿宋简体"/>
          <w:b/>
          <w:sz w:val="32"/>
          <w:szCs w:val="32"/>
        </w:rPr>
        <w:tab/>
      </w:r>
      <w:r>
        <w:rPr>
          <w:rFonts w:hint="eastAsia" w:ascii="方正仿宋简体" w:eastAsia="方正仿宋简体"/>
          <w:b/>
          <w:sz w:val="32"/>
          <w:szCs w:val="32"/>
        </w:rPr>
        <w:t>97</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第四章  推动房地产高质量发展</w:t>
      </w:r>
      <w:r>
        <w:rPr>
          <w:rFonts w:hint="eastAsia" w:ascii="方正仿宋简体" w:eastAsia="方正仿宋简体"/>
          <w:b/>
          <w:sz w:val="32"/>
          <w:szCs w:val="32"/>
        </w:rPr>
        <w:tab/>
      </w:r>
      <w:r>
        <w:rPr>
          <w:rFonts w:hint="eastAsia" w:ascii="方正仿宋简体" w:eastAsia="方正仿宋简体"/>
          <w:b/>
          <w:sz w:val="32"/>
          <w:szCs w:val="32"/>
        </w:rPr>
        <w:t>99</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第五章  扎实推进健康济宁建设</w:t>
      </w:r>
      <w:r>
        <w:rPr>
          <w:rFonts w:hint="eastAsia" w:ascii="方正仿宋简体" w:eastAsia="方正仿宋简体"/>
          <w:b/>
          <w:sz w:val="32"/>
          <w:szCs w:val="32"/>
        </w:rPr>
        <w:tab/>
      </w:r>
      <w:r>
        <w:rPr>
          <w:rFonts w:hint="eastAsia" w:ascii="方正仿宋简体" w:eastAsia="方正仿宋简体"/>
          <w:b/>
          <w:sz w:val="32"/>
          <w:szCs w:val="32"/>
        </w:rPr>
        <w:t>100</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第六章  促进人口高质量发展</w:t>
      </w:r>
      <w:r>
        <w:rPr>
          <w:rFonts w:hint="eastAsia" w:ascii="方正仿宋简体" w:eastAsia="方正仿宋简体"/>
          <w:b/>
          <w:sz w:val="32"/>
          <w:szCs w:val="32"/>
        </w:rPr>
        <w:tab/>
      </w:r>
      <w:r>
        <w:rPr>
          <w:rFonts w:hint="eastAsia" w:ascii="方正仿宋简体" w:eastAsia="方正仿宋简体"/>
          <w:b/>
          <w:sz w:val="32"/>
          <w:szCs w:val="32"/>
        </w:rPr>
        <w:t>101</w:t>
      </w:r>
    </w:p>
    <w:p>
      <w:pPr>
        <w:tabs>
          <w:tab w:val="right" w:leader="dot" w:pos="8789"/>
        </w:tabs>
        <w:overflowPunct w:val="0"/>
        <w:spacing w:line="600" w:lineRule="exact"/>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第十三篇  加快经济社会发展全面绿色转型，推动美丽济宁建设</w:t>
      </w:r>
    </w:p>
    <w:p>
      <w:pPr>
        <w:tabs>
          <w:tab w:val="right" w:leader="dot" w:pos="8789"/>
        </w:tabs>
        <w:overflowPunct w:val="0"/>
        <w:spacing w:line="600" w:lineRule="exact"/>
        <w:ind w:firstLine="1606" w:firstLineChars="500"/>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取得新突破</w:t>
      </w:r>
      <w:r>
        <w:rPr>
          <w:rFonts w:hint="eastAsia" w:ascii="方正仿宋简体" w:eastAsia="方正仿宋简体"/>
          <w:b/>
          <w:sz w:val="32"/>
          <w:szCs w:val="32"/>
        </w:rPr>
        <w:tab/>
      </w:r>
      <w:r>
        <w:rPr>
          <w:rFonts w:hint="eastAsia" w:ascii="方正仿宋简体" w:eastAsia="方正仿宋简体"/>
          <w:b/>
          <w:sz w:val="32"/>
          <w:szCs w:val="32"/>
        </w:rPr>
        <w:t>104</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深入推进污染防治攻坚</w:t>
      </w:r>
      <w:r>
        <w:rPr>
          <w:rFonts w:hint="eastAsia" w:ascii="方正仿宋简体" w:eastAsia="方正仿宋简体"/>
          <w:b/>
          <w:sz w:val="32"/>
          <w:szCs w:val="32"/>
        </w:rPr>
        <w:tab/>
      </w:r>
      <w:r>
        <w:rPr>
          <w:rFonts w:hint="eastAsia" w:ascii="方正仿宋简体" w:eastAsia="方正仿宋简体"/>
          <w:b/>
          <w:sz w:val="32"/>
          <w:szCs w:val="32"/>
        </w:rPr>
        <w:t>104</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加快绿色低碳转型发展</w:t>
      </w:r>
      <w:r>
        <w:rPr>
          <w:rFonts w:hint="eastAsia" w:ascii="方正仿宋简体" w:eastAsia="方正仿宋简体"/>
          <w:b/>
          <w:sz w:val="32"/>
          <w:szCs w:val="32"/>
        </w:rPr>
        <w:tab/>
      </w:r>
      <w:r>
        <w:rPr>
          <w:rFonts w:hint="eastAsia" w:ascii="方正仿宋简体" w:eastAsia="方正仿宋简体"/>
          <w:b/>
          <w:sz w:val="32"/>
          <w:szCs w:val="32"/>
        </w:rPr>
        <w:t>106</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完善绿色低碳新型能源体系</w:t>
      </w:r>
      <w:r>
        <w:rPr>
          <w:rFonts w:hint="eastAsia" w:ascii="方正仿宋简体" w:eastAsia="方正仿宋简体"/>
          <w:b/>
          <w:sz w:val="32"/>
          <w:szCs w:val="32"/>
        </w:rPr>
        <w:tab/>
      </w:r>
      <w:r>
        <w:rPr>
          <w:rFonts w:hint="eastAsia" w:ascii="方正仿宋简体" w:eastAsia="方正仿宋简体"/>
          <w:b/>
          <w:sz w:val="32"/>
          <w:szCs w:val="32"/>
        </w:rPr>
        <w:t>107</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第四章  加大生态系统修复和保护力度</w:t>
      </w:r>
      <w:r>
        <w:rPr>
          <w:rFonts w:hint="eastAsia" w:ascii="方正仿宋简体" w:eastAsia="方正仿宋简体"/>
          <w:b/>
          <w:sz w:val="32"/>
          <w:szCs w:val="32"/>
        </w:rPr>
        <w:tab/>
      </w:r>
      <w:r>
        <w:rPr>
          <w:rFonts w:hint="eastAsia" w:ascii="方正仿宋简体" w:eastAsia="方正仿宋简体"/>
          <w:b/>
          <w:sz w:val="32"/>
          <w:szCs w:val="32"/>
        </w:rPr>
        <w:t>109</w:t>
      </w:r>
    </w:p>
    <w:p>
      <w:pPr>
        <w:tabs>
          <w:tab w:val="right" w:leader="dot" w:pos="8789"/>
        </w:tabs>
        <w:overflowPunct w:val="0"/>
        <w:spacing w:line="600" w:lineRule="exact"/>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 xml:space="preserve">第十四篇  </w:t>
      </w:r>
      <w:r>
        <w:rPr>
          <w:rFonts w:hint="eastAsia" w:ascii="方正黑体简体" w:hAnsi="文星仿宋" w:eastAsia="方正黑体简体" w:cs="方正仿宋简体"/>
          <w:b/>
          <w:color w:val="000000"/>
          <w:spacing w:val="-12"/>
          <w:sz w:val="32"/>
          <w:szCs w:val="32"/>
        </w:rPr>
        <w:t>统筹发展和安全，以高水平安全保障高质量发展</w:t>
      </w:r>
      <w:r>
        <w:rPr>
          <w:rFonts w:hint="eastAsia" w:ascii="方正仿宋简体" w:eastAsia="方正仿宋简体"/>
          <w:b/>
          <w:sz w:val="32"/>
          <w:szCs w:val="32"/>
        </w:rPr>
        <w:tab/>
      </w:r>
      <w:r>
        <w:rPr>
          <w:rFonts w:hint="eastAsia" w:ascii="方正仿宋简体" w:eastAsia="方正仿宋简体"/>
          <w:b/>
          <w:sz w:val="32"/>
          <w:szCs w:val="32"/>
        </w:rPr>
        <w:t>112</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一体化推进法治济宁建设</w:t>
      </w:r>
      <w:r>
        <w:rPr>
          <w:rFonts w:hint="eastAsia" w:ascii="方正仿宋简体" w:eastAsia="方正仿宋简体"/>
          <w:b/>
          <w:sz w:val="32"/>
          <w:szCs w:val="32"/>
        </w:rPr>
        <w:tab/>
      </w:r>
      <w:r>
        <w:rPr>
          <w:rFonts w:hint="eastAsia" w:ascii="方正仿宋简体" w:eastAsia="方正仿宋简体"/>
          <w:b/>
          <w:sz w:val="32"/>
          <w:szCs w:val="32"/>
        </w:rPr>
        <w:t>112</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统筹推进更高水平的平安济宁建设</w:t>
      </w:r>
      <w:r>
        <w:rPr>
          <w:rFonts w:hint="eastAsia" w:ascii="方正仿宋简体" w:eastAsia="方正仿宋简体"/>
          <w:b/>
          <w:sz w:val="32"/>
          <w:szCs w:val="32"/>
        </w:rPr>
        <w:tab/>
      </w:r>
      <w:r>
        <w:rPr>
          <w:rFonts w:hint="eastAsia" w:ascii="方正仿宋简体" w:eastAsia="方正仿宋简体"/>
          <w:b/>
          <w:sz w:val="32"/>
          <w:szCs w:val="32"/>
        </w:rPr>
        <w:t>113</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全面提升应急管理能力</w:t>
      </w:r>
      <w:r>
        <w:rPr>
          <w:rFonts w:hint="eastAsia" w:ascii="方正仿宋简体" w:eastAsia="方正仿宋简体"/>
          <w:b/>
          <w:sz w:val="32"/>
          <w:szCs w:val="32"/>
        </w:rPr>
        <w:tab/>
      </w:r>
      <w:r>
        <w:rPr>
          <w:rFonts w:hint="eastAsia" w:ascii="方正仿宋简体" w:eastAsia="方正仿宋简体"/>
          <w:b/>
          <w:sz w:val="32"/>
          <w:szCs w:val="32"/>
        </w:rPr>
        <w:t>116</w:t>
      </w:r>
    </w:p>
    <w:p>
      <w:pPr>
        <w:tabs>
          <w:tab w:val="right" w:leader="dot" w:pos="8789"/>
        </w:tabs>
        <w:overflowPunct w:val="0"/>
        <w:spacing w:line="600" w:lineRule="exact"/>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第十五篇  </w:t>
      </w:r>
      <w:r>
        <w:rPr>
          <w:rFonts w:hint="eastAsia" w:ascii="方正黑体简体" w:hAnsi="文星仿宋" w:eastAsia="方正黑体简体" w:cs="方正仿宋简体"/>
          <w:b/>
          <w:color w:val="000000"/>
          <w:spacing w:val="11"/>
          <w:sz w:val="32"/>
          <w:szCs w:val="32"/>
        </w:rPr>
        <w:t>坚持和加强党的全面领导，团结全市人民为实现</w:t>
      </w:r>
    </w:p>
    <w:p>
      <w:pPr>
        <w:tabs>
          <w:tab w:val="right" w:leader="dot" w:pos="8789"/>
        </w:tabs>
        <w:overflowPunct w:val="0"/>
        <w:spacing w:line="600" w:lineRule="exact"/>
        <w:ind w:firstLine="1606" w:firstLineChars="500"/>
        <w:rPr>
          <w:rFonts w:ascii="方正黑体简体" w:eastAsia="方正黑体简体"/>
          <w:b/>
          <w:sz w:val="32"/>
          <w:szCs w:val="32"/>
        </w:rPr>
      </w:pPr>
      <w:r>
        <w:rPr>
          <w:rFonts w:hint="eastAsia" w:ascii="方正黑体简体" w:hAnsi="文星仿宋" w:eastAsia="方正黑体简体" w:cs="方正仿宋简体"/>
          <w:b/>
          <w:color w:val="000000"/>
          <w:sz w:val="32"/>
          <w:szCs w:val="32"/>
        </w:rPr>
        <w:t>“十五五”规划而奋斗</w:t>
      </w:r>
      <w:r>
        <w:rPr>
          <w:rFonts w:hint="eastAsia" w:ascii="方正仿宋简体" w:eastAsia="方正仿宋简体"/>
          <w:b/>
          <w:sz w:val="32"/>
          <w:szCs w:val="32"/>
        </w:rPr>
        <w:tab/>
      </w:r>
      <w:r>
        <w:rPr>
          <w:rFonts w:hint="eastAsia" w:ascii="方正仿宋简体" w:eastAsia="方正仿宋简体"/>
          <w:b/>
          <w:sz w:val="32"/>
          <w:szCs w:val="32"/>
        </w:rPr>
        <w:t>118</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第一章  提高党领导经济社会发展能力</w:t>
      </w:r>
      <w:r>
        <w:rPr>
          <w:rFonts w:hint="eastAsia" w:ascii="方正仿宋简体" w:eastAsia="方正仿宋简体"/>
          <w:b/>
          <w:sz w:val="32"/>
          <w:szCs w:val="32"/>
        </w:rPr>
        <w:tab/>
      </w:r>
      <w:r>
        <w:rPr>
          <w:rFonts w:hint="eastAsia" w:ascii="方正仿宋简体" w:eastAsia="方正仿宋简体"/>
          <w:b/>
          <w:sz w:val="32"/>
          <w:szCs w:val="32"/>
        </w:rPr>
        <w:t>118</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第二章  加强统一规划体系建设</w:t>
      </w:r>
      <w:r>
        <w:rPr>
          <w:rFonts w:hint="eastAsia" w:ascii="方正仿宋简体" w:eastAsia="方正仿宋简体"/>
          <w:b/>
          <w:sz w:val="32"/>
          <w:szCs w:val="32"/>
        </w:rPr>
        <w:tab/>
      </w:r>
      <w:r>
        <w:rPr>
          <w:rFonts w:hint="eastAsia" w:ascii="方正仿宋简体" w:eastAsia="方正仿宋简体"/>
          <w:b/>
          <w:sz w:val="32"/>
          <w:szCs w:val="32"/>
        </w:rPr>
        <w:t>118</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第三章  建立重大项目支撑体系</w:t>
      </w:r>
      <w:r>
        <w:rPr>
          <w:rFonts w:hint="eastAsia" w:ascii="方正仿宋简体" w:eastAsia="方正仿宋简体"/>
          <w:b/>
          <w:sz w:val="32"/>
          <w:szCs w:val="32"/>
        </w:rPr>
        <w:tab/>
      </w:r>
      <w:r>
        <w:rPr>
          <w:rFonts w:hint="eastAsia" w:ascii="方正仿宋简体" w:eastAsia="方正仿宋简体"/>
          <w:b/>
          <w:sz w:val="32"/>
          <w:szCs w:val="32"/>
        </w:rPr>
        <w:t>119</w:t>
      </w:r>
    </w:p>
    <w:p>
      <w:pPr>
        <w:tabs>
          <w:tab w:val="right" w:leader="dot" w:pos="8789"/>
        </w:tabs>
        <w:overflowPunct w:val="0"/>
        <w:spacing w:line="600" w:lineRule="exact"/>
        <w:ind w:firstLine="321" w:firstLineChars="100"/>
        <w:rPr>
          <w:rFonts w:ascii="方正仿宋简体" w:eastAsia="方正仿宋简体"/>
          <w:b/>
          <w:sz w:val="32"/>
          <w:szCs w:val="32"/>
        </w:rPr>
      </w:pPr>
      <w:r>
        <w:rPr>
          <w:rFonts w:hint="eastAsia" w:ascii="方正仿宋简体" w:hAnsi="文星仿宋" w:eastAsia="方正仿宋简体" w:cs="方正仿宋简体"/>
          <w:b/>
          <w:color w:val="000000"/>
          <w:sz w:val="32"/>
          <w:szCs w:val="32"/>
        </w:rPr>
        <w:t>第四章  完善实施监测评估体系</w:t>
      </w:r>
      <w:r>
        <w:rPr>
          <w:rFonts w:hint="eastAsia" w:ascii="方正仿宋简体" w:eastAsia="方正仿宋简体"/>
          <w:b/>
          <w:sz w:val="32"/>
          <w:szCs w:val="32"/>
        </w:rPr>
        <w:tab/>
      </w:r>
      <w:r>
        <w:rPr>
          <w:rFonts w:hint="eastAsia" w:ascii="方正仿宋简体" w:eastAsia="方正仿宋简体"/>
          <w:b/>
          <w:sz w:val="32"/>
          <w:szCs w:val="32"/>
        </w:rPr>
        <w:t>119</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spacing w:line="600" w:lineRule="exact"/>
        <w:jc w:val="center"/>
        <w:rPr>
          <w:rFonts w:ascii="方正小标宋简体" w:hAnsi="文星仿宋" w:eastAsia="方正小标宋简体" w:cs="方正仿宋简体"/>
          <w:b/>
          <w:color w:val="000000"/>
          <w:sz w:val="44"/>
          <w:szCs w:val="44"/>
        </w:rPr>
      </w:pPr>
    </w:p>
    <w:p>
      <w:pPr>
        <w:spacing w:line="600" w:lineRule="exact"/>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济宁市国民经济和社会发展</w:t>
      </w:r>
    </w:p>
    <w:p>
      <w:pPr>
        <w:spacing w:line="600" w:lineRule="exact"/>
        <w:jc w:val="center"/>
        <w:rPr>
          <w:rFonts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第十五个五年规划纲要</w:t>
      </w:r>
    </w:p>
    <w:p>
      <w:pPr>
        <w:overflowPunct w:val="0"/>
        <w:adjustRightInd w:val="0"/>
        <w:spacing w:line="600" w:lineRule="exact"/>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济宁市国民经济和社会发展第十五个五年（2026—2030年）规划纲要，以习近平新时代中国特色社会主义思想为指导，深入贯彻党的二十届四中全会精神，认真落实中共山东省委十二届十次全会部署，根据《中共济宁市委关于制定济宁市国民经济和社会发展第十五个五年规划的建议》编制，主要阐明全市经济社会发展战略，明确未来五年经济社会发展的总体目标、重点任务和重大政策举措，是政府履行职能的重要依据，是社会主体的行为导向，是全市人民共同的行动纲领。</w:t>
      </w:r>
    </w:p>
    <w:p>
      <w:pPr>
        <w:overflowPunct w:val="0"/>
        <w:adjustRightInd w:val="0"/>
        <w:spacing w:line="600" w:lineRule="exact"/>
        <w:rPr>
          <w:rFonts w:ascii="方正仿宋简体" w:hAnsi="文星仿宋" w:eastAsia="方正仿宋简体" w:cs="方正仿宋简体"/>
          <w:b/>
          <w:color w:val="000000"/>
          <w:sz w:val="32"/>
          <w:szCs w:val="32"/>
        </w:rPr>
      </w:pPr>
    </w:p>
    <w:p>
      <w:pPr>
        <w:overflowPunct w:val="0"/>
        <w:adjustRightInd w:val="0"/>
        <w:spacing w:line="600" w:lineRule="exact"/>
        <w:jc w:val="center"/>
        <w:rPr>
          <w:rFonts w:ascii="方正小标宋简体" w:hAnsi="文星仿宋" w:eastAsia="方正小标宋简体" w:cs="方正仿宋简体"/>
          <w:b/>
          <w:color w:val="000000"/>
          <w:sz w:val="36"/>
          <w:szCs w:val="36"/>
        </w:rPr>
      </w:pPr>
      <w:r>
        <w:rPr>
          <w:rFonts w:hint="eastAsia" w:ascii="方正小标宋简体" w:hAnsi="文星仿宋" w:eastAsia="方正小标宋简体" w:cs="方正仿宋简体"/>
          <w:b/>
          <w:color w:val="000000"/>
          <w:sz w:val="36"/>
          <w:szCs w:val="36"/>
        </w:rPr>
        <w:t>第一篇</w:t>
      </w:r>
      <w:r>
        <w:rPr>
          <w:rFonts w:ascii="方正小标宋简体" w:hAnsi="文星仿宋" w:eastAsia="方正小标宋简体" w:cs="方正仿宋简体"/>
          <w:b/>
          <w:color w:val="000000"/>
          <w:sz w:val="36"/>
          <w:szCs w:val="36"/>
        </w:rPr>
        <w:t xml:space="preserve">  </w:t>
      </w:r>
      <w:r>
        <w:rPr>
          <w:rFonts w:hint="eastAsia" w:ascii="方正小标宋简体" w:hAnsi="文星仿宋" w:eastAsia="方正小标宋简体" w:cs="方正仿宋简体"/>
          <w:b/>
          <w:color w:val="000000"/>
          <w:sz w:val="36"/>
          <w:szCs w:val="36"/>
        </w:rPr>
        <w:t>“十五五”时期是基本建成新时代社会主义</w:t>
      </w:r>
    </w:p>
    <w:p>
      <w:pPr>
        <w:overflowPunct w:val="0"/>
        <w:adjustRightInd w:val="0"/>
        <w:spacing w:line="600" w:lineRule="exact"/>
        <w:jc w:val="center"/>
        <w:rPr>
          <w:rFonts w:ascii="方正小标宋简体" w:hAnsi="文星仿宋" w:eastAsia="方正小标宋简体" w:cs="方正仿宋简体"/>
          <w:b/>
          <w:color w:val="000000"/>
          <w:sz w:val="36"/>
          <w:szCs w:val="36"/>
        </w:rPr>
      </w:pPr>
      <w:r>
        <w:rPr>
          <w:rFonts w:hint="eastAsia" w:ascii="方正小标宋简体" w:hAnsi="文星仿宋" w:eastAsia="方正小标宋简体" w:cs="方正仿宋简体"/>
          <w:b/>
          <w:color w:val="000000"/>
          <w:sz w:val="36"/>
          <w:szCs w:val="36"/>
        </w:rPr>
        <w:t>现代化强市承前启后的关键时期</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五五”时期在基本实现社会主义现代化进程中具有承前启后的重要地位，是我市全面贯彻落实习近平新时代中国特色社会主义思想，加快塑造绿色低碳高质量发展新优势的重要机遇期。我市将立足全国全省大局和济宁实际，站在“十四五”成就基础上阔步前行、乘势而上，为基本实现社会主义现代化奠定更加坚实的基础。</w:t>
      </w: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第一章  “十四五”时期经济社会发展迈出新的坚实步伐</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四五”时期，面对错综复杂的外部环境和艰巨繁重的改革发展稳定任务，市委、市人民政府坚持以习近平新时代中国特色社会主义思想为指导，深入贯彻习近平总书记视察山东视察济宁重要讲话和重要指示批示精神，在党中央、国务院和省委、省人民政府坚强领导下，团结带领全市人民，迎难而上、砥砺前行，完整准确全面贯彻新发展理念，主动服务和融入新发展格局，加快推动绿色低碳高质量发展，“十四五”主要目标任务胜利完成，新征程上新时代社会主义现代化强市建设实现良好开局。</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加速新旧动能转换，综合实力跨越提升。</w:t>
      </w:r>
      <w:r>
        <w:rPr>
          <w:rFonts w:hint="eastAsia" w:ascii="方正仿宋简体" w:hAnsi="文星仿宋" w:eastAsia="方正仿宋简体" w:cs="方正仿宋简体"/>
          <w:b/>
          <w:color w:val="000000"/>
          <w:sz w:val="32"/>
          <w:szCs w:val="32"/>
        </w:rPr>
        <w:t>全市地区生产总值突破6100亿元，连续跨过2个千亿元台阶，年均增长6.3%，高于规划目标0.3个百分点。一般公共预算收入突破500亿元，年均增长4.1%。社会消费品零售总额、进出口总额年均分别增长8.3%、18.5%。金融机构存贷款余额比2020年分别新增4402亿元、4318亿元。三次产业结构由2020年的11.7:37.9:50.4优化调整为10.6:36.2:53.2，服务业占比提高2.8个百分点。高新技术产业产值占规上工业的比重提升至57.99%，比2020年提高18.21个百分点，新增国家级创新平台25个，省级以上创新平台达到815家，科技型中小企业、高新技术企业数量实现双倍增，获省级以上科学技术奖57项，一批重大创新成果落地转化，数字经济核心产业营业收入五年翻一番。四上企业突破万家。</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纵深推进制造强市，产业格局重塑突破。</w:t>
      </w:r>
      <w:r>
        <w:rPr>
          <w:rFonts w:hint="eastAsia" w:ascii="方正仿宋简体" w:hAnsi="文星仿宋" w:eastAsia="方正仿宋简体" w:cs="方正仿宋简体"/>
          <w:b/>
          <w:color w:val="000000"/>
          <w:sz w:val="32"/>
          <w:szCs w:val="32"/>
        </w:rPr>
        <w:t>“232”先进制造业优势产业集聚成势，煤炭、纺织、造纸、建材等传统产业加快转型，低空经济、人工智能等战略性新兴产业蓬勃发展。新增国家级单项冠军企业、专精特新“小巨人”企业83家，2家企业实现境内首发上市，2家企业升级为特级资质建筑业企业。累计实施30亿元以上省市重点产业项目54个，总投资2994亿元。山东融汇、华勤集团、太阳纸业、恒信集团等企业持续壮大，宁德时代新能源电池产业基地、新加坡金鹰集团莱赛尔纤维、小松全球智能制造产业基地、兖矿智慧制造产业园等重大产业项目陆续建成投产，科比特航空科技无人机生产智造及服务、珞石工业机器人核心零部件集成研发生产、龙翼低空飞行机器人智造等一批战略性新兴产业项目接连落地。入选国家级产业集群、示范基地11个，省级产业集群、集聚区69个，成功举办首届山东省机器人大会，获评国家服务型制造示范城市、国家信息消费示范城市、全国中小企业数字化转型试点城市。生产性服务业倍增成效明显，规模突破4400亿元，获批国家物流枢纽承载城市、国家骨干冷链物流基地、全国性邮政快递枢纽承载城市、全省数字经济创新发展试验区。</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加快推进城乡融合，区域发展更趋协调。</w:t>
      </w:r>
      <w:r>
        <w:rPr>
          <w:rFonts w:hint="eastAsia" w:ascii="方正仿宋简体" w:hAnsi="文星仿宋" w:eastAsia="方正仿宋简体" w:cs="方正仿宋简体"/>
          <w:b/>
          <w:color w:val="000000"/>
          <w:sz w:val="32"/>
          <w:szCs w:val="32"/>
        </w:rPr>
        <w:t>济宁都市区加快融合，内环高架、崇德大道建成通车，城市迈入立体交通时代，济宁大安机场转场投运，日兰高铁建成运营，济邹、济商、郓鄄、济微等高速公路建成通车，主城区绕城高速公路实现闭环，高铁通车里程、高速公路通车里程分别达到206.6公里、625公里。县域经济发展取得新突破，邹城市上榜全国“千亿县”，7个县市区入选省相关领域“十强县”，8个县市区入选高质量发展先进县进步县、数量连续三年居全省首位。济宁（颜店）科技产业园、邹城工业园区成功创建省级高新技术产业开发区。城市功能品质持续提升，常住人口城镇化率达到65.37%、年均提升1.06个百分点，实施城市更新项目74个，完成棚户区改造安置15.7万套、老旧小区改造1045个。四星级新型智慧城市建设实现全覆盖，智慧社区覆盖率达到91.7%，充电桩总保有量达到16.33万个，累计建成5G基站18078个，获评全国千兆城市。济宁市、曲阜市蝉联全国文明城市，邹城市、金乡县新晋入选。</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大力发展现代农业，乡村振兴全面起势。</w:t>
      </w:r>
      <w:r>
        <w:rPr>
          <w:rFonts w:hint="eastAsia" w:ascii="方正仿宋简体" w:hAnsi="文星仿宋" w:eastAsia="方正仿宋简体" w:cs="方正仿宋简体"/>
          <w:b/>
          <w:color w:val="000000"/>
          <w:sz w:val="32"/>
          <w:szCs w:val="32"/>
        </w:rPr>
        <w:t>粮食产量突破100亿斤大关，农林牧渔业总产值稳居全省前三，累计建设高标准农田784.3万亩，农作物耕种收综合机械化率达到93.6%。“一县一业”发展格局基本形成，整建制创成国家农产品质量安全市，累计创成3个国家级现代农业产业园、3个国家优势特色产业集群和2个国家级特色农产品优势区，金乡县获评全国首批国家农业现代化示范区，邹城市获批省级农业高新技术产业开发区。巩固拓展脱贫攻坚成果考核连续五年全省第一，乡村振兴“百区千村”行动成效显著，累计创建国家级乡村振兴示范县1个、省级示范县3个、省级齐鲁样板片区9个，创建全国文明村镇32个，打造省市级和美乡村1830个，新改建“四好农村路”3520公里，改造提升薄弱村卫生室3073家，改造农村户厕110.6万余户，完成生活污水治理村庄5967个。</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深入推进文明互鉴，文化“两创”成果丰硕。</w:t>
      </w:r>
      <w:r>
        <w:rPr>
          <w:rFonts w:hint="eastAsia" w:ascii="方正仿宋简体" w:hAnsi="文星仿宋" w:eastAsia="方正仿宋简体" w:cs="方正仿宋简体"/>
          <w:b/>
          <w:color w:val="000000"/>
          <w:sz w:val="32"/>
          <w:szCs w:val="32"/>
        </w:rPr>
        <w:t>加快建设世界文化旅游名城，中国国际孔子文化节、尼山世界文明论坛影响力不断扩大，世界互联网大会数字文明尼山对话等重大活动落地济宁，全球媒体创新论坛首次在地市级举办，主论坛和央视《对话》栏目等6场分论坛取得良好反响。实施突破尼山战略，尼山世界文明论坛配套提升工程和曲阜优秀传统文化传承发展示范区建设成效显著，尼山文化片区绘就文化“两创”新画卷，尼山中华优秀传统文化联合研究生院建成启用，曲阜市成功创建“国字号”重点基地。深入实施百家景区焕新行动，推出“跟着孔子研学游”</w:t>
      </w:r>
      <w:r>
        <w:rPr>
          <w:rFonts w:hint="eastAsia" w:ascii="方正仿宋简体" w:hAnsi="文星仿宋" w:eastAsia="方正仿宋简体" w:cs="方正仿宋简体"/>
          <w:b/>
          <w:color w:val="000000"/>
          <w:spacing w:val="-6"/>
          <w:sz w:val="32"/>
          <w:szCs w:val="32"/>
        </w:rPr>
        <w:t>十大精品线路，鲁源村建成开园，微山湖旅游区创成国家5A级旅游景区，河道总督署遗址公园、大运河微山湖博物馆建成开放，累计培育规上文化企业396家，国内旅游总收入突破970亿元。文化事业繁荣发展，《岁月》《小花》分别荣获“金菊奖”“五个一工程”奖等国家级大奖，中国音乐最高奖“金钟奖”实现历史性突破。</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强力突破内河航运，对外开放稳步推进。</w:t>
      </w:r>
      <w:r>
        <w:rPr>
          <w:rFonts w:hint="eastAsia" w:ascii="方正仿宋简体" w:hAnsi="文星仿宋" w:eastAsia="方正仿宋简体" w:cs="方正仿宋简体"/>
          <w:b/>
          <w:color w:val="000000"/>
          <w:sz w:val="32"/>
          <w:szCs w:val="32"/>
        </w:rPr>
        <w:t>加快建设北方内河航运中心，龙拱港、梁山港、济州港等现代化港口集疏运能力不断提升，开通集装箱内河航线30条，通达全国59个港口，物流贸易覆盖19个国家及国内152个城市，货物吞吐量达到1.16亿吨，集装箱吞吐量连续三年翻番。京杭运河湖西航道（上级湖段）改造工程、京杭运河微山三线船闸等项目加速推进，国内首个标准化内河新能源船舶制造基地建成投产。深入实施“济宁优品 链通全球”市场开拓活动，济宁高新保税物流中心（B型）封关运营，易运盈平台助力500余家企业拓展海外业务。获批国家级跨境电商综合试验区。全市进出口规模达到1274.4亿元，累计实际使用外资52.5亿美元。</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坚持全面深化改革，发展活力充分释放。</w:t>
      </w:r>
      <w:r>
        <w:rPr>
          <w:rFonts w:hint="eastAsia" w:ascii="方正仿宋简体" w:hAnsi="文星仿宋" w:eastAsia="方正仿宋简体" w:cs="方正仿宋简体"/>
          <w:b/>
          <w:color w:val="000000"/>
          <w:sz w:val="32"/>
          <w:szCs w:val="32"/>
        </w:rPr>
        <w:t>突出抓好融资平台和城投公司转型、国资国企、要素市场化等十大重点改革任务，谋划实施改革事项392项，新承接省级以上改革试点770项，养老托育服务改革等100余项创新经验获国家和省推广。全面深化“一次办好”改革，迭代推出122个“高效办成一件事”应用场景，首创“民事无忧</w:t>
      </w:r>
      <w:r>
        <w:rPr>
          <w:rFonts w:hint="eastAsia" w:ascii="方正仿宋简体" w:hAnsi="宋体" w:eastAsia="方正仿宋简体" w:cs="宋体"/>
          <w:b/>
          <w:color w:val="000000"/>
          <w:sz w:val="32"/>
          <w:szCs w:val="32"/>
        </w:rPr>
        <w:t>·</w:t>
      </w:r>
      <w:r>
        <w:rPr>
          <w:rFonts w:hint="eastAsia" w:ascii="方正仿宋简体" w:hAnsi="方正仿宋简体" w:eastAsia="方正仿宋简体" w:cs="方正仿宋简体"/>
          <w:b/>
          <w:color w:val="000000"/>
          <w:sz w:val="32"/>
          <w:szCs w:val="32"/>
        </w:rPr>
        <w:t>企事有解</w:t>
      </w:r>
      <w:r>
        <w:rPr>
          <w:rFonts w:hint="eastAsia" w:ascii="方正仿宋简体" w:hAnsi="宋体" w:eastAsia="方正仿宋简体" w:cs="宋体"/>
          <w:b/>
          <w:color w:val="000000"/>
          <w:sz w:val="32"/>
          <w:szCs w:val="32"/>
        </w:rPr>
        <w:t>·</w:t>
      </w:r>
      <w:r>
        <w:rPr>
          <w:rFonts w:hint="eastAsia" w:ascii="方正仿宋简体" w:hAnsi="方正仿宋简体" w:eastAsia="方正仿宋简体" w:cs="方正仿宋简体"/>
          <w:b/>
          <w:color w:val="000000"/>
          <w:sz w:val="32"/>
          <w:szCs w:val="32"/>
        </w:rPr>
        <w:t>政事高效”品牌上升为省级战略，入选“中国营商环境评价标杆城市”。加力构建亲清政商关系，建立“有事即办、无事不扰”服务机制，创新建立“惠企通”</w:t>
      </w:r>
      <w:r>
        <w:rPr>
          <w:rFonts w:hint="eastAsia" w:ascii="方正仿宋简体" w:hAnsi="方正仿宋简体" w:eastAsia="方正仿宋简体" w:cs="方正仿宋简体"/>
          <w:b/>
          <w:color w:val="000000"/>
          <w:spacing w:val="-6"/>
          <w:sz w:val="32"/>
          <w:szCs w:val="32"/>
        </w:rPr>
        <w:t>政策兑现平台，经营主体数量达到</w:t>
      </w:r>
      <w:r>
        <w:rPr>
          <w:rFonts w:hint="eastAsia" w:ascii="方正仿宋简体" w:hAnsi="文星仿宋" w:eastAsia="方正仿宋简体" w:cs="方正仿宋简体"/>
          <w:b/>
          <w:color w:val="000000"/>
          <w:spacing w:val="-6"/>
          <w:sz w:val="32"/>
          <w:szCs w:val="32"/>
        </w:rPr>
        <w:t>102.5万户。对口支援和东西部协作工作取得显著成效，获批国家数字乡村东西部协作试点地区。</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持续改善生态环境，美丽济宁底色更靓。</w:t>
      </w:r>
      <w:r>
        <w:rPr>
          <w:rFonts w:hint="eastAsia" w:ascii="方正仿宋简体" w:hAnsi="文星仿宋" w:eastAsia="方正仿宋简体" w:cs="方正仿宋简体"/>
          <w:b/>
          <w:color w:val="000000"/>
          <w:sz w:val="32"/>
          <w:szCs w:val="32"/>
        </w:rPr>
        <w:t>节能减排目标全面完成，单位GDP能耗累计下降31.3%。新型能源体系加快建设，宁德时代济宁新能源产业园、新加坡金鹰集团鱼台绿色低碳产业园入选省零碳园区创建名单，非化石能源装机达到720万千瓦、占总装机容量的39.3%。生态环境质量持续改善，连续四年在省污染防治攻坚成效考核中获得优秀，空气质量优良率、综合指数分别累计改善12.8%、23.8%，达到有监测记录以来最好水平；完成造林绿化13万亩，修复矿山3.76万亩，治理水土流失402.11平方公里，治理稳沉塌陷地19.55万亩，整治农村黑臭水体317处；南四湖水质连续22年持续改善，南水北调东线工程干线水质优良率达100%，成功打造45条省级以上幸福河湖，建成国家节水型城市、国际湿地城市。</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健全公共服务体系，民生福祉显著改善。</w:t>
      </w:r>
      <w:r>
        <w:rPr>
          <w:rFonts w:hint="eastAsia" w:ascii="方正仿宋简体" w:hAnsi="文星仿宋" w:eastAsia="方正仿宋简体" w:cs="方正仿宋简体"/>
          <w:b/>
          <w:color w:val="000000"/>
          <w:sz w:val="32"/>
          <w:szCs w:val="32"/>
        </w:rPr>
        <w:t>财政民生支出占比保持在80%左右，教育、医疗、养老、就业等民生保障工作全面提升。累计城镇新增就业33.8万人，居民人均可支配收入年均增长6.3%，城乡居民收入比值较2020年缩小0.2。学前教育公办率、普惠率分别达到68%、95%，新改扩建中小学、公</w:t>
      </w:r>
      <w:r>
        <w:rPr>
          <w:rFonts w:hint="eastAsia" w:ascii="方正仿宋简体" w:hAnsi="文星仿宋" w:eastAsia="方正仿宋简体" w:cs="方正仿宋简体"/>
          <w:b/>
          <w:color w:val="000000"/>
          <w:sz w:val="32"/>
          <w:szCs w:val="32"/>
          <w:lang w:eastAsia="zh-CN"/>
        </w:rPr>
        <w:t>办</w:t>
      </w:r>
      <w:r>
        <w:rPr>
          <w:rFonts w:hint="eastAsia" w:ascii="方正仿宋简体" w:hAnsi="文星仿宋" w:eastAsia="方正仿宋简体" w:cs="方正仿宋简体"/>
          <w:b/>
          <w:color w:val="000000"/>
          <w:sz w:val="32"/>
          <w:szCs w:val="32"/>
        </w:rPr>
        <w:t>幼儿园293所，新增学位14万个，“初升高”比例提升至71.3%。济宁汽车工程职业学院建成投用，济宁卫生健康职业学院获批新设。市公共卫生“六大中心”全部投入使用，西苑医院济宁医院入选第五批国家区域医疗中心，公立医院改革与高质量发展示范项目获中央财政支持。多层次医疗保障体系持续完善，长期护理保险实现全覆盖，“济惠保”累计投保295万人。千人托位数超过5个，建成养老设施1566处，配置养老床位总数近7万张，成功入选全国婴幼儿照护服务示范城市、全国居家和社区基本养老服务提升行动项目。</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提升基层治理效能，社会大局和谐稳定。</w:t>
      </w:r>
      <w:r>
        <w:rPr>
          <w:rFonts w:hint="eastAsia" w:ascii="方正仿宋简体" w:hAnsi="文星仿宋" w:eastAsia="方正仿宋简体" w:cs="方正仿宋简体"/>
          <w:b/>
          <w:color w:val="000000"/>
          <w:sz w:val="32"/>
          <w:szCs w:val="32"/>
        </w:rPr>
        <w:t>高效统筹疫情防控和经济社会发展，有效化解重点领域风险，守紧守牢安全发展底线，平安济宁、法治济宁建设取得明显成效，获评全国“枫桥式工作法”先进典型。优秀传统文化与志愿服务深度融合，打造“学而”志愿服务品牌。实施“主动警务”，扫黑除恶常态化走深走实，精准打击治理电信网络诈骗等突出违法犯罪，刑事警情连年下降，获评“全国禁毒示范城市”。安全生产和灾害防治形势持续稳定，基层应急力量建设“济宁模式”在全国推广，培育发展国家级专业应急救援队2支，省级专业救援队7支。创建国家社会信用体系建设示范区，获评全国法治政府建设示范市，“济时救”被评为全省经济社会发展综合督查典型经验做法。全面从严治党向纵深推进，“清廉济宁”建设全面加强，新兴领域党建“两个覆盖”成效显著。国防动员、退役军人、双拥共建等工作扎实推进，获评“全国双拥模范城”，对口援疆和协作万州实现新进</w:t>
      </w:r>
      <w:r>
        <w:rPr>
          <w:rFonts w:hint="eastAsia" w:ascii="方正仿宋简体" w:hAnsi="文星仿宋" w:eastAsia="方正仿宋简体" w:cs="方正仿宋简体"/>
          <w:b/>
          <w:color w:val="000000"/>
          <w:spacing w:val="-6"/>
          <w:sz w:val="32"/>
          <w:szCs w:val="32"/>
        </w:rPr>
        <w:t>展，民族宗教、档案史志、地震气象、国家安全、外事侨务、台港澳、广播电视、新闻出版、公积金等工作展现新成效，妇女儿童、老龄、工会、慈善、红十字、残疾人、关心下一代等事业全面进步。</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年来，市委、市人民政府坚定扛牢使命担当，着眼国家所需、山东所盼、济宁所能、民心所向，全力以赴强党建、拼经济、稳增长、惠民生、防风险，在现代化进程上创造出过硬成果、展现了全新气象，为高质量发展提供坚强保障，为基本建成社会主义现代化强市奠定坚实基础。</w:t>
      </w: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第二章  “十五五”时期济宁发展的历史方位</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五五”时期是基本实现社会主义现代化夯实基础、全面发力的关键时期。未来五年，对于济宁坚定扛牢“走在前、勇争先”使命担当、基本建成新时代社会主义现代化强市具有决定性意义，是加快建设新型工业化强市、北方内河航运中心、世界文化旅游名城的重要阶段，是经济总量迈向万亿、打造区域副中心城市的关键阶段。必须深刻认识和准确把握“十五五”时期在我市现代化进程中的历史方位，瞄准2035</w:t>
      </w:r>
      <w:r>
        <w:rPr>
          <w:rFonts w:hint="eastAsia" w:ascii="方正仿宋简体" w:hAnsi="方正仿宋简体" w:eastAsia="方正仿宋简体" w:cs="方正仿宋简体"/>
          <w:b/>
          <w:color w:val="000000"/>
          <w:sz w:val="32"/>
          <w:szCs w:val="32"/>
        </w:rPr>
        <w:t>年基本建成新时代社会主义现代化强市</w:t>
      </w:r>
      <w:r>
        <w:rPr>
          <w:rFonts w:hint="eastAsia" w:ascii="方正仿宋简体" w:hAnsi="文星仿宋" w:eastAsia="方正仿宋简体" w:cs="方正仿宋简体"/>
          <w:b/>
          <w:color w:val="000000"/>
          <w:sz w:val="32"/>
          <w:szCs w:val="32"/>
        </w:rPr>
        <w:t>目标，进一步做大经济总量、提升发展质量，不懈努力、接续奋斗，奋力谱写中国式现代化济宁篇章，在强国建设、民族复兴伟业中扛牢时代使命、彰显担当作为。</w:t>
      </w: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第三章  “十五五”时期面临新机遇新挑战</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十五五”时期，百年未有之大变局全方位深层次加速演进与我国社会主义现代化建设相互交融，发展环境处于战略机遇和风险挑战并存、不确定难预料因素增多的时期。国际形势更加复杂严峻，新一轮科技革命和产业变革加速突破。同时，世界变乱交织、动荡加剧，地缘冲突易发多发，大国博弈更加复杂激烈，国际经济贸易秩序遇到严峻挑战，世界经济增长动能不足。我国发展环境和增长模式发生深刻变化，但经济基础稳、优势多、韧性强、潜能大，长期向好的支撑条件和基本趋势没有变。</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未来五年，是济宁加快推进现代化强市建设的关键五年，推动经济持续向好的积极因素不断累积，发展势头向上向好。国家和省级战略机遇叠加，黄河流域生态保护和高质量发展国家重大战略，内河航运、南四湖等省级重大战略机遇在济宁叠加显现，相关配套支持政策同步落地，为未来发展打开了新空间。新质生产力聚链成势，绿色低碳高质量发展纵深推进，产业升级、能源转型、数字赋能协同催生新质生产力，宁德时代新能源电池产业基地、新加坡金鹰集团莱赛尔纤维、小松全球智能制造产业基地、长城新能源工程机械总部基地等一批百亿级大项目陆续建成投产，将带动全市产业链群实现扩量提质。城市能级全面跃升，雄商高铁、济枣高铁等重大基础设施快速推进，内环高架、崇德大道、大安机场全面通车通航，“公铁水空”立体交通格局加速形成，获批设立保税物流中心，创成国家物流枢纽承载城市，通江达海、联通世界的开放大通道加快构建。文化“两创”优势持续放大，中国国际孔子文化节、尼山世界文明论坛影响力持续扩大，尼山文化传承保护示范工程加快推进，世界文化旅游名城建设积厚成势。目标定位更加清晰，坚定扛牢“走在前、勇争先”的使命担当，纵深推进“一个万亿、五个倍增”，奋力实现工业经济突破万亿大关、经济总量迈向万亿级目标，将增强发展信心决心，凝聚起推动济宁加速崛起的强大合力。同时也要看到，发展不平衡不充分的问题仍然存在，绿色低碳转型力度仍需加大，民生保障水平有待进一步提高，统筹发展和安全的任务比较繁重。变局蕴含机遇，挑战激发斗志。全市上下必须自觉把思想和行动统一到以习近平同志为核心的党中央决策部署上来，按照省委、省人民政府工作要求，保持战略定力，增强必胜信心，积极识变应变求变，敢于斗争、善于斗争，以历史主动精神克难关、战风险、迎挑战，切实把济宁的比较优势转化为发展胜势，为全省发展大局多作贡献。</w:t>
      </w:r>
    </w:p>
    <w:p>
      <w:pPr>
        <w:overflowPunct w:val="0"/>
        <w:adjustRightInd w:val="0"/>
        <w:spacing w:line="600" w:lineRule="exact"/>
        <w:rPr>
          <w:rFonts w:ascii="方正仿宋简体" w:hAnsi="文星仿宋" w:eastAsia="方正仿宋简体" w:cs="方正仿宋简体"/>
          <w:b/>
          <w:color w:val="000000"/>
          <w:sz w:val="32"/>
          <w:szCs w:val="32"/>
        </w:rPr>
      </w:pPr>
    </w:p>
    <w:p>
      <w:pPr>
        <w:overflowPunct w:val="0"/>
        <w:adjustRightInd w:val="0"/>
        <w:spacing w:line="600" w:lineRule="exact"/>
        <w:jc w:val="center"/>
        <w:rPr>
          <w:rFonts w:ascii="方正小标宋简体" w:hAnsi="文星仿宋" w:eastAsia="方正小标宋简体" w:cs="方正仿宋简体"/>
          <w:b/>
          <w:color w:val="000000"/>
          <w:sz w:val="36"/>
          <w:szCs w:val="36"/>
        </w:rPr>
      </w:pPr>
      <w:r>
        <w:rPr>
          <w:rFonts w:hint="eastAsia" w:ascii="方正小标宋简体" w:hAnsi="文星仿宋" w:eastAsia="方正小标宋简体" w:cs="方正仿宋简体"/>
          <w:b/>
          <w:color w:val="000000"/>
          <w:sz w:val="36"/>
          <w:szCs w:val="36"/>
        </w:rPr>
        <w:t>第二篇</w:t>
      </w:r>
      <w:r>
        <w:rPr>
          <w:rFonts w:ascii="方正小标宋简体" w:hAnsi="文星仿宋" w:eastAsia="方正小标宋简体" w:cs="方正仿宋简体"/>
          <w:b/>
          <w:color w:val="000000"/>
          <w:sz w:val="36"/>
          <w:szCs w:val="36"/>
        </w:rPr>
        <w:t xml:space="preserve">  </w:t>
      </w:r>
      <w:r>
        <w:rPr>
          <w:rFonts w:hint="eastAsia" w:ascii="方正小标宋简体" w:hAnsi="文星仿宋" w:eastAsia="方正小标宋简体" w:cs="方正仿宋简体"/>
          <w:b/>
          <w:color w:val="000000"/>
          <w:sz w:val="36"/>
          <w:szCs w:val="36"/>
        </w:rPr>
        <w:t>坚定扛牢“走在前、勇争先”使命担当，</w:t>
      </w:r>
    </w:p>
    <w:p>
      <w:pPr>
        <w:overflowPunct w:val="0"/>
        <w:adjustRightInd w:val="0"/>
        <w:spacing w:line="600" w:lineRule="exact"/>
        <w:jc w:val="center"/>
        <w:rPr>
          <w:rFonts w:ascii="方正小标宋简体" w:hAnsi="文星仿宋" w:eastAsia="方正小标宋简体" w:cs="方正仿宋简体"/>
          <w:b/>
          <w:color w:val="000000"/>
          <w:spacing w:val="-4"/>
          <w:sz w:val="36"/>
          <w:szCs w:val="36"/>
        </w:rPr>
      </w:pPr>
      <w:r>
        <w:rPr>
          <w:rFonts w:hint="eastAsia" w:ascii="方正小标宋简体" w:hAnsi="文星仿宋" w:eastAsia="方正小标宋简体" w:cs="方正仿宋简体"/>
          <w:b/>
          <w:color w:val="000000"/>
          <w:spacing w:val="-4"/>
          <w:sz w:val="36"/>
          <w:szCs w:val="36"/>
        </w:rPr>
        <w:t>确保基本建成新时代社会主义现代化强市取得决定性进展</w:t>
      </w:r>
    </w:p>
    <w:p>
      <w:pPr>
        <w:overflowPunct w:val="0"/>
        <w:adjustRightInd w:val="0"/>
        <w:spacing w:line="600" w:lineRule="exact"/>
        <w:ind w:firstLine="722" w:firstLineChars="200"/>
        <w:rPr>
          <w:rFonts w:ascii="方正仿宋简体" w:hAnsi="文星仿宋" w:eastAsia="方正仿宋简体" w:cs="方正仿宋简体"/>
          <w:b/>
          <w:color w:val="000000"/>
          <w:sz w:val="36"/>
          <w:szCs w:val="36"/>
        </w:rPr>
      </w:pP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第一章  “十五五”时期经济社会发展指导思想</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马克思列宁主义、毛泽东思想、邓小平理论、“三个代表”重要思想、科学发展观，全面贯彻习近平新时代中国特色社会主义思想，深入贯彻党的二十大和二十届历次全会精神，认真落实习近平总书记视察山东视察济宁重要讲话和重要指示批示精神，统筹推进“五位一体”总体布局，协调推进“四个全面”战略布局，完整准确全面贯彻新发展理念，主动服务和融入新发展格局，坚持稳中求进工作总基调，坚持以经济建设为中心，以推动高质量发展为主题，以改革创新为根本动力，以满足人民日益增长的美好生活需要为根本目的，以全面从严治党为根本保障，坚定扛牢“走在前、勇争先”使命担当，主动融入黄河流域生态保护和高质量发展、绿色低碳高质量发展先行区建设等国家、省重大战略，加力实施工业经济“头号工程”，持续擦亮“孔孟之乡、运河之都”等品牌，突出建设新型工业化强市、北方内河航运中心、世界文化旅游名城“三大定位”，推动经济实现质的有效提升和量的合理增长，推动人的全面发展、全体人民共同富裕迈出坚实步伐，确保基本建成新时代社会主义现代化强市取得决定性进展。</w:t>
      </w: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第二章  “十五五”时期经济社会发展必须遵循的原则</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——坚持党的全面领导。</w:t>
      </w:r>
      <w:r>
        <w:rPr>
          <w:rFonts w:hint="eastAsia" w:ascii="方正仿宋简体" w:hAnsi="文星仿宋" w:eastAsia="方正仿宋简体" w:cs="方正仿宋简体"/>
          <w:b/>
          <w:color w:val="000000"/>
          <w:sz w:val="32"/>
          <w:szCs w:val="32"/>
        </w:rPr>
        <w:t>坚决维护党中央权威和集中统一领导，提高党把方向、谋大局、定政策、促改革能力，把党的领导贯穿经济社会发展各方面全过程。</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——坚持人民至上。</w:t>
      </w:r>
      <w:r>
        <w:rPr>
          <w:rFonts w:hint="eastAsia" w:ascii="方正仿宋简体" w:hAnsi="文星仿宋" w:eastAsia="方正仿宋简体" w:cs="方正仿宋简体"/>
          <w:b/>
          <w:color w:val="000000"/>
          <w:sz w:val="32"/>
          <w:szCs w:val="32"/>
        </w:rPr>
        <w:t>尊重人民主体地位，紧紧依靠人民、维护人民根本利益，促进社会公平正义，让现代化建设成果更多更公平惠及全体人民。</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——坚持高质量发展。</w:t>
      </w:r>
      <w:r>
        <w:rPr>
          <w:rFonts w:hint="eastAsia" w:ascii="方正仿宋简体" w:hAnsi="文星仿宋" w:eastAsia="方正仿宋简体" w:cs="方正仿宋简体"/>
          <w:b/>
          <w:color w:val="000000"/>
          <w:sz w:val="32"/>
          <w:szCs w:val="32"/>
        </w:rPr>
        <w:t>以新发展理念引领发展，因地制宜发展新质生产力，促进经济结构优化升级，推动经济持续健康发展和社会全面进步。</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——坚持全面深化改革。</w:t>
      </w:r>
      <w:r>
        <w:rPr>
          <w:rFonts w:hint="eastAsia" w:ascii="方正仿宋简体" w:hAnsi="文星仿宋" w:eastAsia="方正仿宋简体" w:cs="方正仿宋简体"/>
          <w:b/>
          <w:color w:val="000000"/>
          <w:sz w:val="32"/>
          <w:szCs w:val="32"/>
        </w:rPr>
        <w:t>聚焦制约高质量发展的体制机制障碍，推进深层次改革，扩大高水平开放，持续增强发展动力和社会活力。</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——坚持有效市场和有为政府相结合。</w:t>
      </w:r>
      <w:r>
        <w:rPr>
          <w:rFonts w:hint="eastAsia" w:ascii="方正仿宋简体" w:hAnsi="文星仿宋" w:eastAsia="方正仿宋简体" w:cs="方正仿宋简体"/>
          <w:b/>
          <w:color w:val="000000"/>
          <w:sz w:val="32"/>
          <w:szCs w:val="32"/>
        </w:rPr>
        <w:t>充分发挥市场在资源配置中的决定性作用，更好发挥政府作用，加快构建统一、开放、竞争、有序的市场体系。</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——坚持统筹发展和安全</w:t>
      </w:r>
      <w:r>
        <w:rPr>
          <w:rFonts w:hint="eastAsia" w:ascii="方正仿宋简体" w:hAnsi="文星仿宋" w:eastAsia="方正仿宋简体" w:cs="方正仿宋简体"/>
          <w:b/>
          <w:color w:val="000000"/>
          <w:sz w:val="32"/>
          <w:szCs w:val="32"/>
        </w:rPr>
        <w:t>。强化底线思维，贯彻落实总体国家安全观和国家安全战略，在发展中固安全，在安全中谋发展，以新安全格局保障新发展格局。</w:t>
      </w: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第三章  “十五五”时期济宁经济社会发展主要目标</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经过五年不懈奋斗，加快迈向万亿城市，全市经济实力、科技实力、综合竞争力显著增强，制造强市、教育强市、科技强市、人才强市、数字强市、交通强市、金融强市、农业强市、文化强市、旅游强市等“十个强市”建设水平全面提升，区域副中心城市建设迈出坚实步伐，新型工业化、信息化、城镇化、农业现代化取得重大进展，实现在鲁南经济圈改革发展中走在前，在绿色低碳高质量发展先行区建设上勇争先。重点建设“七个高地”。</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——新型工业化示范高地。</w:t>
      </w:r>
      <w:r>
        <w:rPr>
          <w:rFonts w:hint="eastAsia" w:ascii="方正仿宋简体" w:hAnsi="文星仿宋" w:eastAsia="方正仿宋简体" w:cs="方正仿宋简体"/>
          <w:b/>
          <w:color w:val="000000"/>
          <w:sz w:val="32"/>
          <w:szCs w:val="32"/>
        </w:rPr>
        <w:t>传统产业、新兴产业、未来产业齐头并进，实数融合效能全面释放，发展新质生产力、建设现代化产业体系取得重大突破。制造业在现代化产业体系中的地位更加凸显，在全面实现工业经济迈上万亿级和工业经济总量、规上工业企业数量、高新技术企业数量、生产性服务业规模、外贸进出口总额“五个倍增”的基础上，再上一个大台阶，争创国家新型工业化示范区。</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——产业科技创新高地。</w:t>
      </w:r>
      <w:r>
        <w:rPr>
          <w:rFonts w:hint="eastAsia" w:ascii="方正仿宋简体" w:hAnsi="文星仿宋" w:eastAsia="方正仿宋简体" w:cs="方正仿宋简体"/>
          <w:b/>
          <w:color w:val="000000"/>
          <w:sz w:val="32"/>
          <w:szCs w:val="32"/>
        </w:rPr>
        <w:t>科技自立自强水平大幅提高，教育科技人才一体发展格局基本形成，产业链、人才链、教育链、创新链、金融链“五链融合”取得重要进展。企业创新主体地位持续提升，全社会研发经费支出占比大幅提高，人才集聚效应加速形成，重点领域关键核心技术快速突破，成为在全省有重要影响力的科技创新中心、特色产业人才高地和创新策源地。</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——高水平对外开放新高地。</w:t>
      </w:r>
      <w:r>
        <w:rPr>
          <w:rFonts w:hint="eastAsia" w:ascii="方正仿宋简体" w:hAnsi="文星仿宋" w:eastAsia="方正仿宋简体" w:cs="方正仿宋简体"/>
          <w:b/>
          <w:color w:val="000000"/>
          <w:sz w:val="32"/>
          <w:szCs w:val="32"/>
        </w:rPr>
        <w:t>全面融入国家和省区域发展战略，拓展开放合作新空间。积极融入全国统一大市场建设，对外合作交流平台能级不断提高，重点领域和关键环节改革扎实推进，制度型开放取得积极进展。</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——现代港航物流高地。</w:t>
      </w:r>
      <w:r>
        <w:rPr>
          <w:rFonts w:hint="eastAsia" w:ascii="方正仿宋简体" w:hAnsi="文星仿宋" w:eastAsia="方正仿宋简体" w:cs="方正仿宋简体"/>
          <w:b/>
          <w:color w:val="000000"/>
          <w:sz w:val="32"/>
          <w:szCs w:val="32"/>
        </w:rPr>
        <w:t>北方内河航运中心建设取得重大突破，建成商贸物流中心、多式联运中心、临港产业集群中心、航运服务创新中心、绿色船舶制造中心“五大中心”，形成“通江达海、联通世界”的物流大通道。</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——世界文明交流互鉴高地</w:t>
      </w:r>
      <w:r>
        <w:rPr>
          <w:rFonts w:hint="eastAsia" w:ascii="方正仿宋简体" w:hAnsi="文星仿宋" w:eastAsia="方正仿宋简体" w:cs="方正仿宋简体"/>
          <w:b/>
          <w:color w:val="000000"/>
          <w:sz w:val="32"/>
          <w:szCs w:val="32"/>
        </w:rPr>
        <w:t>。社会主义核心价值观更加深入人心，文化创新创造活力充分激发。中国国际孔子文化节、尼山世界文明论坛等平台交流互鉴作用显著提升，济宁成为世界了解中华民族现代文明的重要窗口，“文化中国行，欢迎到济宁”“文化济宁，礼迎天下”成为最闪亮的城市名片，世界文化旅游名城建设实现重大突破。</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——绿色低碳高质量发展先行高地。</w:t>
      </w:r>
      <w:r>
        <w:rPr>
          <w:rFonts w:hint="eastAsia" w:ascii="方正仿宋简体" w:hAnsi="文星仿宋" w:eastAsia="方正仿宋简体" w:cs="方正仿宋简体"/>
          <w:b/>
          <w:color w:val="000000"/>
          <w:sz w:val="32"/>
          <w:szCs w:val="32"/>
        </w:rPr>
        <w:t>产业结构、能源结构、交通运输结构持续优化，非化石能源消费比重明显提升，新动能成为引领经济发展重要引擎。生态环境全面改善，主要污染物排放总量持续减少，碳达峰目标如期实现，能源绿色转型、生态治理保护走在全省前列。</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楷体简体" w:hAnsi="文星仿宋" w:eastAsia="方正楷体简体" w:cs="方正仿宋简体"/>
          <w:b/>
          <w:color w:val="000000"/>
          <w:sz w:val="32"/>
          <w:szCs w:val="32"/>
        </w:rPr>
        <w:t>——宜居宜业民生幸福高地。</w:t>
      </w:r>
      <w:r>
        <w:rPr>
          <w:rFonts w:hint="eastAsia" w:ascii="方正仿宋简体" w:hAnsi="文星仿宋" w:eastAsia="方正仿宋简体" w:cs="方正仿宋简体"/>
          <w:b/>
          <w:color w:val="000000"/>
          <w:sz w:val="32"/>
          <w:szCs w:val="32"/>
        </w:rPr>
        <w:t>高质量充分就业取得新进展，教育、医疗、托育、养老等基本公共服务均等化水平明显提升，社会保障制度更加优化更可持续。社会治理体系更加完备，社会主义民主法治更加健全，重点领域风险得到有效防范化解，建成创新、宜居、美丽、韧性、文明、智慧的现代化人民城市。</w:t>
      </w:r>
    </w:p>
    <w:p>
      <w:pPr>
        <w:overflowPunct w:val="0"/>
        <w:adjustRightInd w:val="0"/>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在此基础上再奋斗五年，到2035</w:t>
      </w:r>
      <w:r>
        <w:rPr>
          <w:rFonts w:hint="eastAsia" w:ascii="方正仿宋简体" w:hAnsi="方正仿宋简体" w:eastAsia="方正仿宋简体" w:cs="方正仿宋简体"/>
          <w:b/>
          <w:color w:val="000000"/>
          <w:sz w:val="32"/>
          <w:szCs w:val="32"/>
        </w:rPr>
        <w:t>年，实现经济实力、科技实力、综合竞争力大幅跃升，人均地区生产总值达到中等发达经济体水平，人民生活更加幸福美好，基本建成新时代社会</w:t>
      </w:r>
      <w:r>
        <w:rPr>
          <w:rFonts w:hint="eastAsia" w:ascii="方正仿宋简体" w:hAnsi="文星仿宋" w:eastAsia="方正仿宋简体" w:cs="方正仿宋简体"/>
          <w:b/>
          <w:color w:val="000000"/>
          <w:sz w:val="32"/>
          <w:szCs w:val="32"/>
        </w:rPr>
        <w:t>主义现代化强市。</w:t>
      </w:r>
    </w:p>
    <w:p>
      <w:pPr>
        <w:overflowPunct w:val="0"/>
        <w:adjustRightInd w:val="0"/>
        <w:jc w:val="center"/>
        <w:rPr>
          <w:rFonts w:ascii="方正黑体简体" w:hAnsi="黑体" w:eastAsia="方正黑体简体" w:cs="方正仿宋简体"/>
          <w:b/>
          <w:color w:val="000000"/>
          <w:sz w:val="30"/>
          <w:szCs w:val="30"/>
        </w:rPr>
      </w:pPr>
      <w:r>
        <w:rPr>
          <w:rFonts w:hint="eastAsia" w:ascii="方正黑体简体" w:hAnsi="黑体" w:eastAsia="方正黑体简体" w:cs="方正仿宋简体"/>
          <w:b/>
          <w:color w:val="000000"/>
          <w:sz w:val="30"/>
          <w:szCs w:val="30"/>
        </w:rPr>
        <w:t>专栏1 “十五五”时期经济社会发展主要指标</w:t>
      </w:r>
    </w:p>
    <w:tbl>
      <w:tblPr>
        <w:tblStyle w:val="8"/>
        <w:tblW w:w="926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3019"/>
        <w:gridCol w:w="1070"/>
        <w:gridCol w:w="1043"/>
        <w:gridCol w:w="1772"/>
        <w:gridCol w:w="10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3" w:hRule="atLeast"/>
          <w:tblHeader/>
          <w:jc w:val="center"/>
        </w:trPr>
        <w:tc>
          <w:tcPr>
            <w:tcW w:w="4382" w:type="dxa"/>
            <w:gridSpan w:val="2"/>
            <w:vAlign w:val="center"/>
          </w:tcPr>
          <w:p>
            <w:pPr>
              <w:snapToGrid w:val="0"/>
              <w:spacing w:line="300" w:lineRule="exact"/>
              <w:ind w:left="-40" w:leftChars="-20" w:right="-40" w:rightChars="-20"/>
              <w:jc w:val="center"/>
              <w:rPr>
                <w:rFonts w:ascii="方正黑体简体" w:eastAsia="方正黑体简体"/>
                <w:b/>
                <w:sz w:val="24"/>
                <w:szCs w:val="24"/>
              </w:rPr>
            </w:pPr>
            <w:bookmarkStart w:id="3" w:name="OLE_LINK11"/>
            <w:r>
              <w:rPr>
                <w:rFonts w:hint="eastAsia" w:ascii="方正黑体简体" w:eastAsia="方正黑体简体"/>
                <w:b/>
                <w:sz w:val="24"/>
                <w:szCs w:val="24"/>
              </w:rPr>
              <w:t>指标</w:t>
            </w:r>
          </w:p>
        </w:tc>
        <w:tc>
          <w:tcPr>
            <w:tcW w:w="1070" w:type="dxa"/>
            <w:vAlign w:val="center"/>
          </w:tcPr>
          <w:p>
            <w:pPr>
              <w:snapToGrid w:val="0"/>
              <w:spacing w:line="300" w:lineRule="exact"/>
              <w:ind w:left="-40" w:leftChars="-20" w:right="-40" w:rightChars="-20"/>
              <w:jc w:val="center"/>
              <w:rPr>
                <w:rFonts w:ascii="方正黑体简体" w:eastAsia="方正黑体简体"/>
                <w:b/>
                <w:sz w:val="24"/>
                <w:szCs w:val="24"/>
              </w:rPr>
            </w:pPr>
            <w:r>
              <w:rPr>
                <w:rFonts w:hint="eastAsia" w:ascii="方正黑体简体" w:eastAsia="方正黑体简体"/>
                <w:b/>
                <w:sz w:val="24"/>
                <w:szCs w:val="24"/>
              </w:rPr>
              <w:t>2025年</w:t>
            </w:r>
          </w:p>
        </w:tc>
        <w:tc>
          <w:tcPr>
            <w:tcW w:w="1043" w:type="dxa"/>
            <w:vAlign w:val="center"/>
          </w:tcPr>
          <w:p>
            <w:pPr>
              <w:snapToGrid w:val="0"/>
              <w:spacing w:line="300" w:lineRule="exact"/>
              <w:ind w:left="-40" w:leftChars="-20" w:right="-40" w:rightChars="-20"/>
              <w:jc w:val="center"/>
              <w:rPr>
                <w:rFonts w:ascii="方正黑体简体" w:eastAsia="方正黑体简体"/>
                <w:b/>
                <w:sz w:val="24"/>
                <w:szCs w:val="24"/>
              </w:rPr>
            </w:pPr>
            <w:r>
              <w:rPr>
                <w:rFonts w:hint="eastAsia" w:ascii="方正黑体简体" w:eastAsia="方正黑体简体"/>
                <w:b/>
                <w:sz w:val="24"/>
                <w:szCs w:val="24"/>
              </w:rPr>
              <w:t>2030年</w:t>
            </w:r>
          </w:p>
        </w:tc>
        <w:tc>
          <w:tcPr>
            <w:tcW w:w="1772" w:type="dxa"/>
            <w:vAlign w:val="center"/>
          </w:tcPr>
          <w:p>
            <w:pPr>
              <w:snapToGrid w:val="0"/>
              <w:spacing w:line="300" w:lineRule="exact"/>
              <w:ind w:left="-40" w:leftChars="-20" w:right="-40" w:rightChars="-20"/>
              <w:jc w:val="center"/>
              <w:rPr>
                <w:rFonts w:ascii="方正黑体简体" w:eastAsia="方正黑体简体"/>
                <w:b/>
                <w:sz w:val="24"/>
                <w:szCs w:val="24"/>
              </w:rPr>
            </w:pPr>
            <w:r>
              <w:rPr>
                <w:rFonts w:hint="eastAsia" w:ascii="方正黑体简体" w:eastAsia="方正黑体简体"/>
                <w:b/>
                <w:sz w:val="24"/>
                <w:szCs w:val="24"/>
              </w:rPr>
              <w:t>年均/累计</w:t>
            </w:r>
          </w:p>
        </w:tc>
        <w:tc>
          <w:tcPr>
            <w:tcW w:w="1000" w:type="dxa"/>
            <w:vAlign w:val="center"/>
          </w:tcPr>
          <w:p>
            <w:pPr>
              <w:snapToGrid w:val="0"/>
              <w:spacing w:line="300" w:lineRule="exact"/>
              <w:ind w:left="-40" w:leftChars="-20" w:right="-40" w:rightChars="-20"/>
              <w:jc w:val="center"/>
              <w:rPr>
                <w:rFonts w:ascii="方正黑体简体" w:eastAsia="方正黑体简体"/>
                <w:b/>
                <w:sz w:val="24"/>
                <w:szCs w:val="24"/>
              </w:rPr>
            </w:pPr>
            <w:r>
              <w:rPr>
                <w:rFonts w:hint="eastAsia" w:ascii="方正黑体简体" w:eastAsia="方正黑体简体"/>
                <w:b/>
                <w:sz w:val="24"/>
                <w:szCs w:val="24"/>
              </w:rPr>
              <w:t>属性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9267" w:type="dxa"/>
            <w:gridSpan w:val="6"/>
            <w:vAlign w:val="center"/>
          </w:tcPr>
          <w:p>
            <w:pPr>
              <w:snapToGrid w:val="0"/>
              <w:spacing w:line="300" w:lineRule="exact"/>
              <w:ind w:left="-40" w:leftChars="-20" w:right="-40" w:rightChars="-20"/>
              <w:jc w:val="left"/>
              <w:rPr>
                <w:rFonts w:ascii="方正黑体简体" w:eastAsia="方正黑体简体"/>
                <w:b/>
                <w:bCs/>
                <w:sz w:val="24"/>
                <w:szCs w:val="24"/>
              </w:rPr>
            </w:pPr>
            <w:r>
              <w:rPr>
                <w:rFonts w:hint="eastAsia" w:ascii="方正黑体简体" w:eastAsia="方正黑体简体"/>
                <w:b/>
                <w:sz w:val="24"/>
                <w:szCs w:val="24"/>
              </w:rPr>
              <w:t>经济发展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382" w:type="dxa"/>
            <w:gridSpan w:val="2"/>
            <w:shd w:val="clear" w:color="auto" w:fill="auto"/>
            <w:vAlign w:val="center"/>
          </w:tcPr>
          <w:p>
            <w:pPr>
              <w:numPr>
                <w:ilvl w:val="0"/>
                <w:numId w:val="1"/>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地区生产总值（GDP）增长（%）</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5.8</w:t>
            </w:r>
          </w:p>
        </w:tc>
        <w:tc>
          <w:tcPr>
            <w:tcW w:w="1043"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772"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5.5左右</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382" w:type="dxa"/>
            <w:gridSpan w:val="2"/>
            <w:shd w:val="clear" w:color="auto" w:fill="auto"/>
            <w:vAlign w:val="center"/>
          </w:tcPr>
          <w:p>
            <w:pPr>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2. 全员劳动生产率增长（%）</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043"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bookmarkStart w:id="4" w:name="OLE_LINK15"/>
            <w:r>
              <w:rPr>
                <w:rFonts w:hint="eastAsia" w:ascii="方正仿宋简体" w:eastAsia="方正仿宋简体"/>
                <w:b/>
                <w:bCs/>
                <w:sz w:val="24"/>
                <w:szCs w:val="24"/>
              </w:rPr>
              <w:t>—</w:t>
            </w:r>
            <w:bookmarkEnd w:id="4"/>
          </w:p>
        </w:tc>
        <w:tc>
          <w:tcPr>
            <w:tcW w:w="1772"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高于GDP增长</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382" w:type="dxa"/>
            <w:gridSpan w:val="2"/>
            <w:shd w:val="clear" w:color="auto" w:fill="auto"/>
            <w:vAlign w:val="center"/>
          </w:tcPr>
          <w:p>
            <w:p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3. 常住人口城镇化率（%）</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65.37</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70左右</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atLeast"/>
          <w:jc w:val="center"/>
        </w:trPr>
        <w:tc>
          <w:tcPr>
            <w:tcW w:w="4382" w:type="dxa"/>
            <w:gridSpan w:val="2"/>
            <w:shd w:val="clear" w:color="auto" w:fill="auto"/>
            <w:vAlign w:val="center"/>
          </w:tcPr>
          <w:p>
            <w:pPr>
              <w:numPr>
                <w:ilvl w:val="0"/>
                <w:numId w:val="2"/>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制造业增加值占地区生产总值（GDP）</w:t>
            </w:r>
          </w:p>
          <w:p>
            <w:pPr>
              <w:numPr>
                <w:ilvl w:val="255"/>
                <w:numId w:val="0"/>
              </w:numPr>
              <w:adjustRightInd w:val="0"/>
              <w:snapToGrid w:val="0"/>
              <w:spacing w:line="300" w:lineRule="exact"/>
              <w:ind w:left="260" w:leftChars="130" w:right="-40" w:rightChars="-20"/>
              <w:rPr>
                <w:rFonts w:ascii="方正仿宋简体" w:eastAsia="方正仿宋简体"/>
                <w:b/>
                <w:bCs/>
                <w:sz w:val="24"/>
                <w:szCs w:val="24"/>
              </w:rPr>
            </w:pPr>
            <w:r>
              <w:rPr>
                <w:rFonts w:hint="eastAsia" w:ascii="方正仿宋简体" w:eastAsia="方正仿宋简体"/>
                <w:b/>
                <w:bCs/>
                <w:sz w:val="24"/>
                <w:szCs w:val="24"/>
              </w:rPr>
              <w:t>比重（%）</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20</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实现稳步增长</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3"/>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港口集装箱吞吐量（万标箱）</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52.2</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100</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6. 国内旅游收入（亿元）</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972.2</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1300</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67" w:type="dxa"/>
            <w:gridSpan w:val="6"/>
            <w:vAlign w:val="center"/>
          </w:tcPr>
          <w:p>
            <w:pPr>
              <w:snapToGrid w:val="0"/>
              <w:spacing w:line="300" w:lineRule="exact"/>
              <w:ind w:left="-40" w:leftChars="-20" w:right="-40" w:rightChars="-20"/>
              <w:jc w:val="left"/>
              <w:rPr>
                <w:rFonts w:ascii="方正黑体简体" w:eastAsia="方正黑体简体"/>
                <w:b/>
                <w:bCs/>
                <w:sz w:val="24"/>
                <w:szCs w:val="24"/>
              </w:rPr>
            </w:pPr>
            <w:r>
              <w:rPr>
                <w:rFonts w:hint="eastAsia" w:ascii="方正黑体简体" w:eastAsia="方正黑体简体"/>
                <w:b/>
                <w:sz w:val="24"/>
                <w:szCs w:val="24"/>
              </w:rPr>
              <w:t>创新驱动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7. 全社会研发经费投入增长（%）</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10.5</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10.5</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8. 每万人有效发明专利拥有量（件）</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12.64</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17</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pacing w:val="-8"/>
                <w:sz w:val="24"/>
                <w:szCs w:val="24"/>
              </w:rPr>
            </w:pPr>
            <w:r>
              <w:rPr>
                <w:rFonts w:hint="eastAsia" w:ascii="方正仿宋简体" w:eastAsia="方正仿宋简体"/>
                <w:b/>
                <w:bCs/>
                <w:spacing w:val="-8"/>
                <w:sz w:val="24"/>
                <w:szCs w:val="24"/>
              </w:rPr>
              <w:t>数字经济核心产业增加值占GDP比重（%）</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4.79</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10</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67" w:type="dxa"/>
            <w:gridSpan w:val="6"/>
            <w:vAlign w:val="center"/>
          </w:tcPr>
          <w:p>
            <w:pPr>
              <w:snapToGrid w:val="0"/>
              <w:spacing w:line="300" w:lineRule="exact"/>
              <w:ind w:left="-40" w:leftChars="-20" w:right="-40" w:rightChars="-20"/>
              <w:jc w:val="left"/>
              <w:rPr>
                <w:rFonts w:ascii="方正黑体简体" w:eastAsia="方正黑体简体"/>
                <w:b/>
                <w:bCs/>
                <w:sz w:val="24"/>
                <w:szCs w:val="24"/>
              </w:rPr>
            </w:pPr>
            <w:r>
              <w:rPr>
                <w:rFonts w:hint="eastAsia" w:ascii="方正黑体简体" w:eastAsia="方正黑体简体"/>
                <w:b/>
                <w:sz w:val="24"/>
                <w:szCs w:val="24"/>
              </w:rPr>
              <w:t>民生福祉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城镇新增就业人数（万人）</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6.65</w:t>
            </w:r>
          </w:p>
        </w:tc>
        <w:tc>
          <w:tcPr>
            <w:tcW w:w="1043"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772"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[32]</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居民人均可支配收入增长（%）</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4.9</w:t>
            </w:r>
          </w:p>
        </w:tc>
        <w:tc>
          <w:tcPr>
            <w:tcW w:w="1043"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vAlign w:val="center"/>
          </w:tcPr>
          <w:p>
            <w:pPr>
              <w:adjustRightInd w:val="0"/>
              <w:snapToGrid w:val="0"/>
              <w:spacing w:line="300" w:lineRule="exact"/>
              <w:ind w:left="-40" w:leftChars="-20" w:right="-40" w:rightChars="-20"/>
              <w:jc w:val="center"/>
              <w:rPr>
                <w:rFonts w:ascii="方正仿宋简体" w:eastAsia="方正仿宋简体"/>
                <w:b/>
                <w:bCs/>
                <w:spacing w:val="-6"/>
                <w:sz w:val="24"/>
                <w:szCs w:val="24"/>
              </w:rPr>
            </w:pPr>
            <w:r>
              <w:rPr>
                <w:rFonts w:hint="eastAsia" w:ascii="方正仿宋简体" w:eastAsia="方正仿宋简体"/>
                <w:b/>
                <w:bCs/>
                <w:spacing w:val="-6"/>
                <w:kern w:val="2"/>
                <w:sz w:val="24"/>
                <w:szCs w:val="24"/>
              </w:rPr>
              <w:t>与经济增长同步</w:t>
            </w:r>
          </w:p>
        </w:tc>
        <w:tc>
          <w:tcPr>
            <w:tcW w:w="1000"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劳动年龄人口平均受教育年限（年）</w:t>
            </w:r>
          </w:p>
        </w:tc>
        <w:tc>
          <w:tcPr>
            <w:tcW w:w="1070"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043"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vAlign w:val="center"/>
          </w:tcPr>
          <w:p>
            <w:pPr>
              <w:adjustRightInd w:val="0"/>
              <w:snapToGrid w:val="0"/>
              <w:spacing w:line="300" w:lineRule="exact"/>
              <w:ind w:left="-40" w:leftChars="-20" w:right="-40" w:rightChars="-20"/>
              <w:jc w:val="center"/>
              <w:rPr>
                <w:rFonts w:ascii="方正仿宋简体" w:eastAsia="方正仿宋简体"/>
                <w:b/>
                <w:bCs/>
                <w:spacing w:val="-6"/>
                <w:sz w:val="24"/>
                <w:szCs w:val="24"/>
              </w:rPr>
            </w:pPr>
            <w:r>
              <w:rPr>
                <w:rFonts w:hint="eastAsia" w:ascii="方正仿宋简体" w:eastAsia="方正仿宋简体"/>
                <w:b/>
                <w:bCs/>
                <w:spacing w:val="-6"/>
                <w:kern w:val="2"/>
                <w:sz w:val="24"/>
                <w:szCs w:val="24"/>
              </w:rPr>
              <w:t>完成省分解任务</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3" w:type="dxa"/>
            <w:vMerge w:val="restart"/>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每千人口拥有医护人员数</w:t>
            </w:r>
          </w:p>
        </w:tc>
        <w:tc>
          <w:tcPr>
            <w:tcW w:w="3019" w:type="dxa"/>
            <w:shd w:val="clear" w:color="auto" w:fill="auto"/>
            <w:vAlign w:val="center"/>
          </w:tcPr>
          <w:p>
            <w:p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执业医师数（人）</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3.14</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3.2</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vMerge w:val="restart"/>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1363" w:type="dxa"/>
            <w:vMerge w:val="continue"/>
            <w:vAlign w:val="center"/>
          </w:tcPr>
          <w:p>
            <w:pPr>
              <w:adjustRightInd w:val="0"/>
              <w:snapToGrid w:val="0"/>
              <w:spacing w:line="300" w:lineRule="exact"/>
              <w:ind w:left="-40" w:leftChars="-20" w:right="-40" w:rightChars="-20"/>
              <w:rPr>
                <w:rFonts w:ascii="方正仿宋简体" w:eastAsia="方正仿宋简体"/>
                <w:b/>
                <w:bCs/>
                <w:sz w:val="24"/>
                <w:szCs w:val="24"/>
              </w:rPr>
            </w:pPr>
          </w:p>
        </w:tc>
        <w:tc>
          <w:tcPr>
            <w:tcW w:w="3019" w:type="dxa"/>
            <w:shd w:val="clear" w:color="auto" w:fill="auto"/>
            <w:vAlign w:val="center"/>
          </w:tcPr>
          <w:p>
            <w:p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注册护士数（人）</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4.42</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4.6</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vMerge w:val="continue"/>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养老机构护理型床位占比（%）</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76.7</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80</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3岁以下婴幼儿入托率提高（百分点）</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bookmarkStart w:id="5" w:name="OLE_LINK17"/>
            <w:r>
              <w:rPr>
                <w:rFonts w:hint="eastAsia" w:ascii="方正仿宋简体" w:eastAsia="方正仿宋简体"/>
                <w:b/>
                <w:bCs/>
                <w:kern w:val="2"/>
                <w:sz w:val="24"/>
                <w:szCs w:val="24"/>
              </w:rPr>
              <w:t>[2]</w:t>
            </w:r>
            <w:bookmarkEnd w:id="5"/>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人均预期寿命（岁）</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81.5</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82</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预期性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67" w:type="dxa"/>
            <w:gridSpan w:val="6"/>
            <w:vAlign w:val="center"/>
          </w:tcPr>
          <w:p>
            <w:pPr>
              <w:snapToGrid w:val="0"/>
              <w:spacing w:line="300" w:lineRule="exact"/>
              <w:ind w:left="-40" w:leftChars="-20" w:right="-40" w:rightChars="-20"/>
              <w:jc w:val="left"/>
              <w:rPr>
                <w:rFonts w:ascii="方正黑体简体" w:eastAsia="方正黑体简体"/>
                <w:b/>
                <w:bCs/>
                <w:sz w:val="24"/>
                <w:szCs w:val="24"/>
              </w:rPr>
            </w:pPr>
            <w:r>
              <w:rPr>
                <w:rFonts w:hint="eastAsia" w:ascii="方正黑体简体" w:eastAsia="方正黑体简体"/>
                <w:b/>
                <w:sz w:val="24"/>
                <w:szCs w:val="24"/>
              </w:rPr>
              <w:t>绿色生态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单位GDP二氧化碳排放降低（%）</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pacing w:val="-6"/>
                <w:kern w:val="2"/>
                <w:sz w:val="24"/>
                <w:szCs w:val="24"/>
              </w:rPr>
              <w:t>完成省分解任务</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非化石能源占能源消费总量比重（%）</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18.3</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25</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4"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细颗粒物（PM</w:t>
            </w:r>
            <w:r>
              <w:rPr>
                <w:rFonts w:hint="eastAsia" w:ascii="方正仿宋简体" w:eastAsia="方正仿宋简体"/>
                <w:b/>
                <w:bCs/>
                <w:sz w:val="24"/>
                <w:szCs w:val="24"/>
                <w:vertAlign w:val="subscript"/>
              </w:rPr>
              <w:t>2.5</w:t>
            </w:r>
            <w:r>
              <w:rPr>
                <w:rFonts w:hint="eastAsia" w:ascii="方正仿宋简体" w:eastAsia="方正仿宋简体"/>
                <w:b/>
                <w:bCs/>
                <w:sz w:val="24"/>
                <w:szCs w:val="24"/>
              </w:rPr>
              <w:t>）浓度（微克/立方米）</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39</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pacing w:val="-6"/>
                <w:sz w:val="24"/>
                <w:szCs w:val="24"/>
              </w:rPr>
            </w:pPr>
            <w:r>
              <w:rPr>
                <w:rFonts w:hint="eastAsia" w:ascii="方正仿宋简体" w:eastAsia="方正仿宋简体"/>
                <w:b/>
                <w:bCs/>
                <w:spacing w:val="-6"/>
                <w:kern w:val="2"/>
                <w:sz w:val="24"/>
                <w:szCs w:val="24"/>
              </w:rPr>
              <w:t>完成省分解任务</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1"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优良水体比例（%）</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100</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pacing w:val="-6"/>
                <w:sz w:val="24"/>
                <w:szCs w:val="24"/>
              </w:rPr>
            </w:pPr>
            <w:r>
              <w:rPr>
                <w:rFonts w:hint="eastAsia" w:ascii="方正仿宋简体" w:eastAsia="方正仿宋简体"/>
                <w:b/>
                <w:bCs/>
                <w:spacing w:val="-6"/>
                <w:kern w:val="2"/>
                <w:sz w:val="24"/>
                <w:szCs w:val="24"/>
              </w:rPr>
              <w:t>完成省分解任务</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4382" w:type="dxa"/>
            <w:gridSpan w:val="2"/>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森林覆盖率（%）</w:t>
            </w:r>
          </w:p>
        </w:tc>
        <w:tc>
          <w:tcPr>
            <w:tcW w:w="1070"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043" w:type="dxa"/>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w:t>
            </w:r>
          </w:p>
        </w:tc>
        <w:tc>
          <w:tcPr>
            <w:tcW w:w="1772" w:type="dxa"/>
            <w:vAlign w:val="center"/>
          </w:tcPr>
          <w:p>
            <w:pPr>
              <w:adjustRightInd w:val="0"/>
              <w:snapToGrid w:val="0"/>
              <w:spacing w:line="300" w:lineRule="exact"/>
              <w:ind w:left="-40" w:leftChars="-20" w:right="-40" w:rightChars="-20"/>
              <w:jc w:val="center"/>
              <w:rPr>
                <w:rFonts w:ascii="方正仿宋简体" w:eastAsia="方正仿宋简体"/>
                <w:b/>
                <w:bCs/>
                <w:spacing w:val="-6"/>
                <w:sz w:val="24"/>
                <w:szCs w:val="24"/>
              </w:rPr>
            </w:pPr>
            <w:r>
              <w:rPr>
                <w:rFonts w:hint="eastAsia" w:ascii="方正仿宋简体" w:eastAsia="方正仿宋简体"/>
                <w:b/>
                <w:bCs/>
                <w:spacing w:val="-6"/>
                <w:kern w:val="2"/>
                <w:sz w:val="24"/>
                <w:szCs w:val="24"/>
              </w:rPr>
              <w:t>完成省分解任务</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67" w:type="dxa"/>
            <w:gridSpan w:val="6"/>
            <w:vAlign w:val="center"/>
          </w:tcPr>
          <w:p>
            <w:pPr>
              <w:snapToGrid w:val="0"/>
              <w:spacing w:line="300" w:lineRule="exact"/>
              <w:ind w:left="-40" w:leftChars="-20" w:right="-40" w:rightChars="-20"/>
              <w:jc w:val="left"/>
              <w:rPr>
                <w:rFonts w:ascii="方正黑体简体" w:eastAsia="方正黑体简体"/>
                <w:b/>
                <w:bCs/>
                <w:sz w:val="24"/>
                <w:szCs w:val="24"/>
              </w:rPr>
            </w:pPr>
            <w:r>
              <w:rPr>
                <w:rFonts w:hint="eastAsia" w:ascii="方正黑体简体" w:eastAsia="方正黑体简体"/>
                <w:b/>
                <w:sz w:val="24"/>
                <w:szCs w:val="24"/>
              </w:rPr>
              <w:t>安全保障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粮食综合生产能力（亿斤）</w:t>
            </w:r>
          </w:p>
        </w:tc>
        <w:tc>
          <w:tcPr>
            <w:tcW w:w="107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100.32</w:t>
            </w:r>
          </w:p>
        </w:tc>
        <w:tc>
          <w:tcPr>
            <w:tcW w:w="1043"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102.7</w:t>
            </w:r>
          </w:p>
        </w:tc>
        <w:tc>
          <w:tcPr>
            <w:tcW w:w="1772"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000" w:type="dxa"/>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4382" w:type="dxa"/>
            <w:gridSpan w:val="2"/>
            <w:tcBorders>
              <w:bottom w:val="single" w:color="auto" w:sz="4" w:space="0"/>
            </w:tcBorders>
            <w:shd w:val="clear" w:color="auto" w:fill="auto"/>
            <w:vAlign w:val="center"/>
          </w:tcPr>
          <w:p>
            <w:pPr>
              <w:numPr>
                <w:ilvl w:val="0"/>
                <w:numId w:val="4"/>
              </w:num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能源综合生产能力（万吨标准煤）</w:t>
            </w:r>
          </w:p>
        </w:tc>
        <w:tc>
          <w:tcPr>
            <w:tcW w:w="1070" w:type="dxa"/>
            <w:tcBorders>
              <w:bottom w:val="single" w:color="auto" w:sz="4" w:space="0"/>
            </w:tcBorders>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3929</w:t>
            </w:r>
          </w:p>
        </w:tc>
        <w:tc>
          <w:tcPr>
            <w:tcW w:w="1043" w:type="dxa"/>
            <w:tcBorders>
              <w:bottom w:val="single" w:color="auto" w:sz="4" w:space="0"/>
            </w:tcBorders>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3307</w:t>
            </w:r>
          </w:p>
        </w:tc>
        <w:tc>
          <w:tcPr>
            <w:tcW w:w="1772" w:type="dxa"/>
            <w:tcBorders>
              <w:bottom w:val="single" w:color="auto" w:sz="4" w:space="0"/>
            </w:tcBorders>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kern w:val="2"/>
                <w:sz w:val="24"/>
                <w:szCs w:val="24"/>
              </w:rPr>
              <w:t>—</w:t>
            </w:r>
          </w:p>
        </w:tc>
        <w:tc>
          <w:tcPr>
            <w:tcW w:w="1000" w:type="dxa"/>
            <w:tcBorders>
              <w:bottom w:val="single" w:color="auto" w:sz="4" w:space="0"/>
            </w:tcBorders>
            <w:shd w:val="clear" w:color="auto" w:fill="auto"/>
            <w:vAlign w:val="center"/>
          </w:tcPr>
          <w:p>
            <w:pPr>
              <w:adjustRightInd w:val="0"/>
              <w:snapToGrid w:val="0"/>
              <w:spacing w:line="300" w:lineRule="exact"/>
              <w:ind w:left="-40" w:leftChars="-20" w:right="-40" w:rightChars="-20"/>
              <w:jc w:val="center"/>
              <w:rPr>
                <w:rFonts w:ascii="方正仿宋简体" w:eastAsia="方正仿宋简体"/>
                <w:b/>
                <w:bCs/>
                <w:sz w:val="24"/>
                <w:szCs w:val="24"/>
              </w:rPr>
            </w:pPr>
            <w:r>
              <w:rPr>
                <w:rFonts w:hint="eastAsia" w:ascii="方正仿宋简体" w:eastAsia="方正仿宋简体"/>
                <w:b/>
                <w:bCs/>
                <w:sz w:val="24"/>
                <w:szCs w:val="24"/>
              </w:rPr>
              <w:t>约束性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jc w:val="center"/>
        </w:trPr>
        <w:tc>
          <w:tcPr>
            <w:tcW w:w="9267" w:type="dxa"/>
            <w:gridSpan w:val="6"/>
            <w:tcBorders>
              <w:top w:val="single" w:color="auto" w:sz="4" w:space="0"/>
              <w:left w:val="nil"/>
              <w:bottom w:val="nil"/>
              <w:right w:val="nil"/>
            </w:tcBorders>
            <w:shd w:val="clear" w:color="auto" w:fill="auto"/>
            <w:vAlign w:val="center"/>
          </w:tcPr>
          <w:p>
            <w:pPr>
              <w:adjustRightInd w:val="0"/>
              <w:snapToGrid w:val="0"/>
              <w:spacing w:line="300" w:lineRule="exact"/>
              <w:ind w:left="-40" w:leftChars="-20" w:right="-40" w:rightChars="-20"/>
              <w:rPr>
                <w:rFonts w:ascii="方正仿宋简体" w:eastAsia="方正仿宋简体"/>
                <w:b/>
                <w:bCs/>
                <w:sz w:val="24"/>
                <w:szCs w:val="24"/>
              </w:rPr>
            </w:pPr>
            <w:r>
              <w:rPr>
                <w:rFonts w:hint="eastAsia" w:ascii="方正仿宋简体" w:eastAsia="方正仿宋简体"/>
                <w:b/>
                <w:bCs/>
                <w:sz w:val="24"/>
                <w:szCs w:val="24"/>
              </w:rPr>
              <w:t>注：</w:t>
            </w:r>
            <w:r>
              <w:rPr>
                <w:rFonts w:hint="eastAsia" w:ascii="方正仿宋简体" w:eastAsia="方正仿宋简体"/>
                <w:b/>
                <w:bCs/>
                <w:kern w:val="2"/>
                <w:sz w:val="24"/>
                <w:szCs w:val="24"/>
              </w:rPr>
              <w:t>[ ]</w:t>
            </w:r>
            <w:r>
              <w:rPr>
                <w:rFonts w:hint="eastAsia" w:ascii="方正仿宋简体" w:eastAsia="方正仿宋简体"/>
                <w:b/>
                <w:bCs/>
                <w:sz w:val="24"/>
                <w:szCs w:val="24"/>
              </w:rPr>
              <w:t>为5年累计数。</w:t>
            </w:r>
          </w:p>
        </w:tc>
      </w:tr>
      <w:bookmarkEnd w:id="3"/>
    </w:tbl>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jc w:val="center"/>
        <w:rPr>
          <w:rFonts w:ascii="方正小标宋简体" w:hAnsi="文星仿宋" w:eastAsia="方正小标宋简体" w:cs="方正仿宋简体"/>
          <w:b/>
          <w:color w:val="000000"/>
          <w:sz w:val="36"/>
          <w:szCs w:val="36"/>
        </w:rPr>
      </w:pPr>
      <w:r>
        <w:rPr>
          <w:rFonts w:hint="eastAsia" w:ascii="方正小标宋简体" w:hAnsi="文星仿宋" w:eastAsia="方正小标宋简体" w:cs="方正仿宋简体"/>
          <w:b/>
          <w:color w:val="000000"/>
          <w:sz w:val="36"/>
          <w:szCs w:val="36"/>
        </w:rPr>
        <w:t>第三篇</w:t>
      </w:r>
      <w:r>
        <w:rPr>
          <w:rFonts w:ascii="方正小标宋简体" w:hAnsi="文星仿宋" w:eastAsia="方正小标宋简体" w:cs="方正仿宋简体"/>
          <w:b/>
          <w:color w:val="000000"/>
          <w:sz w:val="36"/>
          <w:szCs w:val="36"/>
        </w:rPr>
        <w:t xml:space="preserve">  </w:t>
      </w:r>
      <w:r>
        <w:rPr>
          <w:rFonts w:hint="eastAsia" w:ascii="方正小标宋简体" w:hAnsi="文星仿宋" w:eastAsia="方正小标宋简体" w:cs="方正仿宋简体"/>
          <w:b/>
          <w:color w:val="000000"/>
          <w:sz w:val="36"/>
          <w:szCs w:val="36"/>
        </w:rPr>
        <w:t>加力实施工业经济“头号工程”，</w:t>
      </w:r>
    </w:p>
    <w:p>
      <w:pPr>
        <w:overflowPunct w:val="0"/>
        <w:adjustRightInd w:val="0"/>
        <w:spacing w:line="600" w:lineRule="exact"/>
        <w:jc w:val="center"/>
        <w:rPr>
          <w:rFonts w:ascii="方正小标宋简体" w:hAnsi="文星仿宋" w:eastAsia="方正小标宋简体" w:cs="方正仿宋简体"/>
          <w:b/>
          <w:color w:val="000000"/>
          <w:sz w:val="36"/>
          <w:szCs w:val="36"/>
        </w:rPr>
      </w:pPr>
      <w:r>
        <w:rPr>
          <w:rFonts w:hint="eastAsia" w:ascii="方正小标宋简体" w:hAnsi="文星仿宋" w:eastAsia="方正小标宋简体" w:cs="方正仿宋简体"/>
          <w:b/>
          <w:color w:val="000000"/>
          <w:sz w:val="36"/>
          <w:szCs w:val="36"/>
        </w:rPr>
        <w:t>建设现代化产业体系</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实体经济为本、制造业当家、服务业赋能，以智能化、绿色化、融合化为方向，加快建设制造强市，稳步提高制造业比重，大力发展服务型制造，推动服务业优质高效发展，构建以先进制造业为骨干、以现代服务业为支撑、具有济宁特色的现代化产业体系，到2030年，全市规上工业企业数量达到5600家以上，规上工业企业营业收入突破万亿规模。</w:t>
      </w: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第一章  培优做强“232”优势产业集群</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围绕“做大企业、做优链条、做强集群”，全面深化“链长制”，构建“链主”企业带动、全要素支撑、上下游协同发展的优势产业集群发展体系，争创国家级先进制造业集群。</w:t>
      </w:r>
    </w:p>
    <w:p>
      <w:pPr>
        <w:overflowPunct w:val="0"/>
        <w:adjustRightInd w:val="0"/>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第一节  打造国内一流的高端装备产业基地</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工程机械、汽车及零部件、专用装备、新能源船舶四条重点产业链，加大智慧施工、绿色动力、特种作业机械等行业关键共性技术攻关力度，持续提高本地化配套率，强化“整机+零部件”上下游协同发展，打造技术领先、特色突出、配套完整的国内一流智能制造装备产业高地，建设国内领先的内河新能源船舶制造基地。到2030年，全市高端装备产业集群规上工业营业收入达到2000亿元。</w:t>
      </w:r>
    </w:p>
    <w:tbl>
      <w:tblPr>
        <w:tblStyle w:val="8"/>
        <w:tblW w:w="912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2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2" w:hRule="atLeast"/>
          <w:jc w:val="center"/>
        </w:trPr>
        <w:tc>
          <w:tcPr>
            <w:tcW w:w="9121" w:type="dxa"/>
            <w:vAlign w:val="center"/>
          </w:tcPr>
          <w:p>
            <w:pPr>
              <w:spacing w:line="400" w:lineRule="exact"/>
              <w:jc w:val="center"/>
              <w:rPr>
                <w:rFonts w:ascii="方正黑体简体" w:eastAsia="方正黑体简体"/>
                <w:b/>
                <w:bCs/>
                <w:sz w:val="30"/>
                <w:szCs w:val="30"/>
              </w:rPr>
            </w:pPr>
            <w:r>
              <w:rPr>
                <w:rFonts w:hint="eastAsia" w:ascii="方正黑体简体" w:eastAsia="方正黑体简体"/>
                <w:b/>
                <w:sz w:val="30"/>
                <w:szCs w:val="30"/>
              </w:rPr>
              <w:t>专栏2  高端装备产业集群重点领域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181" w:hRule="atLeast"/>
          <w:jc w:val="center"/>
        </w:trPr>
        <w:tc>
          <w:tcPr>
            <w:tcW w:w="9121" w:type="dxa"/>
            <w:vAlign w:val="center"/>
          </w:tcPr>
          <w:p>
            <w:pPr>
              <w:adjustRightInd w:val="0"/>
              <w:snapToGrid w:val="0"/>
              <w:spacing w:line="460" w:lineRule="exact"/>
              <w:ind w:firstLine="562"/>
              <w:rPr>
                <w:rFonts w:ascii="方正仿宋简体" w:eastAsia="方正仿宋简体"/>
                <w:b/>
                <w:bCs/>
                <w:sz w:val="28"/>
                <w:szCs w:val="28"/>
              </w:rPr>
            </w:pPr>
            <w:r>
              <w:rPr>
                <w:rFonts w:hint="eastAsia" w:ascii="方正黑体简体" w:eastAsia="方正黑体简体"/>
                <w:b/>
                <w:bCs/>
                <w:sz w:val="28"/>
                <w:szCs w:val="28"/>
              </w:rPr>
              <w:t>工程机械产业链</w:t>
            </w:r>
            <w:r>
              <w:rPr>
                <w:rFonts w:hint="eastAsia" w:ascii="方正黑体简体" w:eastAsia="方正黑体简体"/>
                <w:b/>
                <w:sz w:val="28"/>
                <w:szCs w:val="28"/>
              </w:rPr>
              <w:t>。</w:t>
            </w:r>
            <w:r>
              <w:rPr>
                <w:rFonts w:hint="eastAsia" w:ascii="方正仿宋简体" w:eastAsia="方正仿宋简体"/>
                <w:b/>
                <w:bCs/>
                <w:sz w:val="28"/>
                <w:szCs w:val="28"/>
              </w:rPr>
              <w:t>重点发展大马力推土机、新能源装载机、智能挖掘机、小微型挖掘机、高压大流量液压件及元器件、智能装备控制系统等整机和关键部件，聚焦济宁高新区、任城区、济宁经开区发展小型工程机械特色产业，建设工程机械产业基地。</w:t>
            </w:r>
          </w:p>
          <w:p>
            <w:pPr>
              <w:adjustRightInd w:val="0"/>
              <w:snapToGrid w:val="0"/>
              <w:spacing w:line="460" w:lineRule="exact"/>
              <w:ind w:firstLine="560"/>
              <w:rPr>
                <w:rFonts w:ascii="方正仿宋简体" w:eastAsia="方正仿宋简体"/>
                <w:b/>
                <w:bCs/>
                <w:sz w:val="28"/>
                <w:szCs w:val="28"/>
              </w:rPr>
            </w:pPr>
            <w:r>
              <w:rPr>
                <w:rFonts w:hint="eastAsia" w:ascii="方正仿宋简体" w:eastAsia="方正仿宋简体"/>
                <w:b/>
                <w:bCs/>
                <w:sz w:val="28"/>
                <w:szCs w:val="28"/>
              </w:rPr>
              <w:t>（1）小松全球智能制造产业基地（2）山推绿色智慧产业园（3）长城重工新能源工程机械产业项目一期（4）恒旺年产3000台大中型工程机械绿色智能制造项目（5）斯赛迪高压（超高压）钢丝增强液压软管智能制造项目（6）迈斯伯尔年产5000台新能源工程机械项目等。</w:t>
            </w:r>
          </w:p>
          <w:p>
            <w:pPr>
              <w:adjustRightInd w:val="0"/>
              <w:snapToGrid w:val="0"/>
              <w:spacing w:line="460" w:lineRule="exact"/>
              <w:ind w:firstLine="562"/>
              <w:rPr>
                <w:rFonts w:ascii="方正仿宋简体" w:eastAsia="方正仿宋简体"/>
                <w:b/>
                <w:bCs/>
                <w:sz w:val="28"/>
                <w:szCs w:val="28"/>
              </w:rPr>
            </w:pPr>
            <w:r>
              <w:rPr>
                <w:rFonts w:hint="eastAsia" w:ascii="方正黑体简体" w:eastAsia="方正黑体简体"/>
                <w:b/>
                <w:bCs/>
                <w:sz w:val="28"/>
                <w:szCs w:val="28"/>
              </w:rPr>
              <w:t>汽车及零部件产业链。</w:t>
            </w:r>
            <w:r>
              <w:rPr>
                <w:rFonts w:hint="eastAsia" w:ascii="方正仿宋简体" w:eastAsia="方正仿宋简体"/>
                <w:b/>
                <w:bCs/>
                <w:sz w:val="28"/>
                <w:szCs w:val="28"/>
              </w:rPr>
              <w:t>重点发展重汽商用车、运输类半挂车和特种作业类、市政环卫类、工程类等专用车及汽车零部件，积极发展纯电动汽车等核心部件，建设梁山县商用二手车整车及核心零部件再制造基地和济宁经开区高空作业车生产基地。</w:t>
            </w:r>
          </w:p>
          <w:p>
            <w:pPr>
              <w:adjustRightInd w:val="0"/>
              <w:snapToGrid w:val="0"/>
              <w:spacing w:line="460" w:lineRule="exact"/>
              <w:ind w:firstLine="560"/>
              <w:rPr>
                <w:rFonts w:ascii="方正仿宋简体" w:eastAsia="方正仿宋简体"/>
                <w:b/>
                <w:bCs/>
                <w:sz w:val="28"/>
                <w:szCs w:val="28"/>
              </w:rPr>
            </w:pPr>
            <w:r>
              <w:rPr>
                <w:rFonts w:hint="eastAsia" w:ascii="方正仿宋简体" w:eastAsia="方正仿宋简体"/>
                <w:b/>
                <w:bCs/>
                <w:sz w:val="28"/>
                <w:szCs w:val="28"/>
              </w:rPr>
              <w:t>（1）盛阳年产5000万套轴承套圈和1.2万吨高铬球项目（2）九识新能源自动驾驶车辆项目（3）德国欧摩威集团曲阜汽车电子产业基地项目（4）延锋（远航）汽车零部件研发制造基地项目（一期）等。</w:t>
            </w:r>
          </w:p>
          <w:p>
            <w:pPr>
              <w:adjustRightInd w:val="0"/>
              <w:snapToGrid w:val="0"/>
              <w:spacing w:line="460" w:lineRule="exact"/>
              <w:ind w:firstLine="562"/>
              <w:rPr>
                <w:rFonts w:ascii="方正仿宋简体" w:eastAsia="方正仿宋简体"/>
                <w:b/>
                <w:bCs/>
                <w:sz w:val="28"/>
                <w:szCs w:val="28"/>
              </w:rPr>
            </w:pPr>
            <w:r>
              <w:rPr>
                <w:rFonts w:hint="eastAsia" w:ascii="方正黑体简体" w:eastAsia="方正黑体简体"/>
                <w:b/>
                <w:bCs/>
                <w:sz w:val="28"/>
                <w:szCs w:val="28"/>
              </w:rPr>
              <w:t>专用装备产业链。</w:t>
            </w:r>
            <w:r>
              <w:rPr>
                <w:rFonts w:hint="eastAsia" w:ascii="方正仿宋简体" w:eastAsia="方正仿宋简体"/>
                <w:b/>
                <w:bCs/>
                <w:sz w:val="28"/>
                <w:szCs w:val="28"/>
              </w:rPr>
              <w:t>聚焦智能矿山机械、农业机械、工业母机、专用设备等细分领域，支持相关产业园特色化发展，做强农机装备产业集群区域品牌。</w:t>
            </w:r>
          </w:p>
          <w:p>
            <w:pPr>
              <w:adjustRightInd w:val="0"/>
              <w:snapToGrid w:val="0"/>
              <w:spacing w:line="460" w:lineRule="exact"/>
              <w:ind w:firstLine="560"/>
              <w:rPr>
                <w:rFonts w:ascii="方正仿宋简体" w:eastAsia="方正仿宋简体"/>
                <w:b/>
                <w:bCs/>
                <w:sz w:val="28"/>
                <w:szCs w:val="28"/>
              </w:rPr>
            </w:pPr>
            <w:r>
              <w:rPr>
                <w:rFonts w:hint="eastAsia" w:ascii="方正仿宋简体" w:eastAsia="方正仿宋简体"/>
                <w:b/>
                <w:bCs/>
                <w:sz w:val="28"/>
                <w:szCs w:val="28"/>
              </w:rPr>
              <w:t>（1）华瑞高端农业机械设备制造与粮种加工产业化项目（2）山矿退城进园暨智能矿山机械产业园项目（3）华企云谷高端智能装备生产项目等。</w:t>
            </w:r>
          </w:p>
          <w:p>
            <w:pPr>
              <w:adjustRightInd w:val="0"/>
              <w:snapToGrid w:val="0"/>
              <w:spacing w:line="460" w:lineRule="exact"/>
              <w:ind w:firstLine="562"/>
              <w:rPr>
                <w:rFonts w:ascii="方正仿宋简体" w:eastAsia="方正仿宋简体"/>
                <w:b/>
                <w:bCs/>
                <w:sz w:val="28"/>
                <w:szCs w:val="28"/>
              </w:rPr>
            </w:pPr>
            <w:r>
              <w:rPr>
                <w:rFonts w:hint="eastAsia" w:ascii="方正黑体简体" w:eastAsia="方正黑体简体"/>
                <w:b/>
                <w:bCs/>
                <w:sz w:val="28"/>
                <w:szCs w:val="28"/>
              </w:rPr>
              <w:t>新能源船舶产业链。</w:t>
            </w:r>
            <w:r>
              <w:rPr>
                <w:rFonts w:hint="eastAsia" w:ascii="方正仿宋简体" w:eastAsia="方正仿宋简体"/>
                <w:b/>
                <w:bCs/>
                <w:sz w:val="28"/>
                <w:szCs w:val="28"/>
              </w:rPr>
              <w:t>重点发展LNG动力船舶，大力推广电动船舶，完善充换电站、LNG加注站等配套基础设施，打造济宁内河航运创新中心。</w:t>
            </w:r>
          </w:p>
          <w:p>
            <w:pPr>
              <w:adjustRightInd w:val="0"/>
              <w:snapToGrid w:val="0"/>
              <w:spacing w:line="460" w:lineRule="exact"/>
              <w:ind w:firstLine="560"/>
              <w:rPr>
                <w:rFonts w:ascii="方正仿宋简体" w:eastAsia="方正仿宋简体"/>
                <w:b/>
                <w:bCs/>
                <w:sz w:val="28"/>
                <w:szCs w:val="28"/>
              </w:rPr>
            </w:pPr>
            <w:r>
              <w:rPr>
                <w:rFonts w:hint="eastAsia" w:ascii="方正仿宋简体" w:eastAsia="方正仿宋简体"/>
                <w:b/>
                <w:bCs/>
                <w:sz w:val="28"/>
                <w:szCs w:val="28"/>
              </w:rPr>
              <w:t>（1）新能源船舶制造数字化提质及核心部件智能生产线项目（2）微山内河船舶绿色智能制造项目（3）融汇电动船舶及充换电站研发制造及运营基地项目等。</w:t>
            </w:r>
          </w:p>
        </w:tc>
      </w:tr>
    </w:tbl>
    <w:p>
      <w:pPr>
        <w:overflowPunct w:val="0"/>
        <w:adjustRightInd w:val="0"/>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第二节  建设高端化工集聚发展高地</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煤化工、盐化工、橡胶轮胎三条重点产业链，加快推进化工产业精细化延伸、绿色化改造、智能化增效、安全化生产，促进济宁化工产业园、邹城化工产业园等7家化工园区规范建设和高质量发展。推进轮胎企业与汽车、装备企业战略协同，建设橡胶轮胎研发中心。到2030年，全市高端化工产业集群规上工业营业收入达到1400亿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858" w:type="dxa"/>
            <w:vAlign w:val="center"/>
          </w:tcPr>
          <w:p>
            <w:pPr>
              <w:spacing w:line="440" w:lineRule="exact"/>
              <w:jc w:val="center"/>
              <w:rPr>
                <w:rFonts w:ascii="方正黑体简体" w:eastAsia="方正黑体简体"/>
                <w:b/>
                <w:bCs/>
                <w:sz w:val="30"/>
                <w:szCs w:val="30"/>
              </w:rPr>
            </w:pPr>
            <w:r>
              <w:rPr>
                <w:rFonts w:hint="eastAsia" w:ascii="方正黑体简体" w:eastAsia="方正黑体简体"/>
                <w:b/>
                <w:sz w:val="30"/>
                <w:szCs w:val="30"/>
              </w:rPr>
              <w:t>专栏3  高端化工产业集群重点领域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41" w:hRule="atLeast"/>
          <w:jc w:val="center"/>
        </w:trPr>
        <w:tc>
          <w:tcPr>
            <w:tcW w:w="8858" w:type="dxa"/>
            <w:vAlign w:val="center"/>
          </w:tcPr>
          <w:p>
            <w:pPr>
              <w:pStyle w:val="16"/>
              <w:numPr>
                <w:ilvl w:val="255"/>
                <w:numId w:val="0"/>
              </w:numPr>
              <w:adjustRightInd w:val="0"/>
              <w:snapToGrid w:val="0"/>
              <w:spacing w:line="44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煤化工产业链。</w:t>
            </w:r>
            <w:r>
              <w:rPr>
                <w:rFonts w:hint="eastAsia" w:ascii="方正仿宋简体" w:eastAsia="方正仿宋简体" w:cs="Times New Roman"/>
                <w:bCs/>
                <w:sz w:val="28"/>
                <w:szCs w:val="28"/>
              </w:rPr>
              <w:t>改造提升煤焦化工艺装备水平，推进煤化工产业高端化、多元化、低碳化发展，加大煤焦油深加工、焦炉煤气（合成气）综合利用等研究应用，支持邹城化工产业园、鱼台张黄化工产业园、嘉祥化工产业园等延伸产业链条。</w:t>
            </w:r>
          </w:p>
          <w:p>
            <w:pPr>
              <w:pStyle w:val="16"/>
              <w:numPr>
                <w:ilvl w:val="255"/>
                <w:numId w:val="0"/>
              </w:numPr>
              <w:adjustRightInd w:val="0"/>
              <w:snapToGrid w:val="0"/>
              <w:spacing w:line="440" w:lineRule="exact"/>
              <w:ind w:firstLine="560"/>
              <w:rPr>
                <w:rFonts w:ascii="方正仿宋简体" w:eastAsia="方正仿宋简体" w:cs="Times New Roman"/>
              </w:rPr>
            </w:pPr>
            <w:r>
              <w:rPr>
                <w:rFonts w:hint="eastAsia" w:ascii="方正仿宋简体" w:eastAsia="方正仿宋简体" w:cs="Times New Roman"/>
                <w:bCs/>
                <w:sz w:val="28"/>
                <w:szCs w:val="28"/>
              </w:rPr>
              <w:t>（1）山东顺利醇氢能源31.4万吨/年生物质绿醇项目（2）恒信碳减排耦合资源清洁高效利用低碳一体化项目（3）济宁新材料产业园区原料气转型升级项目等。</w:t>
            </w:r>
          </w:p>
          <w:p>
            <w:pPr>
              <w:pStyle w:val="16"/>
              <w:numPr>
                <w:ilvl w:val="255"/>
                <w:numId w:val="0"/>
              </w:numPr>
              <w:adjustRightInd w:val="0"/>
              <w:snapToGrid w:val="0"/>
              <w:spacing w:line="44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盐化工产业链。</w:t>
            </w:r>
            <w:r>
              <w:rPr>
                <w:rFonts w:hint="eastAsia" w:ascii="方正仿宋简体" w:eastAsia="方正仿宋简体" w:cs="Times New Roman"/>
                <w:bCs/>
                <w:sz w:val="28"/>
                <w:szCs w:val="28"/>
              </w:rPr>
              <w:t>深耕氢气、氯气、烧碱等基础产品优势领域，拓展氯化亚砜、水合肼等高附加值产品，支持鱼台张黄化工产业园、</w:t>
            </w:r>
            <w:r>
              <w:rPr>
                <w:rFonts w:hint="eastAsia" w:ascii="方正仿宋简体" w:eastAsia="方正仿宋简体" w:cs="Times New Roman"/>
                <w:bCs/>
                <w:spacing w:val="-6"/>
                <w:sz w:val="28"/>
                <w:szCs w:val="28"/>
              </w:rPr>
              <w:t>汶上化工产业园与领军科研院所联合，推动产品高端化、精细化发展</w:t>
            </w:r>
            <w:r>
              <w:rPr>
                <w:rFonts w:hint="eastAsia" w:ascii="方正仿宋简体" w:eastAsia="方正仿宋简体" w:cs="Times New Roman"/>
                <w:bCs/>
                <w:sz w:val="28"/>
                <w:szCs w:val="28"/>
              </w:rPr>
              <w:t>。</w:t>
            </w:r>
          </w:p>
          <w:p>
            <w:pPr>
              <w:pStyle w:val="16"/>
              <w:numPr>
                <w:ilvl w:val="255"/>
                <w:numId w:val="0"/>
              </w:numPr>
              <w:adjustRightInd w:val="0"/>
              <w:snapToGrid w:val="0"/>
              <w:spacing w:line="440" w:lineRule="exact"/>
              <w:ind w:firstLine="560"/>
              <w:rPr>
                <w:rFonts w:ascii="方正仿宋简体" w:eastAsia="方正仿宋简体" w:cs="Times New Roman"/>
                <w:bCs/>
                <w:sz w:val="28"/>
                <w:szCs w:val="28"/>
              </w:rPr>
            </w:pPr>
            <w:r>
              <w:rPr>
                <w:rFonts w:hint="eastAsia" w:ascii="方正仿宋简体" w:eastAsia="方正仿宋简体" w:cs="Times New Roman"/>
                <w:bCs/>
                <w:sz w:val="28"/>
                <w:szCs w:val="28"/>
              </w:rPr>
              <w:t>（1）衡兴新材料35万吨/年天然有机酯醛酸衍生物项目（2）鲁泰化学延链项目（3）纽兰德精细化工年产10万吨硫酸钾项目（4）爱特蓝年产8万吨三氯氢硅产品循环延伸硅基电子级特气项目等。</w:t>
            </w:r>
          </w:p>
          <w:p>
            <w:pPr>
              <w:pStyle w:val="16"/>
              <w:adjustRightInd w:val="0"/>
              <w:snapToGrid w:val="0"/>
              <w:spacing w:line="44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橡胶轮胎产业链。</w:t>
            </w:r>
            <w:r>
              <w:rPr>
                <w:rFonts w:hint="eastAsia" w:ascii="方正仿宋简体" w:eastAsia="方正仿宋简体" w:cs="Times New Roman"/>
                <w:bCs/>
                <w:sz w:val="28"/>
                <w:szCs w:val="28"/>
              </w:rPr>
              <w:t>以生物基和可循环材料为方向，重点攻关新能源汽车轮胎及可再生材料领域技术，强化智能制造应用，推广应用先进轮胎制造设备和智能制造系统。</w:t>
            </w:r>
          </w:p>
          <w:p>
            <w:pPr>
              <w:pStyle w:val="16"/>
              <w:adjustRightInd w:val="0"/>
              <w:snapToGrid w:val="0"/>
              <w:spacing w:line="440" w:lineRule="exact"/>
              <w:ind w:firstLine="562"/>
              <w:rPr>
                <w:rFonts w:ascii="方正仿宋简体" w:eastAsia="方正仿宋简体" w:cs="Times New Roman"/>
                <w:bCs/>
                <w:sz w:val="28"/>
                <w:szCs w:val="28"/>
              </w:rPr>
            </w:pPr>
            <w:r>
              <w:rPr>
                <w:rFonts w:hint="eastAsia" w:ascii="方正仿宋简体" w:eastAsia="方正仿宋简体" w:cs="Times New Roman"/>
                <w:bCs/>
                <w:sz w:val="28"/>
                <w:szCs w:val="28"/>
              </w:rPr>
              <w:t>（1）华勤高端橡胶新材料产业园项目（2）倍耐力及神州400万套半钢子午线轮胎扩产项目（3）兴达年产10万吨钢帘线项目等。</w:t>
            </w:r>
          </w:p>
        </w:tc>
      </w:tr>
    </w:tbl>
    <w:p>
      <w:pPr>
        <w:overflowPunct w:val="0"/>
        <w:adjustRightInd w:val="0"/>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第三节  打造国内重要的新能源产业基地</w:t>
      </w:r>
    </w:p>
    <w:p>
      <w:pPr>
        <w:overflowPunct w:val="0"/>
        <w:adjustRightInd w:val="0"/>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储能装备、发电装备两条重点产业链，扩大储能电池、动力电池规模，鼓励山东时代新能源电池产业基地增资扩产，加快新能源电池配套产业园建设，构筑全产业链条，拓展商业和家用储能市场，加快培育省级战略性新兴产业集群，建成北方最大的新能源电池生产基地。到2030年，全市新能源产业集群规上工业营业收入达到2000亿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0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806" w:type="dxa"/>
            <w:vAlign w:val="center"/>
          </w:tcPr>
          <w:p>
            <w:pPr>
              <w:spacing w:line="440" w:lineRule="exact"/>
              <w:jc w:val="center"/>
              <w:rPr>
                <w:rFonts w:ascii="方正黑体简体" w:eastAsia="方正黑体简体"/>
                <w:b/>
                <w:bCs/>
                <w:sz w:val="30"/>
                <w:szCs w:val="30"/>
              </w:rPr>
            </w:pPr>
            <w:r>
              <w:rPr>
                <w:rFonts w:hint="eastAsia" w:ascii="方正黑体简体" w:eastAsia="方正黑体简体"/>
                <w:b/>
                <w:sz w:val="30"/>
                <w:szCs w:val="30"/>
              </w:rPr>
              <w:t>专栏4  新能源产业集群重点领域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9" w:hRule="atLeast"/>
          <w:jc w:val="center"/>
        </w:trPr>
        <w:tc>
          <w:tcPr>
            <w:tcW w:w="8806" w:type="dxa"/>
            <w:vAlign w:val="center"/>
          </w:tcPr>
          <w:p>
            <w:pPr>
              <w:pStyle w:val="16"/>
              <w:adjustRightInd w:val="0"/>
              <w:snapToGrid w:val="0"/>
              <w:spacing w:line="44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储能装备产业链。</w:t>
            </w:r>
            <w:r>
              <w:rPr>
                <w:rFonts w:hint="eastAsia" w:ascii="方正仿宋简体" w:eastAsia="方正仿宋简体" w:cs="Times New Roman"/>
                <w:bCs/>
                <w:sz w:val="28"/>
                <w:szCs w:val="28"/>
              </w:rPr>
              <w:t>重点发展动力电池和储能电池，延伸发展电解液、正负极、隔膜、铜箔等配套产业，积极开展固态电池、钠离子电池及关键材料的研发和产业化，打造新型电池制造基地。</w:t>
            </w:r>
          </w:p>
          <w:p>
            <w:pPr>
              <w:pStyle w:val="16"/>
              <w:adjustRightInd w:val="0"/>
              <w:snapToGrid w:val="0"/>
              <w:spacing w:line="440" w:lineRule="exact"/>
              <w:ind w:firstLine="562"/>
              <w:rPr>
                <w:rFonts w:ascii="方正仿宋简体" w:eastAsia="方正仿宋简体" w:cs="Times New Roman"/>
                <w:bCs/>
                <w:sz w:val="28"/>
                <w:szCs w:val="28"/>
              </w:rPr>
            </w:pPr>
            <w:r>
              <w:rPr>
                <w:rFonts w:hint="eastAsia" w:ascii="方正仿宋简体" w:eastAsia="方正仿宋简体" w:cs="Times New Roman"/>
                <w:bCs/>
                <w:sz w:val="28"/>
                <w:szCs w:val="28"/>
              </w:rPr>
              <w:t>（1）山东时代新能源电池产业基地（2）小鲁锂电年产10GWh钠锂电池生产项目（3）山东佰铭诚锂电池主控板及锂电储能系统项目（4）山东兴微圆柱高倍率多极耳锂电池生产项目（5）万华（金乡）绿电产业园等。</w:t>
            </w:r>
          </w:p>
          <w:p>
            <w:pPr>
              <w:pStyle w:val="16"/>
              <w:adjustRightInd w:val="0"/>
              <w:snapToGrid w:val="0"/>
              <w:spacing w:line="44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发电装备产业链。</w:t>
            </w:r>
            <w:r>
              <w:rPr>
                <w:rFonts w:hint="eastAsia" w:ascii="方正仿宋简体" w:eastAsia="方正仿宋简体" w:cs="Times New Roman"/>
                <w:bCs/>
                <w:sz w:val="28"/>
                <w:szCs w:val="28"/>
              </w:rPr>
              <w:t>重点发展轻质光伏组件、输配电设备、风电关键零部件，积极引育新型光伏电池和新一代光伏逆变器系统等环节，延伸发展光伏组件回收利用产业。</w:t>
            </w:r>
          </w:p>
          <w:p>
            <w:pPr>
              <w:pStyle w:val="16"/>
              <w:adjustRightInd w:val="0"/>
              <w:snapToGrid w:val="0"/>
              <w:spacing w:line="440" w:lineRule="exact"/>
              <w:ind w:firstLine="562"/>
              <w:rPr>
                <w:rFonts w:ascii="方正仿宋简体" w:eastAsia="方正仿宋简体" w:cs="Times New Roman"/>
                <w:kern w:val="2"/>
                <w:sz w:val="32"/>
                <w:szCs w:val="32"/>
              </w:rPr>
            </w:pPr>
            <w:r>
              <w:rPr>
                <w:rFonts w:hint="eastAsia" w:ascii="方正仿宋简体" w:eastAsia="方正仿宋简体" w:cs="Times New Roman"/>
                <w:bCs/>
                <w:sz w:val="28"/>
                <w:szCs w:val="28"/>
              </w:rPr>
              <w:t>（1）光大特高压电力金具智能化绿色工厂项目（2）凯速年产5500套电力电气设备和新能源设备项目（3）鲁能光大年产5万吨超高压纳米电力设施项目（4）尚核电力核级压力容器智慧工厂项目等。</w:t>
            </w:r>
          </w:p>
        </w:tc>
      </w:tr>
    </w:tbl>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第四节  打造国内知名的新材料生产基地</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稀土、碳材料、生物基纤维新材料、特种玻纤制品四条重点产业链，充分发挥山东省先进碳材料工程技术研究院、山东省稀土研究院、山东石墨烯创新战略联盟等平台创新策源作用，引导企业利用先进适用技术工艺提升材料综合利用水平，争创国家生物质新材料技术创新中心，打造全国知名新材料生产基地、全国重要的稀土资源加工基地。到2030年，全市新材料产业集群规上工业营业收入达到1400亿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3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939" w:type="dxa"/>
            <w:vAlign w:val="center"/>
          </w:tcPr>
          <w:p>
            <w:pPr>
              <w:pStyle w:val="17"/>
              <w:spacing w:line="440" w:lineRule="exact"/>
              <w:ind w:firstLine="561"/>
              <w:rPr>
                <w:rFonts w:ascii="方正黑体简体" w:eastAsia="方正黑体简体" w:cs="Times New Roman"/>
                <w:bCs w:val="0"/>
                <w:sz w:val="30"/>
                <w:szCs w:val="30"/>
              </w:rPr>
            </w:pPr>
            <w:r>
              <w:rPr>
                <w:rFonts w:hint="eastAsia" w:ascii="方正黑体简体" w:eastAsia="方正黑体简体" w:cs="Times New Roman"/>
                <w:bCs w:val="0"/>
                <w:kern w:val="0"/>
                <w:sz w:val="30"/>
                <w:szCs w:val="30"/>
              </w:rPr>
              <w:t>专栏5  新材料产业集群重点领域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24" w:hRule="atLeast"/>
          <w:jc w:val="center"/>
        </w:trPr>
        <w:tc>
          <w:tcPr>
            <w:tcW w:w="8939" w:type="dxa"/>
            <w:vAlign w:val="center"/>
          </w:tcPr>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稀土产业链。</w:t>
            </w:r>
            <w:r>
              <w:rPr>
                <w:rFonts w:hint="eastAsia" w:ascii="方正仿宋简体" w:eastAsia="方正仿宋简体" w:cs="Times New Roman"/>
                <w:bCs/>
                <w:sz w:val="28"/>
                <w:szCs w:val="28"/>
              </w:rPr>
              <w:t>重点发展超高纯及特殊物性稀土化合物材料规模制备技术和装备，构建稀土全产业链条，打造稀土功能材料产业基地。</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（1）微山稀土资源开发工业园（2）烁成新材料年产2万吨钕铁硼磁性材料生产项目（3）鲁成环保新材料高性能稀土镁合金系列制品生产项目（4）</w:t>
            </w:r>
            <w:bookmarkStart w:id="6" w:name="OLE_LINK3"/>
            <w:r>
              <w:rPr>
                <w:rFonts w:hint="eastAsia" w:ascii="方正仿宋简体" w:eastAsia="方正仿宋简体" w:cs="Times New Roman"/>
                <w:bCs/>
                <w:sz w:val="28"/>
                <w:szCs w:val="28"/>
              </w:rPr>
              <w:t>中稀天马</w:t>
            </w:r>
            <w:bookmarkEnd w:id="6"/>
            <w:r>
              <w:rPr>
                <w:rFonts w:hint="eastAsia" w:ascii="方正仿宋简体" w:eastAsia="方正仿宋简体" w:cs="Times New Roman"/>
                <w:bCs/>
                <w:sz w:val="28"/>
                <w:szCs w:val="28"/>
              </w:rPr>
              <w:t>年处理5万吨废旧电池综合回收利用项目等。</w:t>
            </w:r>
          </w:p>
          <w:p>
            <w:pPr>
              <w:pStyle w:val="16"/>
              <w:adjustRightInd w:val="0"/>
              <w:snapToGrid w:val="0"/>
              <w:spacing w:line="440" w:lineRule="exact"/>
              <w:ind w:firstLine="561" w:firstLineChars="0"/>
              <w:rPr>
                <w:rFonts w:ascii="方正仿宋简体" w:eastAsia="方正仿宋简体" w:cs="Times New Roman"/>
                <w:bCs/>
                <w:spacing w:val="-6"/>
                <w:sz w:val="28"/>
                <w:szCs w:val="28"/>
              </w:rPr>
            </w:pPr>
            <w:r>
              <w:rPr>
                <w:rFonts w:hint="eastAsia" w:ascii="方正黑体简体" w:eastAsia="方正黑体简体" w:cs="Times New Roman"/>
                <w:bCs/>
                <w:sz w:val="28"/>
                <w:szCs w:val="28"/>
              </w:rPr>
              <w:t>碳</w:t>
            </w:r>
            <w:r>
              <w:rPr>
                <w:rFonts w:hint="eastAsia" w:ascii="方正黑体简体" w:eastAsia="方正黑体简体" w:cs="Times New Roman"/>
                <w:bCs/>
                <w:spacing w:val="-6"/>
                <w:sz w:val="28"/>
                <w:szCs w:val="28"/>
              </w:rPr>
              <w:t>材料产业链。</w:t>
            </w:r>
            <w:r>
              <w:rPr>
                <w:rFonts w:hint="eastAsia" w:ascii="方正仿宋简体" w:eastAsia="方正仿宋简体" w:cs="Times New Roman"/>
                <w:bCs/>
                <w:spacing w:val="-6"/>
                <w:sz w:val="28"/>
                <w:szCs w:val="28"/>
              </w:rPr>
              <w:t>重点发展碳纤维、石墨电极、石墨烯材料等细分领域。</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（1）诺唯亚碳纤维过程化学品及碳硅新材料项目（2）瑞城宇航高性能碳纤维复合材料项目等。</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生物基纤维新材料产业链。</w:t>
            </w:r>
            <w:r>
              <w:rPr>
                <w:rFonts w:hint="eastAsia" w:ascii="方正仿宋简体" w:eastAsia="方正仿宋简体" w:cs="Times New Roman"/>
                <w:bCs/>
                <w:sz w:val="28"/>
                <w:szCs w:val="28"/>
              </w:rPr>
              <w:t>打造</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莱赛尔纤维—纺织—高档面料—服装和生活应用产品</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全产业链，建成世界产能最大、技术最先进的生物基纤维新材料生产高地。</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（1）新加坡金鹰集团年产60万吨莱赛尔纤维项目（2）500万纱锭莱赛尔高端智能混纺项目（3）金鹰鱼台绿色低碳产业园项目等。</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特种玻纤制品产业链。</w:t>
            </w:r>
            <w:r>
              <w:rPr>
                <w:rFonts w:hint="eastAsia" w:ascii="方正仿宋简体" w:eastAsia="方正仿宋简体" w:cs="Times New Roman"/>
                <w:bCs/>
                <w:sz w:val="28"/>
                <w:szCs w:val="28"/>
              </w:rPr>
              <w:t>壮大邹城市玻纤产业基地规模，重点发展低介电、低膨胀、超细、高强、高模等特种玻纤，推动玻纤与碳纤维、陶瓷纤维等复合材料协同创新，打造全国领先的特种玻纤及制品生产基地。</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（1）泰山玻纤特种纤维布项目（2）高性能玻纤复合新材料智能制造二期项目等。</w:t>
            </w:r>
          </w:p>
        </w:tc>
      </w:tr>
    </w:tbl>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第五节  建设全省新一代信息技术产业高地</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机器人、集成电路和电子信息两条重点产业链，着力提升邹城市机器人产业园、济宁高新区智能终端产业园、曲阜电子信息产业园发展能级。发挥济宁市产业技术研究院、赛迪研究院山东分院等平台支撑作用，大力攻坚机器人核心零部件等关键领域，积极构建机器人全产业链发展体系，建成全国有影响力的机器人产业基地，推动集成电路、智能终端、软件服务、数字内容等特色产业集群发展。到2030年，全市新一代信息技术产业集群规上企业营业收入达到600亿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9" w:hRule="atLeast"/>
          <w:jc w:val="center"/>
        </w:trPr>
        <w:tc>
          <w:tcPr>
            <w:tcW w:w="8958" w:type="dxa"/>
            <w:vAlign w:val="center"/>
          </w:tcPr>
          <w:p>
            <w:pPr>
              <w:pStyle w:val="17"/>
              <w:spacing w:line="440" w:lineRule="exact"/>
              <w:rPr>
                <w:rFonts w:ascii="方正黑体简体" w:eastAsia="方正黑体简体" w:cs="Times New Roman"/>
                <w:sz w:val="30"/>
                <w:szCs w:val="30"/>
              </w:rPr>
            </w:pPr>
            <w:r>
              <w:rPr>
                <w:rFonts w:hint="eastAsia" w:ascii="方正黑体简体" w:eastAsia="方正黑体简体" w:cs="Times New Roman"/>
                <w:kern w:val="0"/>
                <w:sz w:val="30"/>
                <w:szCs w:val="30"/>
              </w:rPr>
              <w:t>专栏6  新一代信息技术产业集群重点领域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0" w:hRule="atLeast"/>
          <w:jc w:val="center"/>
        </w:trPr>
        <w:tc>
          <w:tcPr>
            <w:tcW w:w="8958" w:type="dxa"/>
            <w:vAlign w:val="center"/>
          </w:tcPr>
          <w:p>
            <w:pPr>
              <w:pStyle w:val="16"/>
              <w:adjustRightInd w:val="0"/>
              <w:snapToGrid w:val="0"/>
              <w:spacing w:line="48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机器人产业链。</w:t>
            </w:r>
            <w:r>
              <w:rPr>
                <w:rFonts w:hint="eastAsia" w:ascii="方正仿宋简体" w:eastAsia="方正仿宋简体" w:cs="Times New Roman"/>
                <w:bCs/>
                <w:sz w:val="28"/>
                <w:szCs w:val="28"/>
              </w:rPr>
              <w:t>推进建设</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一网五中心</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产业支撑平台，完善机器人产业发展生态，健全机器人研发设计、零部件制造、整机生产、集成应用产业发展体系，围绕工业机器人、特种机器人、服务机器人、人形机器人等开发一批标志性产品，规划建设济宁机器人产业园，打造邹城市、济宁高新区两个产业集聚高地。</w:t>
            </w:r>
          </w:p>
          <w:p>
            <w:pPr>
              <w:pStyle w:val="16"/>
              <w:adjustRightInd w:val="0"/>
              <w:snapToGrid w:val="0"/>
              <w:spacing w:line="48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集成电路和电子信息产业链。</w:t>
            </w:r>
            <w:r>
              <w:rPr>
                <w:rFonts w:hint="eastAsia" w:ascii="方正仿宋简体" w:eastAsia="方正仿宋简体" w:cs="Times New Roman"/>
                <w:bCs/>
                <w:sz w:val="28"/>
                <w:szCs w:val="28"/>
              </w:rPr>
              <w:t>做强高端电子基材、芯片封装测试、高性能智能终端等优势产业，打造集成电路、智能终端、软件和信息服务、通讯网络、云和大数据服务、教育服务六大产业集群。</w:t>
            </w:r>
          </w:p>
          <w:p>
            <w:pPr>
              <w:pStyle w:val="16"/>
              <w:adjustRightInd w:val="0"/>
              <w:snapToGrid w:val="0"/>
              <w:spacing w:line="480" w:lineRule="exact"/>
              <w:ind w:firstLine="561" w:firstLineChars="0"/>
              <w:rPr>
                <w:rFonts w:ascii="方正仿宋简体" w:eastAsia="方正仿宋简体" w:cs="Times New Roman"/>
                <w:sz w:val="28"/>
                <w:szCs w:val="28"/>
              </w:rPr>
            </w:pPr>
            <w:r>
              <w:rPr>
                <w:rFonts w:hint="eastAsia" w:ascii="方正仿宋简体" w:eastAsia="方正仿宋简体" w:cs="Times New Roman"/>
                <w:bCs/>
                <w:sz w:val="28"/>
                <w:szCs w:val="28"/>
              </w:rPr>
              <w:t>（1）天岳半导体高纯度石墨加工项目（2）融发数字内容生产总部项目等。</w:t>
            </w:r>
          </w:p>
        </w:tc>
      </w:tr>
    </w:tbl>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第六节  建设全国特色食品名城</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农副食品加工、食品制造两条重点产业链，大力发展粮油加工、畜禽制品、特色果蔬、调味制造产业，延伸拓展健康食品、方便休闲食品、特色食品等领域，积极构建“一县一主业”差异化发展格局，打造千亿级食品产业集群。到2030年，全市现代食品产业集群规上工业营业收入达到1200亿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12" w:type="dxa"/>
          </w:tcPr>
          <w:p>
            <w:pPr>
              <w:pStyle w:val="17"/>
              <w:rPr>
                <w:rFonts w:ascii="方正黑体简体" w:eastAsia="方正黑体简体" w:cs="Times New Roman"/>
                <w:bCs w:val="0"/>
                <w:sz w:val="30"/>
                <w:szCs w:val="30"/>
              </w:rPr>
            </w:pPr>
            <w:r>
              <w:rPr>
                <w:rFonts w:hint="eastAsia" w:ascii="方正黑体简体" w:eastAsia="方正黑体简体" w:cs="Times New Roman"/>
                <w:kern w:val="0"/>
                <w:sz w:val="30"/>
                <w:szCs w:val="30"/>
              </w:rPr>
              <w:t>专栏7  现代食品产业集群重点领域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84" w:hRule="atLeast"/>
          <w:jc w:val="center"/>
        </w:trPr>
        <w:tc>
          <w:tcPr>
            <w:tcW w:w="8912" w:type="dxa"/>
            <w:vAlign w:val="center"/>
          </w:tcPr>
          <w:p>
            <w:pPr>
              <w:pStyle w:val="16"/>
              <w:adjustRightInd w:val="0"/>
              <w:snapToGrid w:val="0"/>
              <w:spacing w:line="50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农副食品加工产业链。</w:t>
            </w:r>
            <w:r>
              <w:rPr>
                <w:rFonts w:hint="eastAsia" w:ascii="方正仿宋简体" w:eastAsia="方正仿宋简体" w:cs="Times New Roman"/>
                <w:bCs/>
                <w:sz w:val="28"/>
                <w:szCs w:val="28"/>
              </w:rPr>
              <w:t>构建粮油精深加工全产业链，推动大豆蛋白、甘薯淀粉等规模化生产，重点发展果蔬精深加工、高附加值功能性饲料添加剂、调味制品，加快金乡大蒜、兖州粮油、汶上芦花鸡、邹城食用菌、泗水甘薯、鱼台大米等特色食品产业基地建设，鼓励金乡食品产业园、金乡商贸物流园等园区特色化发展。</w:t>
            </w:r>
          </w:p>
          <w:p>
            <w:pPr>
              <w:pStyle w:val="16"/>
              <w:adjustRightInd w:val="0"/>
              <w:snapToGrid w:val="0"/>
              <w:spacing w:line="500" w:lineRule="exact"/>
              <w:ind w:firstLine="562"/>
              <w:rPr>
                <w:rFonts w:ascii="方正仿宋简体" w:eastAsia="方正仿宋简体" w:cs="Times New Roman"/>
                <w:bCs/>
                <w:sz w:val="28"/>
                <w:szCs w:val="28"/>
              </w:rPr>
            </w:pPr>
            <w:r>
              <w:rPr>
                <w:rFonts w:hint="eastAsia" w:ascii="方正仿宋简体" w:eastAsia="方正仿宋简体" w:cs="Times New Roman"/>
                <w:bCs/>
                <w:sz w:val="28"/>
                <w:szCs w:val="28"/>
              </w:rPr>
              <w:t>（1）嘉冠150万吨饲料蛋白及副产品深加工项目（2）融汇年产105万吨植物蛋白加工项目（3）储鹏生鲜农产品供应链（精细加工）数字化集成项目（4）山东（邹城）食用菌智慧工厂及精深加工产业园（5）中蒜籽复合调味料项目等。</w:t>
            </w:r>
          </w:p>
          <w:p>
            <w:pPr>
              <w:pStyle w:val="16"/>
              <w:adjustRightInd w:val="0"/>
              <w:snapToGrid w:val="0"/>
              <w:spacing w:line="50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食品制造产业链。</w:t>
            </w:r>
            <w:r>
              <w:rPr>
                <w:rFonts w:hint="eastAsia" w:ascii="方正仿宋简体" w:eastAsia="方正仿宋简体" w:cs="Times New Roman"/>
                <w:bCs/>
                <w:sz w:val="28"/>
                <w:szCs w:val="28"/>
              </w:rPr>
              <w:t>重点发展全谷物制品、低GI烘焙、代餐棒、冻干零食、肉禽制品、果蔬饮料等方便休闲食品，打造</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预制菜+休闲即食</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产品体系，创新发展高端特色酒，鼓励泗水县、金乡县、汶上县、梁山县等食品加工产业发展壮大。</w:t>
            </w:r>
          </w:p>
          <w:p>
            <w:pPr>
              <w:pStyle w:val="16"/>
              <w:adjustRightInd w:val="0"/>
              <w:snapToGrid w:val="0"/>
              <w:spacing w:line="500" w:lineRule="exact"/>
              <w:ind w:firstLine="562"/>
              <w:rPr>
                <w:rFonts w:ascii="方正仿宋简体" w:eastAsia="方正仿宋简体" w:cs="Times New Roman"/>
                <w:sz w:val="28"/>
                <w:szCs w:val="28"/>
              </w:rPr>
            </w:pPr>
            <w:r>
              <w:rPr>
                <w:rFonts w:hint="eastAsia" w:ascii="方正仿宋简体" w:eastAsia="方正仿宋简体" w:cs="Times New Roman"/>
                <w:bCs/>
                <w:sz w:val="28"/>
                <w:szCs w:val="28"/>
              </w:rPr>
              <w:t>（1）伟龙食品加工智能化生产项目（2）无穷食品生产基地建设项目（二期）（3）金乡稻香村健康烘焙食品智慧云仓全产业链项目（4）山东晨睿乳糖蛋白提取项目（5）华颂肉制品预制菜全产业链项目（6）燕京啤酒年产100万吨啤酒生产基地项目等。</w:t>
            </w:r>
          </w:p>
        </w:tc>
      </w:tr>
    </w:tbl>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第七节  培育区域重要的现代医药产业基地</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聚焦化学制药、现代中药、医疗器械三条产业链，加快创新药、首仿药、中药新品种研发和产业化步伐，加</w:t>
      </w:r>
      <w:r>
        <w:rPr>
          <w:rFonts w:hint="eastAsia" w:ascii="方正仿宋简体" w:hAnsi="文星仿宋" w:eastAsia="方正仿宋简体" w:cs="方正仿宋简体"/>
          <w:b/>
          <w:color w:val="000000"/>
          <w:sz w:val="32"/>
          <w:szCs w:val="32"/>
          <w:lang w:eastAsia="zh-CN"/>
        </w:rPr>
        <w:t>强</w:t>
      </w:r>
      <w:r>
        <w:rPr>
          <w:rFonts w:hint="eastAsia" w:ascii="方正仿宋简体" w:hAnsi="文星仿宋" w:eastAsia="方正仿宋简体" w:cs="方正仿宋简体"/>
          <w:b/>
          <w:color w:val="000000"/>
          <w:sz w:val="32"/>
          <w:szCs w:val="32"/>
        </w:rPr>
        <w:t>分子诊断、药食同源产品、高端医学影像设备等新兴技术研发，打造区域重要医药产业基地。到2030年，全市现代医药产业集群规上工业营业收入达到650亿元。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8909" w:type="dxa"/>
            <w:vAlign w:val="center"/>
          </w:tcPr>
          <w:p>
            <w:pPr>
              <w:pStyle w:val="17"/>
              <w:spacing w:line="440" w:lineRule="exact"/>
              <w:ind w:firstLine="561"/>
              <w:rPr>
                <w:rFonts w:ascii="方正黑体简体" w:eastAsia="方正黑体简体" w:cs="Times New Roman"/>
                <w:bCs w:val="0"/>
                <w:sz w:val="28"/>
                <w:szCs w:val="28"/>
              </w:rPr>
            </w:pPr>
            <w:r>
              <w:rPr>
                <w:rFonts w:hint="eastAsia" w:ascii="方正黑体简体" w:eastAsia="方正黑体简体" w:cs="Times New Roman"/>
                <w:kern w:val="0"/>
                <w:sz w:val="28"/>
                <w:szCs w:val="28"/>
              </w:rPr>
              <w:t>专栏8  现代医药产业集群重点领域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05" w:hRule="atLeast"/>
          <w:jc w:val="center"/>
        </w:trPr>
        <w:tc>
          <w:tcPr>
            <w:tcW w:w="8909" w:type="dxa"/>
            <w:vAlign w:val="center"/>
          </w:tcPr>
          <w:p>
            <w:pPr>
              <w:pStyle w:val="16"/>
              <w:adjustRightInd w:val="0"/>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化学制药产业链。</w:t>
            </w:r>
            <w:r>
              <w:rPr>
                <w:rFonts w:hint="eastAsia" w:ascii="方正仿宋简体" w:eastAsia="方正仿宋简体" w:cs="Times New Roman"/>
                <w:bCs/>
                <w:sz w:val="28"/>
                <w:szCs w:val="28"/>
              </w:rPr>
              <w:t>聚焦原料药、制剂一体化、生物制药、兽药等方向，推动化学制药从</w:t>
            </w:r>
            <w:r>
              <w:rPr>
                <w:rFonts w:hint="eastAsia" w:ascii="方正仿宋简体" w:hAnsi="方正仿宋简体" w:eastAsia="方正仿宋简体" w:cs="方正仿宋简体"/>
                <w:bCs/>
                <w:sz w:val="28"/>
                <w:szCs w:val="28"/>
              </w:rPr>
              <w:t>单一制剂</w:t>
            </w:r>
            <w:r>
              <w:rPr>
                <w:rFonts w:hint="eastAsia" w:ascii="方正仿宋简体" w:eastAsia="方正仿宋简体" w:cs="Times New Roman"/>
                <w:bCs/>
                <w:sz w:val="28"/>
                <w:szCs w:val="28"/>
              </w:rPr>
              <w:t>向</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原料药+制剂一体化</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发展，重点发展创新药、高端仿制药、特色原料药，推动</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药包辅</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生产企业完成GMP升级改造，建成国内领先的辅料保障集群。</w:t>
            </w:r>
          </w:p>
          <w:p>
            <w:pPr>
              <w:pStyle w:val="16"/>
              <w:adjustRightInd w:val="0"/>
              <w:snapToGrid w:val="0"/>
              <w:spacing w:line="42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鲁抗高端制剂智能制造车间建设项目（2）辰欣佛都药业高端外用制剂项目（3）众嘉泓扬肝素钠提取及生物制品生产项目（4）神州生物制药高端医药产业园（5）盛安贝年产3000吨生物医药中间体和原料药项目等。</w:t>
            </w:r>
          </w:p>
          <w:p>
            <w:pPr>
              <w:pStyle w:val="16"/>
              <w:adjustRightInd w:val="0"/>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现代中药产业链。</w:t>
            </w:r>
            <w:r>
              <w:rPr>
                <w:rFonts w:hint="eastAsia" w:ascii="方正仿宋简体" w:eastAsia="方正仿宋简体" w:cs="Times New Roman"/>
                <w:bCs/>
                <w:sz w:val="28"/>
                <w:szCs w:val="28"/>
              </w:rPr>
              <w:t>以传承创新、智能制造、品牌提升为主线，推动中药企业绑定中药材种养殖产地，保障稳定供应和优质道地药材品质。鼓励中药饮片、中成药企业向</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配方颗粒、经典名方、智能制剂</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升级。推动种养殖产业通过GAP认证，建设南四湖水生中药材种养区，打造南四湖中医药产业集群。</w:t>
            </w:r>
          </w:p>
          <w:p>
            <w:pPr>
              <w:pStyle w:val="16"/>
              <w:adjustRightInd w:val="0"/>
              <w:snapToGrid w:val="0"/>
              <w:spacing w:line="42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（1）强柏中药材小秦中药材精品加工项目（2）鲁方中药饮片产业链创新创业共同体项目（3）儒圣药业年产1万吨中药提取制剂项目（4）康源堂中医药大健康产业项目等。</w:t>
            </w:r>
          </w:p>
          <w:p>
            <w:pPr>
              <w:pStyle w:val="16"/>
              <w:adjustRightInd w:val="0"/>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医疗器械产业链。</w:t>
            </w:r>
            <w:r>
              <w:rPr>
                <w:rFonts w:hint="eastAsia" w:ascii="方正仿宋简体" w:eastAsia="方正仿宋简体" w:cs="Times New Roman"/>
                <w:bCs/>
                <w:sz w:val="28"/>
                <w:szCs w:val="28"/>
              </w:rPr>
              <w:t>重点发展医学影像、体外诊断、智能医疗设备、高值耗材，突破高端医疗器械等前沿赛道。</w:t>
            </w:r>
          </w:p>
          <w:p>
            <w:pPr>
              <w:pStyle w:val="16"/>
              <w:adjustRightInd w:val="0"/>
              <w:snapToGrid w:val="0"/>
              <w:spacing w:line="420" w:lineRule="exact"/>
              <w:ind w:firstLine="561" w:firstLineChars="0"/>
              <w:rPr>
                <w:rFonts w:ascii="方正仿宋简体" w:eastAsia="方正仿宋简体" w:cs="Times New Roman"/>
                <w:sz w:val="28"/>
                <w:szCs w:val="28"/>
              </w:rPr>
            </w:pPr>
            <w:r>
              <w:rPr>
                <w:rFonts w:hint="eastAsia" w:ascii="方正仿宋简体" w:eastAsia="方正仿宋简体" w:cs="Times New Roman"/>
                <w:bCs/>
                <w:sz w:val="28"/>
                <w:szCs w:val="28"/>
              </w:rPr>
              <w:t>（1）中汇华诺生物医药科技生产项目（2）山东友康新型医疗器械生产项目（3）山东中源美承年产5000万支生物制剂项目等。</w:t>
            </w:r>
          </w:p>
        </w:tc>
      </w:tr>
    </w:tbl>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第二章  优化提升五大重点传统产业</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坚持先立后破，以煤炭、造纸、轮胎、轻工纺织、建材等传统产业为重点，加快设备更新、工艺升级、数字赋能、管理创新，</w:t>
      </w:r>
      <w:r>
        <w:rPr>
          <w:rFonts w:hint="eastAsia" w:ascii="方正仿宋简体" w:hAnsi="文星仿宋" w:eastAsia="方正仿宋简体" w:cs="方正仿宋简体"/>
          <w:b/>
          <w:color w:val="000000"/>
          <w:spacing w:val="-6"/>
          <w:sz w:val="32"/>
          <w:szCs w:val="32"/>
        </w:rPr>
        <w:t>增强质量技术基础能力，争取国家制造业新型技术改造城市试点。</w:t>
      </w:r>
    </w:p>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第一节  推动煤炭行业向新向绿转型</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机械化换人、自动化减人、智能化无人，充分发挥兖矿能源集团、山东融汇集团产业基础优势，加快5G、物联网、人工智能等技术在开采、运输和洗选环节深度应用，推动AI智慧矿山大模型应用，推广充填开采和保水开采等绿色开采技术，加快建设一批智能矿山。到2030年，全市煤炭智能化开采产量占比达到95%，保持全省领先水平。</w:t>
      </w:r>
    </w:p>
    <w:p>
      <w:pPr>
        <w:spacing w:line="54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第二节  推动造纸产业绿色循环发展</w:t>
      </w:r>
    </w:p>
    <w:p>
      <w:pPr>
        <w:spacing w:line="54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提升林浆纸一体化水平，鼓励开发绿色健康、特殊用途新产品，鼓励太阳新材料产业园发展，延伸拓展纸制品产业链，建设先进浆纸及纸制品基地，打造具有国际竞争力的纸业品牌。到2030年，全市造纸产业营业收入突破1200亿元。</w:t>
      </w:r>
    </w:p>
    <w:p>
      <w:pPr>
        <w:spacing w:line="54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第三节  建成橡胶轮胎国际化企业聚集区</w:t>
      </w:r>
    </w:p>
    <w:p>
      <w:pPr>
        <w:spacing w:line="54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深化与国际知名企业合资合作，大力发展超高性能轮胎、新能源汽车专用轮胎，形成上下游配套联动、技术创新支撑的发展模式，打造橡胶轮胎研发制造基地。到2030年，全市橡胶轮胎产业营业收入突破1000亿元。</w:t>
      </w:r>
    </w:p>
    <w:p>
      <w:pPr>
        <w:spacing w:line="54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第四节  形成国内具有竞争力的现代轻工纺织产业集群</w:t>
      </w:r>
    </w:p>
    <w:p>
      <w:pPr>
        <w:spacing w:line="54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sz w:val="32"/>
          <w:szCs w:val="32"/>
        </w:rPr>
        <w:t>聚焦莱赛尔纤维、精纺面料、休闲服装、滑雪手套、智能家居、工艺美术等重点行业，</w:t>
      </w:r>
      <w:r>
        <w:rPr>
          <w:rFonts w:hint="eastAsia" w:ascii="方正仿宋简体" w:hAnsi="文星仿宋" w:eastAsia="方正仿宋简体" w:cs="方正仿宋简体"/>
          <w:b/>
          <w:color w:val="000000"/>
          <w:sz w:val="32"/>
          <w:szCs w:val="32"/>
        </w:rPr>
        <w:t>创新发展模式，加快与新技术、新材料、文化、创意、时尚等融合，发展中高端产品，培育自主品牌，提升供给水平和供给质量。持续挖掘石雕、木雕、鲁锦等非遗文化内涵，促进工艺美术与现代设计融合。建设鱼台纺织新材料产业园，鼓励汶上纺织工业园、嘉祥手套产业园发展壮大，靶向招引原料供应、高端纺纱、绿色印染、品牌服装等产业配套企业，打造全国重要的纺织服装产业基地。到2030年，全市轻工纺织产业营业收入突破500亿元。</w:t>
      </w:r>
    </w:p>
    <w:p>
      <w:pPr>
        <w:spacing w:line="57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第五节  发展特色鲜明的绿色建材产业</w:t>
      </w:r>
    </w:p>
    <w:p>
      <w:pPr>
        <w:spacing w:line="57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坚持“控总量、优结构、提品质”，以水泥等领域减污降碳、节能降耗为重点，改造提升原料制备、炉窑控制、破碎粉磨等装备、技术，积极发展钢结构等特色建筑和节能一体化新型建材，加快装配式建筑应用，促进建筑工厂化、产业化、部品化，打造特色鲜明的绿色建材产业。到2030年，全市建材产业营业收入突破300亿元。</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925" w:type="dxa"/>
            <w:vAlign w:val="center"/>
          </w:tcPr>
          <w:p>
            <w:pPr>
              <w:pStyle w:val="17"/>
              <w:spacing w:line="440" w:lineRule="exact"/>
              <w:rPr>
                <w:rFonts w:ascii="方正黑体简体" w:eastAsia="方正黑体简体" w:cs="Times New Roman"/>
                <w:bCs w:val="0"/>
                <w:sz w:val="30"/>
                <w:szCs w:val="30"/>
              </w:rPr>
            </w:pPr>
            <w:r>
              <w:rPr>
                <w:rFonts w:hint="eastAsia" w:ascii="方正黑体简体" w:eastAsia="方正黑体简体" w:cs="Times New Roman"/>
                <w:kern w:val="0"/>
                <w:sz w:val="30"/>
                <w:szCs w:val="30"/>
              </w:rPr>
              <w:t>专栏9  传统产业优化提升四大行动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90" w:hRule="atLeast"/>
          <w:jc w:val="center"/>
        </w:trPr>
        <w:tc>
          <w:tcPr>
            <w:tcW w:w="8925" w:type="dxa"/>
            <w:vAlign w:val="center"/>
          </w:tcPr>
          <w:p>
            <w:pPr>
              <w:numPr>
                <w:ilvl w:val="255"/>
                <w:numId w:val="0"/>
              </w:numPr>
              <w:adjustRightInd w:val="0"/>
              <w:snapToGrid w:val="0"/>
              <w:spacing w:line="400" w:lineRule="exact"/>
              <w:ind w:firstLine="561"/>
              <w:rPr>
                <w:rFonts w:ascii="方正仿宋简体" w:eastAsia="方正仿宋简体"/>
                <w:b/>
                <w:bCs/>
                <w:sz w:val="28"/>
                <w:szCs w:val="28"/>
              </w:rPr>
            </w:pPr>
            <w:r>
              <w:rPr>
                <w:rFonts w:hint="eastAsia" w:ascii="方正黑体简体" w:eastAsia="方正黑体简体"/>
                <w:b/>
                <w:bCs/>
                <w:sz w:val="28"/>
                <w:szCs w:val="28"/>
              </w:rPr>
              <w:t>产业基础再造行动。</w:t>
            </w:r>
            <w:r>
              <w:rPr>
                <w:rFonts w:hint="eastAsia" w:ascii="方正仿宋简体" w:eastAsia="方正仿宋简体"/>
                <w:b/>
                <w:bCs/>
                <w:sz w:val="28"/>
                <w:szCs w:val="28"/>
              </w:rPr>
              <w:t>夯实关键产业环节，强化核心材料与工艺保障，支持建设面向橡胶、造纸、食品等行业的公共检测中心、中试基地和产业技术基础公共服务平台，为产业链企业提供共性技术支撑。引导企业</w:t>
            </w:r>
            <w:r>
              <w:rPr>
                <w:rFonts w:hint="eastAsia" w:ascii="方正仿宋简体" w:eastAsia="方正仿宋简体"/>
                <w:b/>
                <w:bCs/>
                <w:spacing w:val="-6"/>
                <w:sz w:val="28"/>
                <w:szCs w:val="28"/>
              </w:rPr>
              <w:t>持续加大设备更新和技术改造力度，每年推动1000家左右企业转型升级。</w:t>
            </w:r>
          </w:p>
          <w:p>
            <w:pPr>
              <w:adjustRightInd w:val="0"/>
              <w:snapToGrid w:val="0"/>
              <w:spacing w:line="400" w:lineRule="exact"/>
              <w:ind w:firstLine="561"/>
              <w:rPr>
                <w:rFonts w:ascii="方正仿宋简体" w:eastAsia="方正仿宋简体"/>
                <w:b/>
                <w:bCs/>
                <w:sz w:val="28"/>
                <w:szCs w:val="28"/>
              </w:rPr>
            </w:pPr>
            <w:r>
              <w:rPr>
                <w:rFonts w:hint="eastAsia" w:ascii="方正黑体简体" w:eastAsia="方正黑体简体"/>
                <w:b/>
                <w:bCs/>
                <w:sz w:val="28"/>
                <w:szCs w:val="28"/>
              </w:rPr>
              <w:t>智能制造赋能行动。</w:t>
            </w:r>
            <w:r>
              <w:rPr>
                <w:rFonts w:hint="eastAsia" w:ascii="方正仿宋简体" w:eastAsia="方正仿宋简体"/>
                <w:b/>
                <w:bCs/>
                <w:sz w:val="28"/>
                <w:szCs w:val="28"/>
              </w:rPr>
              <w:t>推进传统产业智改数转网联，实施全链条数字化改造，加快人工智能、大数据、云计算、5G、物联网等信息技术与制造全过程、全要素深度融合，推广应用新型传感、先进控制等智能部件，培育一批智能制造典型场景，打造一批数字园区、产业大脑、智能工厂。</w:t>
            </w:r>
          </w:p>
          <w:p>
            <w:pPr>
              <w:adjustRightInd w:val="0"/>
              <w:snapToGrid w:val="0"/>
              <w:spacing w:line="400" w:lineRule="exact"/>
              <w:ind w:firstLine="561"/>
              <w:rPr>
                <w:rFonts w:ascii="方正仿宋简体" w:eastAsia="方正仿宋简体"/>
                <w:b/>
                <w:bCs/>
                <w:sz w:val="28"/>
                <w:szCs w:val="28"/>
              </w:rPr>
            </w:pPr>
            <w:r>
              <w:rPr>
                <w:rFonts w:hint="eastAsia" w:ascii="方正黑体简体" w:eastAsia="方正黑体简体"/>
                <w:b/>
                <w:bCs/>
                <w:sz w:val="28"/>
                <w:szCs w:val="28"/>
              </w:rPr>
              <w:t>节能降碳攻坚行动。</w:t>
            </w:r>
            <w:r>
              <w:rPr>
                <w:rFonts w:hint="eastAsia" w:ascii="方正仿宋简体" w:eastAsia="方正仿宋简体"/>
                <w:b/>
                <w:bCs/>
                <w:sz w:val="28"/>
                <w:szCs w:val="28"/>
              </w:rPr>
              <w:t>加强绿色低碳先进技术创新和应用，推进电机、风机、泵、压缩机、变压器、换热器、工业锅炉等重点用能设备节能增效。完善工业领域重点行业节能管理制度，推进节能降碳技术改造，加快推进煤电、造纸、建材等行业超低排放改造。持续推进工业园区循环化改造，提升工业废水循环利用、余热余压综合利用水平，推广泗水海螺</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零外购电</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工业园模式。</w:t>
            </w:r>
          </w:p>
          <w:p>
            <w:pPr>
              <w:adjustRightInd w:val="0"/>
              <w:snapToGrid w:val="0"/>
              <w:spacing w:line="400" w:lineRule="exact"/>
              <w:ind w:firstLine="561"/>
              <w:rPr>
                <w:rFonts w:ascii="方正仿宋简体" w:eastAsia="方正仿宋简体"/>
                <w:b/>
                <w:bCs/>
                <w:sz w:val="28"/>
                <w:szCs w:val="28"/>
              </w:rPr>
            </w:pPr>
            <w:r>
              <w:rPr>
                <w:rFonts w:hint="eastAsia" w:ascii="方正黑体简体" w:eastAsia="方正黑体简体"/>
                <w:b/>
                <w:bCs/>
                <w:sz w:val="28"/>
                <w:szCs w:val="28"/>
              </w:rPr>
              <w:t>质量标杆引领行动。</w:t>
            </w:r>
            <w:r>
              <w:rPr>
                <w:rFonts w:hint="eastAsia" w:ascii="方正仿宋简体" w:eastAsia="方正仿宋简体"/>
                <w:b/>
                <w:bCs/>
                <w:sz w:val="28"/>
                <w:szCs w:val="28"/>
              </w:rPr>
              <w:t>实施卓越质量工程，强化质量支撑和标准引领，健全质量奖、</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好品山东</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梯次培育体系，持续开展质量、技术、政策</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三帮扶</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活动，推进</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泰山品质</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高端认证培育，健全完善先进质量管理体系，实施工业品牌塑造行动，深入开展制造业增品种、提品质、创品牌</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三品</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专项行动，持续提升纺织、食品、造纸等品牌美誉度和影响力。推动计量事业发展。</w:t>
            </w:r>
          </w:p>
        </w:tc>
      </w:tr>
    </w:tbl>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第三章  抢位发展四大新兴产业和未来产业</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加快新技术新产品新场景大规模应用，积极嵌入京津冀、长三角、粤港澳大湾区等城市群产业链，推动战略性新兴产业提质扩量、未来产业加快布局，打造具有全国影响力和竞争力的新兴产业和未来产业发展高地。</w:t>
      </w:r>
    </w:p>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第一节  打造全省低空经济发展引领区</w:t>
      </w:r>
    </w:p>
    <w:p>
      <w:pPr>
        <w:spacing w:line="600" w:lineRule="exact"/>
        <w:ind w:firstLine="642" w:firstLineChars="200"/>
        <w:rPr>
          <w:rFonts w:ascii="方正仿宋简体" w:hAnsi="文星仿宋" w:eastAsia="方正仿宋简体" w:cs="方正仿宋简体"/>
          <w:b/>
          <w:color w:val="000000"/>
          <w:sz w:val="32"/>
          <w:szCs w:val="32"/>
          <w:highlight w:val="yellow"/>
        </w:rPr>
      </w:pPr>
      <w:r>
        <w:rPr>
          <w:rFonts w:hint="eastAsia" w:ascii="方正仿宋简体" w:hAnsi="文星仿宋" w:eastAsia="方正仿宋简体" w:cs="方正仿宋简体"/>
          <w:b/>
          <w:color w:val="000000"/>
          <w:sz w:val="32"/>
          <w:szCs w:val="32"/>
        </w:rPr>
        <w:t>加快建设济宁高新区航空航天产业城，打造科比特低空经济集聚区、泰一科技低空数据应用区，布局建设北大—城市发展空天信息技术联合实验室，构建覆盖整机生产、核心零部件制造、本体制造、系统集成和多应用场景解决方案的全产业链条。以大安机场和规划建设的梁山、微山通用机场为依托，构建低空服务网、航线网、智联网、基础设施网，在文旅、农业、应急、城市治理等领域多维度拓展应用场景。到2030年，建成市级低空智能网联系统，建设各类起降点40个以上，开通物流、文旅、应急等低空航线100条以上，培育低空生产制造、场景运营领域规上企业30家。</w:t>
      </w:r>
    </w:p>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第二节  建设人工智能应用高地</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深入实施“人工智能+”行动，持续培育壮大人工智能产业链，推动“人工智能+”行业深度赋能和区域全覆盖。聚焦“人工智能+工业”，加强省“万兆+人工智能（AI）”园区试点建设，以算网协同赋能工业园区数智转型。深化工业领域行业大模型“揭榜挂帅”攻关，推动大模型在工程机械、矿山、化工等特色领域深度应用，支持企业生产智能化、无人化产品，扎实推动人工智能赋能新型工业化。围绕“人工智能+农业”，在大田种植、渔业、畜牧、设施农业等领域因地制宜发展智慧农业，持续推进农机装备智能化发展，深化北斗系统在农业生产中的推广应用，提高农业装备智能感知、作业等能力。创新“人工智能+文旅”，充分应用AI、元宇宙等新技术，迭代升级智能导览、智能讲解、智能助手等服务，加快推动三孔景区、微山湖旅游区、水泊梁山等景区焕新、业态更新、场景创新，加大高品质文化旅游产品和服务供给。建立人工智能高端人才数据库。到2030年，培育人</w:t>
      </w:r>
      <w:r>
        <w:rPr>
          <w:rFonts w:hint="eastAsia" w:ascii="方正仿宋简体" w:hAnsi="文星仿宋" w:eastAsia="方正仿宋简体" w:cs="方正仿宋简体"/>
          <w:b/>
          <w:color w:val="000000"/>
          <w:spacing w:val="-6"/>
          <w:sz w:val="32"/>
          <w:szCs w:val="32"/>
        </w:rPr>
        <w:t>工智能典型应用场景80个以上，打造山东省人工智能发展新高地</w:t>
      </w:r>
      <w:r>
        <w:rPr>
          <w:rFonts w:hint="eastAsia" w:ascii="方正仿宋简体" w:hAnsi="文星仿宋" w:eastAsia="方正仿宋简体" w:cs="方正仿宋简体"/>
          <w:b/>
          <w:color w:val="000000"/>
          <w:sz w:val="32"/>
          <w:szCs w:val="32"/>
        </w:rPr>
        <w:t>。</w:t>
      </w:r>
    </w:p>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第三节  构筑具身智能产业高地</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大力攻关控制系统、多模态感知等关键核心技术，加大具身智能大模型研发力度，加快推进具身智能产业布局，在初步</w:t>
      </w:r>
      <w:r>
        <w:rPr>
          <w:rFonts w:hint="eastAsia" w:ascii="方正仿宋简体" w:hAnsi="文星仿宋" w:eastAsia="方正仿宋简体" w:cs="方正仿宋简体"/>
          <w:b/>
          <w:color w:val="000000"/>
          <w:sz w:val="32"/>
          <w:szCs w:val="32"/>
          <w:lang w:eastAsia="zh-CN"/>
        </w:rPr>
        <w:t>应</w:t>
      </w:r>
      <w:r>
        <w:rPr>
          <w:rFonts w:hint="eastAsia" w:ascii="方正仿宋简体" w:hAnsi="文星仿宋" w:eastAsia="方正仿宋简体" w:cs="方正仿宋简体"/>
          <w:b/>
          <w:color w:val="000000"/>
          <w:sz w:val="32"/>
          <w:szCs w:val="32"/>
        </w:rPr>
        <w:t>用和潜在需求领域拓展新兴应用，打造一批典型应用场景，培育一批行业系统解决方案提供商。构建以邹城市、济宁高新区为主，以曲阜市、汶上县、梁山县、济宁经开区为辅的“双园+多点”发展格局。全力实施“机器人+AI”战略，支持企业攻坚研发人形机器人、养老服务机器人、扫地机器人、无人机、无人车等具身智能产品。</w:t>
      </w:r>
    </w:p>
    <w:p>
      <w:pPr>
        <w:spacing w:line="600" w:lineRule="exact"/>
        <w:ind w:firstLine="642" w:firstLineChars="200"/>
        <w:rPr>
          <w:rFonts w:ascii="方正楷体简体" w:hAnsi="文星仿宋" w:eastAsia="方正楷体简体" w:cs="方正仿宋简体"/>
          <w:b/>
          <w:color w:val="000000"/>
          <w:sz w:val="32"/>
          <w:szCs w:val="32"/>
        </w:rPr>
      </w:pPr>
      <w:r>
        <w:rPr>
          <w:rFonts w:hint="eastAsia" w:ascii="方正楷体简体" w:hAnsi="文星仿宋" w:eastAsia="方正楷体简体" w:cs="方正仿宋简体"/>
          <w:b/>
          <w:color w:val="000000"/>
          <w:sz w:val="32"/>
          <w:szCs w:val="32"/>
        </w:rPr>
        <w:t>第四节  布局生物制造发展赛道</w:t>
      </w:r>
    </w:p>
    <w:p>
      <w:pPr>
        <w:spacing w:line="600" w:lineRule="exact"/>
        <w:ind w:firstLine="642" w:firstLineChars="200"/>
        <w:rPr>
          <w:rFonts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聚焦生物医药新产品研发及生物合成新技术应用，依托山东省工业生物技术产业转化平台、济宁合成生物聚合平台等载体，规划建设邹城市鲁南生物制造产业集聚区、全国特色生物基材料基地、济宁高新区合成生物产业起步区。有序推动合成生物学前沿创新技术在生物基材料、生物酶制剂、生物育种、生物农药、动物疫苗与生物兽药、环境修复与碳中和等领域应用，构建技术领先、链条完整的产业体系。</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1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6" w:hRule="atLeast"/>
          <w:jc w:val="center"/>
        </w:trPr>
        <w:tc>
          <w:tcPr>
            <w:tcW w:w="8914" w:type="dxa"/>
            <w:vAlign w:val="center"/>
          </w:tcPr>
          <w:p>
            <w:pPr>
              <w:pStyle w:val="17"/>
              <w:spacing w:line="440" w:lineRule="exact"/>
              <w:rPr>
                <w:rFonts w:ascii="方正黑体简体" w:eastAsia="方正黑体简体" w:cs="Times New Roman"/>
                <w:bCs w:val="0"/>
                <w:sz w:val="30"/>
                <w:szCs w:val="30"/>
              </w:rPr>
            </w:pPr>
            <w:r>
              <w:rPr>
                <w:rFonts w:hint="eastAsia" w:ascii="方正黑体简体" w:eastAsia="方正黑体简体" w:cs="Times New Roman"/>
                <w:kern w:val="0"/>
                <w:sz w:val="30"/>
                <w:szCs w:val="30"/>
              </w:rPr>
              <w:t>专栏10  新兴产业和未来产业重点领域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29" w:hRule="atLeast"/>
          <w:jc w:val="center"/>
        </w:trPr>
        <w:tc>
          <w:tcPr>
            <w:tcW w:w="8914" w:type="dxa"/>
            <w:vAlign w:val="center"/>
          </w:tcPr>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低</w:t>
            </w:r>
            <w:r>
              <w:rPr>
                <w:rFonts w:hint="eastAsia" w:ascii="方正黑体简体" w:eastAsia="方正黑体简体" w:cs="Times New Roman"/>
                <w:bCs/>
                <w:spacing w:val="-6"/>
                <w:sz w:val="28"/>
                <w:szCs w:val="28"/>
              </w:rPr>
              <w:t>空经济。</w:t>
            </w:r>
            <w:r>
              <w:rPr>
                <w:rFonts w:hint="eastAsia" w:ascii="方正仿宋简体" w:eastAsia="方正仿宋简体" w:cs="Times New Roman"/>
                <w:bCs/>
                <w:spacing w:val="-6"/>
                <w:sz w:val="28"/>
                <w:szCs w:val="28"/>
              </w:rPr>
              <w:t>加快构建</w:t>
            </w:r>
            <w:r>
              <w:rPr>
                <w:rFonts w:hint="eastAsia" w:ascii="方正仿宋简体" w:hAnsi="方正仿宋简体" w:eastAsia="方正仿宋简体" w:cs="方正仿宋简体"/>
                <w:bCs/>
                <w:spacing w:val="-6"/>
                <w:sz w:val="28"/>
                <w:szCs w:val="28"/>
              </w:rPr>
              <w:t>“</w:t>
            </w:r>
            <w:r>
              <w:rPr>
                <w:rFonts w:hint="eastAsia" w:ascii="方正仿宋简体" w:eastAsia="方正仿宋简体" w:cs="Times New Roman"/>
                <w:bCs/>
                <w:spacing w:val="-6"/>
                <w:sz w:val="28"/>
                <w:szCs w:val="28"/>
              </w:rPr>
              <w:t>空域管理科学化、基础设施网络化、产业体系高端化、运营服务智能化、安全监管精准化</w:t>
            </w:r>
            <w:r>
              <w:rPr>
                <w:rFonts w:hint="eastAsia" w:ascii="方正仿宋简体" w:hAnsi="方正仿宋简体" w:eastAsia="方正仿宋简体" w:cs="方正仿宋简体"/>
                <w:bCs/>
                <w:spacing w:val="-6"/>
                <w:sz w:val="28"/>
                <w:szCs w:val="28"/>
              </w:rPr>
              <w:t>”</w:t>
            </w:r>
            <w:r>
              <w:rPr>
                <w:rFonts w:hint="eastAsia" w:ascii="方正仿宋简体" w:eastAsia="方正仿宋简体" w:cs="Times New Roman"/>
                <w:bCs/>
                <w:spacing w:val="-6"/>
                <w:sz w:val="28"/>
                <w:szCs w:val="28"/>
              </w:rPr>
              <w:t>的低空经济高质量发展体系</w:t>
            </w:r>
            <w:r>
              <w:rPr>
                <w:rFonts w:hint="eastAsia" w:ascii="方正仿宋简体" w:eastAsia="方正仿宋简体" w:cs="Times New Roman"/>
                <w:bCs/>
                <w:sz w:val="28"/>
                <w:szCs w:val="28"/>
              </w:rPr>
              <w:t>。</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谋划布局（1）济宁市通航飞机（含民航客机）维修站项目（2）济宁市无人机试飞试验（检验检测）基地项目（3）山东时代大型eVTOL总</w:t>
            </w:r>
            <w:r>
              <w:rPr>
                <w:rFonts w:hint="eastAsia" w:ascii="方正仿宋简体" w:eastAsia="方正仿宋简体" w:cs="Times New Roman"/>
                <w:bCs/>
                <w:spacing w:val="-6"/>
                <w:sz w:val="28"/>
                <w:szCs w:val="28"/>
              </w:rPr>
              <w:t>装基地项目（4）中科宇疆</w:t>
            </w:r>
            <w:r>
              <w:rPr>
                <w:rFonts w:hint="eastAsia" w:ascii="方正仿宋简体" w:hAnsi="方正仿宋简体" w:eastAsia="方正仿宋简体" w:cs="方正仿宋简体"/>
                <w:bCs/>
                <w:spacing w:val="-6"/>
                <w:sz w:val="28"/>
                <w:szCs w:val="28"/>
              </w:rPr>
              <w:t>“</w:t>
            </w:r>
            <w:r>
              <w:rPr>
                <w:rFonts w:hint="eastAsia" w:ascii="方正仿宋简体" w:eastAsia="方正仿宋简体" w:cs="Times New Roman"/>
                <w:bCs/>
                <w:spacing w:val="-6"/>
                <w:sz w:val="28"/>
                <w:szCs w:val="28"/>
              </w:rPr>
              <w:t>北斗+低空</w:t>
            </w:r>
            <w:r>
              <w:rPr>
                <w:rFonts w:hint="eastAsia" w:ascii="方正仿宋简体" w:hAnsi="方正仿宋简体" w:eastAsia="方正仿宋简体" w:cs="方正仿宋简体"/>
                <w:bCs/>
                <w:spacing w:val="-6"/>
                <w:sz w:val="28"/>
                <w:szCs w:val="28"/>
              </w:rPr>
              <w:t>”</w:t>
            </w:r>
            <w:r>
              <w:rPr>
                <w:rFonts w:hint="eastAsia" w:ascii="方正仿宋简体" w:eastAsia="方正仿宋简体" w:cs="Times New Roman"/>
                <w:bCs/>
                <w:spacing w:val="-6"/>
                <w:sz w:val="28"/>
                <w:szCs w:val="28"/>
              </w:rPr>
              <w:t>相控阵雷达及通信导航模块生产项目（5）济宁龙翼航空大载重物流无人机项目</w:t>
            </w:r>
            <w:r>
              <w:rPr>
                <w:rFonts w:hint="eastAsia" w:ascii="方正仿宋简体" w:eastAsia="方正仿宋简体" w:cs="Times New Roman"/>
                <w:bCs/>
                <w:sz w:val="28"/>
                <w:szCs w:val="28"/>
              </w:rPr>
              <w:t>等。</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人工智能+。</w:t>
            </w:r>
            <w:r>
              <w:rPr>
                <w:rFonts w:hint="eastAsia" w:ascii="方正仿宋简体" w:eastAsia="方正仿宋简体" w:cs="Times New Roman"/>
                <w:bCs/>
                <w:sz w:val="28"/>
                <w:szCs w:val="28"/>
              </w:rPr>
              <w:t>加速构建</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优算力+大模型+强应用</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生态，推动人工智能与产业发展、文化建设、民生保障、社会治理等重点行业深度融合。</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（1）山东融汇基于AI视频的矿井安全风险感知与智能防控关键技术研究及应用项目（2）华亿钢机建筑健康智能检测服务平台（3）工程机械实验验证能力提升项目等。</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具身智能。</w:t>
            </w:r>
            <w:r>
              <w:rPr>
                <w:rFonts w:hint="eastAsia" w:ascii="方正仿宋简体" w:eastAsia="方正仿宋简体" w:cs="Times New Roman"/>
                <w:bCs/>
                <w:sz w:val="28"/>
                <w:szCs w:val="28"/>
              </w:rPr>
              <w:t>积极推进机器人与AI深度融合，攻坚感知系统、控制系统等底层核心技术，强化融合力觉、视觉与位置等多维感知能力的具身智能产品研发与应用，研发轮式双臂机器人、无人推土机等具身智能产品，提供智能化产线解决方案，满足多场景柔性化、无人化生产需求，打通无人工厂落地的</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最后一公里</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生物制造。</w:t>
            </w:r>
            <w:r>
              <w:rPr>
                <w:rFonts w:hint="eastAsia" w:ascii="方正仿宋简体" w:eastAsia="方正仿宋简体" w:cs="Times New Roman"/>
                <w:bCs/>
                <w:sz w:val="28"/>
                <w:szCs w:val="28"/>
              </w:rPr>
              <w:t>支持邹城市、济宁高新区打造生物制造产业集聚区，重点布局生物医药、生物化工、生物基新材料、保健食品原料、中试平台等核心板块。</w:t>
            </w:r>
          </w:p>
          <w:p>
            <w:pPr>
              <w:pStyle w:val="16"/>
              <w:adjustRightInd w:val="0"/>
              <w:snapToGrid w:val="0"/>
              <w:spacing w:line="440" w:lineRule="exact"/>
              <w:ind w:firstLine="561" w:firstLineChars="0"/>
              <w:rPr>
                <w:rFonts w:ascii="方正仿宋简体" w:eastAsia="方正仿宋简体" w:cs="Times New Roman"/>
                <w:bCs/>
                <w:sz w:val="28"/>
                <w:szCs w:val="28"/>
              </w:rPr>
            </w:pPr>
            <w:r>
              <w:rPr>
                <w:rFonts w:hint="eastAsia" w:ascii="方正仿宋简体" w:eastAsia="方正仿宋简体" w:cs="Times New Roman"/>
                <w:bCs/>
                <w:sz w:val="28"/>
                <w:szCs w:val="28"/>
              </w:rPr>
              <w:t>（1）济宁合成生物产业园（2）非粮碳源微生物蛋白油脂制造技术及装备研发项目（3）鲁抗生物农药基地项目等。</w:t>
            </w:r>
          </w:p>
        </w:tc>
      </w:tr>
    </w:tbl>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第四章  打造全省服务业标杆城市</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以服务产业转型升级为导向，推动生产性服务业向专业化和价值链高端延伸、生活性服务业高品质多样化便利化发展，加快构建优质高效的服务业新体系。</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实施生产性服务业扩能增效行动</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扩大内河航运优势，推动物流业降本增效，持续壮大港航经济，促进港产城融合发展。壮大商贸服务、现代物流、软件信息、科技服务、现代金融、节能环保等产业规模。推动数智技术应用，聚力发展科技研发、检验检测、科技金融、会计法律、人力资源、商务会展等高端服务业。发展数字贸易、跨境电商、海外仓等新业态，加快培育内外贸一体化经营综合服务平台，打造“易盈出海”等具有国际影响力的服务品牌。到2030年，生产性服务业营业收入（销售额）突破9000亿元。</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推动“两业融合”深度发展</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依托山东时代新能源电池产业基地、新加坡金鹰集团莱赛尔纤维、小松全球智能制造产业基地等项目，拓展服务型制造业态，延伸布局生产性服务业产业链。推动制造业企业向提供系统解决方案、供应链管理、个性化定制等“产品+服务”解决方案提供商转型，打造“宁家服务”后市场服务品牌。鼓励建设创新成果转化中试基地，搭建行业应用共性平台，培育数字经济、智慧物流等融合发展应用场景。发挥济宁高新区、天意机械、蜗牛货车网等“两业融合”典型引领作用，深化现代服务业与先进制造业、现代农业融合发展，培育“两业融合”试点企业30家以上。</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实施生活性服务业扩容提质行动</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动文化旅游、健康养老、家政托育、休闲体育等生活性服务业提档升级，推动生活性服务业企业连锁化品牌化发展。完善服务消费标准体系，鼓励企业积极参与文化旅游、养老托育、家政服务等生活服务领域标准制定、修订，研制新型消费标准。丰富多元供给，增加普惠型、改善型服务供给，完善线上线下生活服务圈，促进多业态融合发展。优化基本公共服务设施布局，完善便民服务综合体、服务门店和网点等嵌入式城乡服务设施，提升生活服务便利化水平。</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强化服务业平台载体建设</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大力发展总部经济，积极争取国内外行业领军企业在济设立区域性、功能型总部。加快金融商务、创业孵化、文化创意等新兴产业集聚发展，提升生产性服务业集聚区能级，着力打造具有区域影响力的特色园区和楼宇。推动“人工智能+”“服务业+”跨界融合项目建设，加快形成人机协同、跨界融合的智能经济。开展产业创新行动，培育产业互联网、生产性赋能、生活性服务、新型设施等服务平台，促进平台经济健康发展。加快发展会展经济，积极引导承办国内外知名会展、大型会议、高端论坛。打造县域服务业综合改革试点。到2030年，全市培育生产性服务业领军企业20家以上，布局打造100家高能级平台，提升产业集聚效应和辐射带动能力。</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jc w:val="center"/>
        </w:trPr>
        <w:tc>
          <w:tcPr>
            <w:tcW w:w="8940" w:type="dxa"/>
            <w:vAlign w:val="center"/>
          </w:tcPr>
          <w:p>
            <w:pPr>
              <w:pStyle w:val="16"/>
              <w:snapToGrid w:val="0"/>
              <w:spacing w:line="440" w:lineRule="exact"/>
              <w:ind w:firstLine="0" w:firstLineChars="0"/>
              <w:jc w:val="center"/>
              <w:rPr>
                <w:rFonts w:ascii="方正黑体简体" w:eastAsia="方正黑体简体" w:cs="Times New Roman"/>
                <w:bCs/>
                <w:sz w:val="30"/>
                <w:szCs w:val="30"/>
              </w:rPr>
            </w:pPr>
            <w:r>
              <w:rPr>
                <w:rFonts w:hint="eastAsia" w:ascii="方正黑体简体" w:eastAsia="方正黑体简体" w:cs="Times New Roman"/>
                <w:bCs/>
                <w:sz w:val="30"/>
                <w:szCs w:val="30"/>
              </w:rPr>
              <w:t>专栏11  生产性服务业发展重点支撑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26" w:hRule="atLeast"/>
          <w:jc w:val="center"/>
        </w:trPr>
        <w:tc>
          <w:tcPr>
            <w:tcW w:w="8940" w:type="dxa"/>
            <w:vAlign w:val="center"/>
          </w:tcPr>
          <w:p>
            <w:pPr>
              <w:widowControl/>
              <w:snapToGrid w:val="0"/>
              <w:spacing w:line="420" w:lineRule="exact"/>
              <w:ind w:firstLine="561"/>
              <w:rPr>
                <w:rFonts w:ascii="方正仿宋简体" w:eastAsia="方正仿宋简体"/>
                <w:b/>
                <w:bCs/>
                <w:sz w:val="28"/>
                <w:szCs w:val="28"/>
              </w:rPr>
            </w:pPr>
            <w:bookmarkStart w:id="7" w:name="_Toc23945"/>
            <w:bookmarkStart w:id="8" w:name="_Toc14219"/>
            <w:bookmarkStart w:id="9" w:name="_Toc28091"/>
            <w:r>
              <w:rPr>
                <w:rFonts w:hint="eastAsia" w:ascii="方正黑体简体" w:eastAsia="方正黑体简体"/>
                <w:b/>
                <w:bCs/>
                <w:sz w:val="28"/>
                <w:szCs w:val="28"/>
              </w:rPr>
              <w:t>重点载体。</w:t>
            </w:r>
            <w:r>
              <w:rPr>
                <w:rFonts w:hint="eastAsia" w:ascii="方正仿宋简体" w:eastAsia="方正仿宋简体"/>
                <w:b/>
                <w:sz w:val="28"/>
                <w:szCs w:val="28"/>
              </w:rPr>
              <w:t>（1）任城区公铁水多式联运集聚区（2）运河新城现代商务商贸集聚区（3）嘉祥县</w:t>
            </w:r>
            <w:r>
              <w:rPr>
                <w:rFonts w:hint="eastAsia" w:ascii="方正仿宋简体" w:hAnsi="方正仿宋简体" w:eastAsia="方正仿宋简体" w:cs="方正仿宋简体"/>
                <w:b/>
                <w:sz w:val="28"/>
                <w:szCs w:val="28"/>
              </w:rPr>
              <w:t>“</w:t>
            </w:r>
            <w:r>
              <w:rPr>
                <w:rFonts w:hint="eastAsia" w:ascii="方正仿宋简体" w:eastAsia="方正仿宋简体"/>
                <w:b/>
                <w:sz w:val="28"/>
                <w:szCs w:val="28"/>
              </w:rPr>
              <w:t>两业</w:t>
            </w:r>
            <w:r>
              <w:rPr>
                <w:rFonts w:hint="eastAsia" w:ascii="方正仿宋简体" w:hAnsi="方正仿宋简体" w:eastAsia="方正仿宋简体" w:cs="方正仿宋简体"/>
                <w:b/>
                <w:sz w:val="28"/>
                <w:szCs w:val="28"/>
              </w:rPr>
              <w:t>”</w:t>
            </w:r>
            <w:r>
              <w:rPr>
                <w:rFonts w:hint="eastAsia" w:ascii="方正仿宋简体" w:eastAsia="方正仿宋简体"/>
                <w:b/>
                <w:sz w:val="28"/>
                <w:szCs w:val="28"/>
              </w:rPr>
              <w:t>融合集聚区（4）汶上县智慧云谷商贸物流产业园（5）济宁太白湖现代金融集聚区（6）济宁创新谷数字经济集聚区（7）卓朗检测服务创新中心（8）智联信通社区数智化服务创新中心（9）蜗牛货车二手商用车大数据应用创新中心（10）融汇数易平台（11）易盈出海外贸数智平台等。</w:t>
            </w:r>
            <w:bookmarkEnd w:id="7"/>
            <w:bookmarkEnd w:id="8"/>
            <w:bookmarkEnd w:id="9"/>
          </w:p>
          <w:p>
            <w:pPr>
              <w:snapToGrid w:val="0"/>
              <w:spacing w:line="420" w:lineRule="exact"/>
              <w:ind w:firstLine="561"/>
              <w:rPr>
                <w:rFonts w:ascii="方正仿宋简体" w:eastAsia="方正仿宋简体"/>
                <w:b/>
                <w:bCs/>
                <w:sz w:val="28"/>
                <w:szCs w:val="28"/>
              </w:rPr>
            </w:pPr>
            <w:r>
              <w:rPr>
                <w:rFonts w:hint="eastAsia" w:ascii="方正黑体简体" w:eastAsia="方正黑体简体"/>
                <w:b/>
                <w:bCs/>
                <w:sz w:val="28"/>
                <w:szCs w:val="28"/>
              </w:rPr>
              <w:t>重点项目。</w:t>
            </w:r>
            <w:r>
              <w:rPr>
                <w:rFonts w:hint="eastAsia" w:ascii="方正仿宋简体" w:eastAsia="方正仿宋简体"/>
                <w:b/>
                <w:sz w:val="28"/>
                <w:szCs w:val="28"/>
              </w:rPr>
              <w:t>（1）</w:t>
            </w:r>
            <w:r>
              <w:rPr>
                <w:rFonts w:hint="eastAsia" w:ascii="方正仿宋简体" w:hAnsi="方正仿宋简体" w:eastAsia="方正仿宋简体" w:cs="方正仿宋简体"/>
                <w:b/>
                <w:sz w:val="28"/>
                <w:szCs w:val="28"/>
              </w:rPr>
              <w:t>“</w:t>
            </w:r>
            <w:r>
              <w:rPr>
                <w:rFonts w:hint="eastAsia" w:ascii="方正仿宋简体" w:eastAsia="方正仿宋简体"/>
                <w:b/>
                <w:sz w:val="28"/>
                <w:szCs w:val="28"/>
              </w:rPr>
              <w:t>宁家服务</w:t>
            </w:r>
            <w:r>
              <w:rPr>
                <w:rFonts w:hint="eastAsia" w:ascii="方正仿宋简体" w:hAnsi="方正仿宋简体" w:eastAsia="方正仿宋简体" w:cs="方正仿宋简体"/>
                <w:b/>
                <w:sz w:val="28"/>
                <w:szCs w:val="28"/>
              </w:rPr>
              <w:t>”</w:t>
            </w:r>
            <w:r>
              <w:rPr>
                <w:rFonts w:hint="eastAsia" w:ascii="方正仿宋简体" w:eastAsia="方正仿宋简体"/>
                <w:b/>
                <w:sz w:val="28"/>
                <w:szCs w:val="28"/>
              </w:rPr>
              <w:t>山东零碳服务综合体项目（2）山东时代供应链智慧物流园项目（3）济宁金融中心项目（4）鱼台县公路港物流园项目（5）济宁江北粮食物流园项目（6）金乡县智慧云仓冷链物流基地项目（7）华驭未来智能驾驶全国运营中心项目（8）济宁冷链物流基地绿色智慧冷链物流园项目等。</w:t>
            </w:r>
          </w:p>
        </w:tc>
      </w:tr>
    </w:tbl>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第五章  做强现代产业园区</w:t>
      </w: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将产业园区作为推动全市经济高质量发展的主战场，突出规划引领、强化梯次培育、实施重点突破、创新运营机制，为全市经济绿色低碳高质量发展打造新增长极。到2030年，力争园区规上工业企业营业收入占全市规上工业的比重达到90%以上。</w:t>
      </w:r>
    </w:p>
    <w:p>
      <w:pPr>
        <w:spacing w:line="56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 xml:space="preserve">第一节  </w:t>
      </w:r>
      <w:r>
        <w:rPr>
          <w:rFonts w:hint="eastAsia" w:ascii="方正楷体简体" w:hAnsi="方正楷体简体" w:eastAsia="方正楷体简体" w:cs="方正楷体简体"/>
          <w:b/>
          <w:color w:val="000000" w:themeColor="text1"/>
          <w:sz w:val="32"/>
          <w:szCs w:val="32"/>
          <w14:textFill>
            <w14:solidFill>
              <w14:schemeClr w14:val="tx1"/>
            </w14:solidFill>
          </w14:textFill>
        </w:rPr>
        <w:t>构建“</w:t>
      </w:r>
      <w:r>
        <w:rPr>
          <w:rFonts w:ascii="方正楷体简体" w:hAnsi="方正楷体简体" w:eastAsia="方正楷体简体" w:cs="方正楷体简体"/>
          <w:b/>
          <w:color w:val="000000" w:themeColor="text1"/>
          <w:sz w:val="32"/>
          <w:szCs w:val="32"/>
          <w14:textFill>
            <w14:solidFill>
              <w14:schemeClr w14:val="tx1"/>
            </w14:solidFill>
          </w14:textFill>
        </w:rPr>
        <w:t>1+15+N</w:t>
      </w:r>
      <w:r>
        <w:rPr>
          <w:rFonts w:hint="eastAsia" w:ascii="方正楷体简体" w:hAnsi="方正楷体简体" w:eastAsia="方正楷体简体" w:cs="方正楷体简体"/>
          <w:b/>
          <w:color w:val="000000" w:themeColor="text1"/>
          <w:sz w:val="32"/>
          <w:szCs w:val="32"/>
          <w14:textFill>
            <w14:solidFill>
              <w14:schemeClr w14:val="tx1"/>
            </w14:solidFill>
          </w14:textFill>
        </w:rPr>
        <w:t>”</w:t>
      </w:r>
      <w:r>
        <w:rPr>
          <w:rFonts w:ascii="方正楷体简体" w:hAnsi="方正楷体简体" w:eastAsia="方正楷体简体" w:cs="方正楷体简体"/>
          <w:b/>
          <w:color w:val="000000" w:themeColor="text1"/>
          <w:sz w:val="32"/>
          <w:szCs w:val="32"/>
          <w14:textFill>
            <w14:solidFill>
              <w14:schemeClr w14:val="tx1"/>
            </w14:solidFill>
          </w14:textFill>
        </w:rPr>
        <w:t>产业园区布局</w:t>
      </w: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提升产业园区发展质效，努力建成1个2000亿级、3个1000亿级、5个500亿级产业园区，形成“一核引领、多极支撑、产业集聚、县域竞秀”的产业园区发展新格局。力争“十五五”末，济宁高新区在国家级高新区综合评价中进入全国前40位、对全市工业经济的贡献度达到20%以上，兖州高新区跻身省级高新区排头，邹城高新区进入省级高新区前列。</w:t>
      </w:r>
    </w:p>
    <w:p>
      <w:pPr>
        <w:spacing w:line="56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聚力突破重点产业园区</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聚焦做强“232”优势产业集群和15条标志性产业链，集中要素资源打造重点产业园区，推动“建成区存量优化、内涵提升，起步区增量崛起、精准打造，拓展区前瞻布局、全市统筹”，重点突破颜店新能源产业园、莱赛尔产业园、太阳新材料产业园、华勤工业园、恒信循环经济产业园、济宁（邹城）机器人产业园、兖矿智慧制造产业园等产业园建设，打造一批活力强劲、大见成效的特色园区。推动精准化、差异化发展，支持因地制宜发展小型工程机械、稀土新材料、机器人等专精特新园区。</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打造全方位系统化的产业生态</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创新园区开发运营体制机制，健全完善“五个一”工作机制，研究制定“1+1+N”政策体系，</w:t>
      </w:r>
      <w:r>
        <w:rPr>
          <w:rFonts w:hint="eastAsia" w:ascii="方正仿宋简体" w:hAnsi="文星仿宋" w:eastAsia="方正仿宋简体" w:cs="方正仿宋简体"/>
          <w:b/>
          <w:sz w:val="32"/>
          <w:szCs w:val="32"/>
        </w:rPr>
        <w:t>出台加快推动产业园区高质量发展的意见，</w:t>
      </w:r>
      <w:r>
        <w:rPr>
          <w:rFonts w:hint="eastAsia" w:ascii="方正仿宋简体" w:hAnsi="文星仿宋" w:eastAsia="方正仿宋简体" w:cs="方正仿宋简体"/>
          <w:b/>
          <w:color w:val="000000" w:themeColor="text1"/>
          <w:sz w:val="32"/>
          <w:szCs w:val="32"/>
          <w14:textFill>
            <w14:solidFill>
              <w14:schemeClr w14:val="tx1"/>
            </w14:solidFill>
          </w14:textFill>
        </w:rPr>
        <w:t>县市区因地制宜编制开发区发展规划。坚持“市场化建园区、专业化管园区”，提升园区内道路、电力、燃气、供水、通信、供热、地下综合管廊等配套基础设施，降低园区运营成本。全面加强金融、土地、人才等专项政策支持，积极推行“3+N”标准地供应，采取股权投资等市场化方式，强化多元化融资支持，统筹推动资源要素集约利用。</w:t>
      </w:r>
    </w:p>
    <w:tbl>
      <w:tblPr>
        <w:tblStyle w:val="8"/>
        <w:tblW w:w="492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85" w:type="dxa"/>
            <w:vAlign w:val="center"/>
          </w:tcPr>
          <w:p>
            <w:pPr>
              <w:snapToGrid w:val="0"/>
              <w:spacing w:line="420" w:lineRule="exact"/>
              <w:jc w:val="center"/>
              <w:rPr>
                <w:rFonts w:ascii="方正黑体简体" w:eastAsia="方正黑体简体"/>
                <w:b/>
                <w:bCs/>
                <w:sz w:val="30"/>
                <w:szCs w:val="30"/>
              </w:rPr>
            </w:pPr>
            <w:r>
              <w:rPr>
                <w:rFonts w:hint="eastAsia" w:ascii="方正黑体简体" w:eastAsia="方正黑体简体"/>
                <w:b/>
                <w:bCs/>
                <w:sz w:val="30"/>
                <w:szCs w:val="30"/>
              </w:rPr>
              <w:t xml:space="preserve">专栏12  </w:t>
            </w:r>
            <w:r>
              <w:rPr>
                <w:rFonts w:hint="eastAsia" w:ascii="方正黑体简体" w:hAnsi="方正仿宋简体" w:eastAsia="方正黑体简体" w:cs="方正仿宋简体"/>
                <w:b/>
                <w:bCs/>
                <w:sz w:val="30"/>
                <w:szCs w:val="30"/>
              </w:rPr>
              <w:t>“</w:t>
            </w:r>
            <w:r>
              <w:rPr>
                <w:rFonts w:hint="eastAsia" w:ascii="方正黑体简体" w:eastAsia="方正黑体简体"/>
                <w:b/>
                <w:bCs/>
                <w:sz w:val="30"/>
                <w:szCs w:val="30"/>
              </w:rPr>
              <w:t>1+15</w:t>
            </w:r>
            <w:r>
              <w:rPr>
                <w:rFonts w:hint="eastAsia" w:ascii="方正黑体简体" w:hAnsi="方正仿宋简体" w:eastAsia="方正黑体简体" w:cs="方正仿宋简体"/>
                <w:b/>
                <w:bCs/>
                <w:sz w:val="30"/>
                <w:szCs w:val="30"/>
              </w:rPr>
              <w:t>”</w:t>
            </w:r>
            <w:r>
              <w:rPr>
                <w:rFonts w:hint="eastAsia" w:ascii="方正黑体简体" w:eastAsia="方正黑体简体"/>
                <w:b/>
                <w:bCs/>
                <w:sz w:val="30"/>
                <w:szCs w:val="30"/>
              </w:rPr>
              <w:t>国家、省级开发区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86" w:hRule="atLeast"/>
          <w:jc w:val="center"/>
        </w:trPr>
        <w:tc>
          <w:tcPr>
            <w:tcW w:w="8985" w:type="dxa"/>
            <w:vAlign w:val="center"/>
          </w:tcPr>
          <w:p>
            <w:pPr>
              <w:widowControl/>
              <w:snapToGrid w:val="0"/>
              <w:spacing w:line="420" w:lineRule="exact"/>
              <w:ind w:firstLine="562"/>
              <w:jc w:val="left"/>
              <w:rPr>
                <w:rFonts w:ascii="方正仿宋简体" w:eastAsia="方正仿宋简体"/>
                <w:b/>
                <w:sz w:val="28"/>
                <w:szCs w:val="28"/>
              </w:rPr>
            </w:pPr>
            <w:r>
              <w:rPr>
                <w:rFonts w:hint="eastAsia" w:ascii="方正黑体简体" w:eastAsia="方正黑体简体"/>
                <w:b/>
                <w:bCs/>
                <w:kern w:val="2"/>
                <w:sz w:val="28"/>
                <w:szCs w:val="28"/>
              </w:rPr>
              <w:t>国家级开发区。</w:t>
            </w:r>
            <w:r>
              <w:rPr>
                <w:rFonts w:hint="eastAsia" w:ascii="方正仿宋简体" w:eastAsia="方正仿宋简体"/>
                <w:b/>
                <w:sz w:val="28"/>
                <w:szCs w:val="28"/>
              </w:rPr>
              <w:t>济宁高新技术产业开发区。</w:t>
            </w:r>
          </w:p>
          <w:p>
            <w:pPr>
              <w:widowControl/>
              <w:snapToGrid w:val="0"/>
              <w:spacing w:line="420" w:lineRule="exact"/>
              <w:ind w:firstLine="562"/>
              <w:jc w:val="left"/>
              <w:rPr>
                <w:rFonts w:ascii="方正仿宋简体" w:eastAsia="方正仿宋简体"/>
                <w:b/>
                <w:sz w:val="28"/>
                <w:szCs w:val="28"/>
              </w:rPr>
            </w:pPr>
            <w:r>
              <w:rPr>
                <w:rFonts w:hint="eastAsia" w:ascii="方正黑体简体" w:eastAsia="方正黑体简体"/>
                <w:b/>
                <w:bCs/>
                <w:kern w:val="2"/>
                <w:sz w:val="28"/>
                <w:szCs w:val="28"/>
              </w:rPr>
              <w:t>省级开发区。</w:t>
            </w:r>
            <w:r>
              <w:rPr>
                <w:rFonts w:hint="eastAsia" w:ascii="方正仿宋简体" w:eastAsia="方正仿宋简体"/>
                <w:b/>
                <w:kern w:val="2"/>
                <w:sz w:val="28"/>
                <w:szCs w:val="28"/>
              </w:rPr>
              <w:t>（1）济宁运河经济开发区（2）兖州工业园区（含兖州化学助剂产业园）（3）曲阜经济开发区（4）泗水经济开发区（5）邹城经济开发区（含邹城化工产业园）（6）微山经济开发区（7）鱼台经济开发区（含鱼台张黄化工产业园）（8）金乡经济开发区（9）嘉祥经济开发区（含嘉祥化工产业园）（10）汶上经济开发区（含汶上化工产业园）（11）</w:t>
            </w:r>
            <w:r>
              <w:rPr>
                <w:rFonts w:hint="eastAsia" w:ascii="方正仿宋简体" w:eastAsia="方正仿宋简体"/>
                <w:b/>
                <w:spacing w:val="-6"/>
                <w:kern w:val="2"/>
                <w:sz w:val="28"/>
                <w:szCs w:val="28"/>
              </w:rPr>
              <w:t>梁山经济开发区（含梁山涂料产业园）（12）济宁经济开发区（13）兖州高新技术产业开发区（14）邹城高新技术产业开发区（15）济宁化工产业园</w:t>
            </w:r>
            <w:r>
              <w:rPr>
                <w:rFonts w:hint="eastAsia" w:ascii="方正仿宋简体" w:eastAsia="方正仿宋简体"/>
                <w:b/>
                <w:kern w:val="2"/>
                <w:sz w:val="28"/>
                <w:szCs w:val="28"/>
              </w:rPr>
              <w:t>。</w:t>
            </w:r>
          </w:p>
        </w:tc>
      </w:tr>
    </w:tbl>
    <w:p>
      <w:pPr>
        <w:spacing w:line="600" w:lineRule="exact"/>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第四篇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推动科技创新和产业创新深度融合，</w:t>
      </w: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引领发展新质生产力</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创新在现代化建设全局中的核心地位，统筹教育强市、科技强市、人才强市建设，以发展新质生产力为导向，推动产业链、人才链、教育链、创新链、金融链“五链”融合，打造在全省有重要影响力的科技创新中心和区域创新高地。到2030年，全社会研发投入强度达到2.6%，高新技术产业产值占比达到60%左右。</w:t>
      </w:r>
    </w:p>
    <w:p>
      <w:pPr>
        <w:overflowPunct w:val="0"/>
        <w:adjustRightInd w:val="0"/>
        <w:spacing w:line="600" w:lineRule="exact"/>
        <w:jc w:val="center"/>
        <w:rPr>
          <w:rFonts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第一章  加快建设高水平创新型城市</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主动融入国内外创新网络，完善跨区域创新资源共享机制，打造以济宁高新区为核心区，兖州、邹城2个省级高新区为辐射带动区的“一核两极”创新发展格局。</w:t>
      </w:r>
    </w:p>
    <w:p>
      <w:pPr>
        <w:spacing w:line="600" w:lineRule="exact"/>
        <w:ind w:firstLine="642" w:firstLineChars="200"/>
        <w:rPr>
          <w:rFonts w:ascii="方正楷体简体" w:hAnsi="仿宋" w:eastAsia="方正楷体简体" w:cs="方正仿宋简体"/>
          <w:b/>
          <w:color w:val="000000" w:themeColor="text1"/>
          <w:sz w:val="32"/>
          <w:szCs w:val="32"/>
          <w14:textFill>
            <w14:solidFill>
              <w14:schemeClr w14:val="tx1"/>
            </w14:solidFill>
          </w14:textFill>
        </w:rPr>
      </w:pPr>
      <w:r>
        <w:rPr>
          <w:rFonts w:hint="eastAsia" w:ascii="方正楷体简体" w:hAnsi="仿宋" w:eastAsia="方正楷体简体" w:cs="方正仿宋简体"/>
          <w:b/>
          <w:color w:val="000000" w:themeColor="text1"/>
          <w:sz w:val="32"/>
          <w:szCs w:val="32"/>
          <w14:textFill>
            <w14:solidFill>
              <w14:schemeClr w14:val="tx1"/>
            </w14:solidFill>
          </w14:textFill>
        </w:rPr>
        <w:t>第一节  着力培育一流创新主体</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标志性产业链科技创新专项行动，深入推进高新技术企业倍增行动，壮大科技型企业队伍，打造“微成长、小升高、高壮大”梯度培育链条。突出企业创新主体地位，通过科技孵化载体培育、科研人员创办、传统产业改造等方式，形成科技型企业矩阵。实施企业研发项目备案制，支持企业设立研发准备金制度，支持企业联合高校院所、科研机构等组建创新联合体，加大研发投入，承担更多的国家和省科技攻关任务。完善“瞪羚”“独角兽”企业遴选发现和培育壮大机制，力争每年培育省级以上专精特新企业、瞪羚企业、单项冠军企业、“小巨人”企业100家。到2030年，全市培育高新技术企业突破4000家。</w:t>
      </w:r>
    </w:p>
    <w:p>
      <w:pPr>
        <w:spacing w:line="600" w:lineRule="exact"/>
        <w:ind w:firstLine="642" w:firstLineChars="200"/>
        <w:rPr>
          <w:rFonts w:ascii="方正楷体简体" w:hAnsi="仿宋" w:eastAsia="方正楷体简体" w:cs="方正仿宋简体"/>
          <w:b/>
          <w:color w:val="000000" w:themeColor="text1"/>
          <w:sz w:val="32"/>
          <w:szCs w:val="32"/>
          <w14:textFill>
            <w14:solidFill>
              <w14:schemeClr w14:val="tx1"/>
            </w14:solidFill>
          </w14:textFill>
        </w:rPr>
      </w:pPr>
      <w:r>
        <w:rPr>
          <w:rFonts w:hint="eastAsia" w:ascii="方正楷体简体" w:hAnsi="仿宋" w:eastAsia="方正楷体简体" w:cs="方正仿宋简体"/>
          <w:b/>
          <w:color w:val="000000" w:themeColor="text1"/>
          <w:sz w:val="32"/>
          <w:szCs w:val="32"/>
          <w14:textFill>
            <w14:solidFill>
              <w14:schemeClr w14:val="tx1"/>
            </w14:solidFill>
          </w14:textFill>
        </w:rPr>
        <w:t>第二节  建设更高能级科创平台</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优化科创资源布局，精准引进一批高层次高校院所与我市共建创新平台，提升原始创新能力。发挥省科学院激光研究所“一带一路”联合实验室作用，探索建设科技基础设施和大科学装置。支持驻济高校、科研院所和全国重点实验室等创新平台开展有组织的高水平科技攻关。高标准建设和争创一批国家级、省级技术创新中心、制造业创新中心、新兴产业创新中心等，年均新增市级创新平台100家以上。发挥济宁市产业技术研究院、山东省先进碳材料工程技术研究院、山东省稀土研究院、济宁科创材料科学研究院等引领作用，推动创新平台全产业覆盖。引导支持宁德时代、新加坡金鹰集团在济宁设立研发机构。支持企业开展离岸创新，深化科技领域国际交流合作，到2030年，建成省级以上国际合作基地7家以上。</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977" w:type="dxa"/>
            <w:vAlign w:val="center"/>
          </w:tcPr>
          <w:p>
            <w:pPr>
              <w:spacing w:line="420" w:lineRule="exact"/>
              <w:jc w:val="center"/>
              <w:rPr>
                <w:rFonts w:ascii="方正黑体简体" w:eastAsia="方正黑体简体"/>
                <w:b/>
                <w:sz w:val="30"/>
                <w:szCs w:val="30"/>
              </w:rPr>
            </w:pPr>
            <w:r>
              <w:rPr>
                <w:rFonts w:hint="eastAsia" w:ascii="方正黑体简体" w:eastAsia="方正黑体简体"/>
                <w:b/>
                <w:bCs/>
                <w:sz w:val="30"/>
                <w:szCs w:val="30"/>
              </w:rPr>
              <w:t>专栏13  重大创新平台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8977" w:type="dxa"/>
            <w:vAlign w:val="center"/>
          </w:tcPr>
          <w:p>
            <w:pPr>
              <w:pStyle w:val="16"/>
              <w:numPr>
                <w:ilvl w:val="255"/>
                <w:numId w:val="0"/>
              </w:numPr>
              <w:snapToGrid w:val="0"/>
              <w:spacing w:line="42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重点科技研发平台</w:t>
            </w:r>
            <w:r>
              <w:rPr>
                <w:rFonts w:hint="eastAsia" w:ascii="方正黑体简体" w:eastAsia="方正黑体简体" w:cs="Times New Roman"/>
                <w:sz w:val="28"/>
                <w:szCs w:val="28"/>
              </w:rPr>
              <w:t>。</w:t>
            </w:r>
            <w:r>
              <w:rPr>
                <w:rFonts w:hint="eastAsia" w:ascii="方正仿宋简体" w:eastAsia="方正仿宋简体" w:cs="Times New Roman"/>
                <w:bCs/>
                <w:sz w:val="28"/>
                <w:szCs w:val="28"/>
              </w:rPr>
              <w:t>（1）山东省橡胶基高</w:t>
            </w:r>
            <w:r>
              <w:rPr>
                <w:rFonts w:hint="eastAsia" w:ascii="方正仿宋简体" w:eastAsia="方正仿宋简体" w:cs="Times New Roman"/>
                <w:sz w:val="28"/>
                <w:szCs w:val="28"/>
              </w:rPr>
              <w:t>性能复合材料与先进制造重点实验室（2）山东省土方机械智慧施工技术重点实验室（3）山东省光电传感技术重点实验室（4）山东省细胞生物医疗技术重点实验室（5）山东省地热清洁能源重点实验室（6）山东省稀土材料绿色低碳回收及应用重点实验室（7）山东省生物基材料技术创新中心（8）山东省基因工程菌改造选育技术创新中心（9）山东省智能建造装备技术创新中心（10）新风光电能质量山东省工程研究中心等。</w:t>
            </w:r>
          </w:p>
          <w:p>
            <w:pPr>
              <w:pStyle w:val="16"/>
              <w:snapToGrid w:val="0"/>
              <w:spacing w:line="480" w:lineRule="exact"/>
              <w:ind w:firstLine="562"/>
              <w:rPr>
                <w:rFonts w:ascii="方正仿宋简体" w:eastAsia="方正仿宋简体" w:cs="Times New Roman"/>
                <w:bCs/>
                <w:sz w:val="28"/>
                <w:szCs w:val="28"/>
              </w:rPr>
            </w:pPr>
            <w:r>
              <w:rPr>
                <w:rFonts w:hint="eastAsia" w:ascii="方正黑体简体" w:eastAsia="方正黑体简体" w:cs="Times New Roman"/>
                <w:bCs/>
                <w:sz w:val="28"/>
                <w:szCs w:val="28"/>
              </w:rPr>
              <w:t>重点产业创新平台。</w:t>
            </w:r>
            <w:r>
              <w:rPr>
                <w:rFonts w:hint="eastAsia" w:ascii="方正仿宋简体" w:eastAsia="方正仿宋简体" w:cs="Times New Roman"/>
                <w:bCs/>
                <w:sz w:val="28"/>
                <w:szCs w:val="28"/>
              </w:rPr>
              <w:t>（1）高分子材料成型装备大模型智能创新应用中心（2）多模态工业大模型融合应用平台（3）电化学储能概念验证中心（4）高性能轮胎设计与研发国际合作基地（5）山东省工业生物技术科技成果转化中试基地（6）莱赛尔纤维创新基地（7）颜店新城小型微型企业创业创新基地（8）工业互联网数字智慧园区（9）钴镓再生中试中心（10）山东科技创新发展济宁基地（11）亚太区李尔汽车线束产能提升基地等。</w:t>
            </w:r>
          </w:p>
          <w:p>
            <w:pPr>
              <w:pStyle w:val="16"/>
              <w:snapToGrid w:val="0"/>
              <w:spacing w:line="48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科技资源共享平台。</w:t>
            </w:r>
            <w:r>
              <w:rPr>
                <w:rFonts w:hint="eastAsia" w:ascii="方正仿宋简体" w:eastAsia="方正仿宋简体" w:cs="Times New Roman"/>
                <w:sz w:val="28"/>
                <w:szCs w:val="28"/>
              </w:rPr>
              <w:t>（1）济宁市</w:t>
            </w:r>
            <w:r>
              <w:rPr>
                <w:rFonts w:hint="eastAsia" w:ascii="方正仿宋简体" w:eastAsia="方正仿宋简体" w:cs="Times New Roman"/>
                <w:bCs/>
                <w:sz w:val="28"/>
                <w:szCs w:val="28"/>
              </w:rPr>
              <w:t>产业技术研究院（2）山东省先进碳材料工程技术研究院（3）山东省稀土研究院（4）济宁市未来先进材料与技术创新研究院（5）山东省智能机器人应用技术研究院（6）济宁中科先进技术研究院（7）济宁科创材料科学研究院（8）山东诺明康药物研究院等。</w:t>
            </w:r>
          </w:p>
        </w:tc>
      </w:tr>
    </w:tbl>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强化关键核心技术攻关</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强基础研究和应用基础研究，精准实施重大科技攻关任务，完善关键核心技术遴选分类机制，支持企业参与科研攻关需求征集和榜单编制，梳理标志性产业链、重点产业链“卡脖子”技术，滚动制定关键核心技术攻关清单。聚焦集成电路、工程机械、工业母机、智慧矿井、合成生物、新能源船舶等重点领域，每年精准实施100项左右重大科技创新项目。创新技术攻关组织模式，实施“揭榜挂帅”“技术总师负责制”“军令状”等制度，引导企业组建体系化、任务型创新联合体，建立多方参与协调机制，每年牵头或参与省级以上重大科技攻关项目10项以上。优</w:t>
      </w:r>
      <w:r>
        <w:rPr>
          <w:rFonts w:hint="eastAsia" w:ascii="方正仿宋简体" w:hAnsi="文星仿宋" w:eastAsia="方正仿宋简体" w:cs="方正仿宋简体"/>
          <w:b/>
          <w:color w:val="000000" w:themeColor="text1"/>
          <w:spacing w:val="11"/>
          <w:sz w:val="32"/>
          <w:szCs w:val="32"/>
          <w14:textFill>
            <w14:solidFill>
              <w14:schemeClr w14:val="tx1"/>
            </w14:solidFill>
          </w14:textFill>
        </w:rPr>
        <w:t>化技术攻关评价机制，探索企业参与科技计划目标验收评价</w:t>
      </w:r>
      <w:r>
        <w:rPr>
          <w:rFonts w:hint="eastAsia" w:ascii="方正仿宋简体" w:hAnsi="文星仿宋" w:eastAsia="方正仿宋简体" w:cs="方正仿宋简体"/>
          <w:b/>
          <w:color w:val="000000" w:themeColor="text1"/>
          <w:sz w:val="32"/>
          <w:szCs w:val="32"/>
          <w14:textFill>
            <w14:solidFill>
              <w14:schemeClr w14:val="tx1"/>
            </w14:solidFill>
          </w14:textFill>
        </w:rPr>
        <w:t>机制。</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940" w:type="dxa"/>
            <w:vAlign w:val="center"/>
          </w:tcPr>
          <w:p>
            <w:pPr>
              <w:spacing w:line="440" w:lineRule="exact"/>
              <w:jc w:val="center"/>
              <w:rPr>
                <w:rFonts w:ascii="方正黑体简体" w:eastAsia="方正黑体简体"/>
                <w:b/>
                <w:sz w:val="30"/>
                <w:szCs w:val="30"/>
              </w:rPr>
            </w:pPr>
            <w:r>
              <w:rPr>
                <w:rFonts w:hint="eastAsia" w:ascii="方正黑体简体" w:eastAsia="方正黑体简体"/>
                <w:b/>
                <w:bCs/>
                <w:sz w:val="30"/>
                <w:szCs w:val="30"/>
              </w:rPr>
              <w:t>专栏14  重大关键技术攻关方向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376" w:hRule="atLeast"/>
          <w:jc w:val="center"/>
        </w:trPr>
        <w:tc>
          <w:tcPr>
            <w:tcW w:w="8940" w:type="dxa"/>
            <w:vAlign w:val="center"/>
          </w:tcPr>
          <w:p>
            <w:pPr>
              <w:pStyle w:val="16"/>
              <w:snapToGrid w:val="0"/>
              <w:spacing w:line="41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高端装备。</w:t>
            </w:r>
            <w:r>
              <w:rPr>
                <w:rFonts w:hint="eastAsia" w:ascii="方正仿宋简体" w:eastAsia="方正仿宋简体" w:cs="Times New Roman"/>
                <w:sz w:val="28"/>
                <w:szCs w:val="28"/>
              </w:rPr>
              <w:t>土方机械智慧施工系统、内河LNG单燃料推进顶推船集成、模块集成建筑柔性化制造装备、无人仓储自主调度系统、智能移动破碎筛分一体机、防灾救灾高能效涵道无人机系统、复杂农田多功能收获机械、具身智能机器人、智能辅助作业机器人等关键技术研发及应用。</w:t>
            </w:r>
          </w:p>
          <w:p>
            <w:pPr>
              <w:pStyle w:val="16"/>
              <w:snapToGrid w:val="0"/>
              <w:spacing w:line="41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高端化工。</w:t>
            </w:r>
            <w:r>
              <w:rPr>
                <w:rFonts w:hint="eastAsia" w:ascii="方正仿宋简体" w:eastAsia="方正仿宋简体" w:cs="Times New Roman"/>
                <w:sz w:val="28"/>
                <w:szCs w:val="28"/>
              </w:rPr>
              <w:t>间苯二甲腈加氢制间苯二甲胺连续化工艺技术、二氧化碳发酵制碳二化学品及微生物蛋白油脂、乙酸铵绿色合成关键技术、1万吨/年对甲基苯酚、3万吨/年对甲苯磺酸、10万吨/年重质苯、2万吨/年洗油深加工、极地深海微生物肥料与制剂研发及产业化、光催化氯化合成反应、高效环保型螯合剂、双酰胺类绿色投入品合成及废水催化氧化处理等关键技术研究及产业化。</w:t>
            </w:r>
          </w:p>
          <w:p>
            <w:pPr>
              <w:pStyle w:val="16"/>
              <w:snapToGrid w:val="0"/>
              <w:spacing w:line="41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新材料。</w:t>
            </w:r>
            <w:r>
              <w:rPr>
                <w:rFonts w:hint="eastAsia" w:ascii="方正仿宋简体" w:eastAsia="方正仿宋简体" w:cs="Times New Roman"/>
                <w:sz w:val="28"/>
                <w:szCs w:val="28"/>
              </w:rPr>
              <w:t>高纯莱赛尔级溶解浆关键技术、可持续发展材料高性能轮胎、超轻量化对位芳纶/橡胶复合增强输送带体系、高性能油基/煤基针状焦、高性能石墨材料、稀土功能材料可再生利用与超高纯稀土氧化物制备、稀土资源高效开发及宽温域稀土储氢材料、轻质宽频隐身吸波材料、沥青制备碳基量子点发光材料、特种润滑材料、绿色低碳功能性生物质多元复合材料等新材料的研发及产业化。</w:t>
            </w:r>
          </w:p>
          <w:p>
            <w:pPr>
              <w:pStyle w:val="16"/>
              <w:snapToGrid w:val="0"/>
              <w:spacing w:line="41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新能源。</w:t>
            </w:r>
            <w:r>
              <w:rPr>
                <w:rFonts w:hint="eastAsia" w:ascii="方正仿宋简体" w:eastAsia="方正仿宋简体" w:cs="Times New Roman"/>
                <w:sz w:val="28"/>
                <w:szCs w:val="28"/>
              </w:rPr>
              <w:t>绿色先进智能化锂电池、高压大容量智慧储能系统、新能源汽车集成智能热管理系统、新能源船舶电推进系统、零碳型建筑综合能源利用系统、新能源汽车碳纤维轻质复合材料电池箱、高性能柔性非金属输氢复合管道、风力发电用钢丝绳、车联网备用电源用宽温域储氢合金等新能源领域关键技术的研究及应用。</w:t>
            </w:r>
          </w:p>
          <w:p>
            <w:pPr>
              <w:pStyle w:val="16"/>
              <w:snapToGrid w:val="0"/>
              <w:spacing w:line="41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新一代信息技术。</w:t>
            </w:r>
            <w:r>
              <w:rPr>
                <w:rFonts w:hint="eastAsia" w:ascii="方正仿宋简体" w:eastAsia="方正仿宋简体" w:cs="Times New Roman"/>
                <w:sz w:val="28"/>
                <w:szCs w:val="28"/>
              </w:rPr>
              <w:t>第三代半导体氮化镓PD—65W应用器件先进封装技术、车规级功率半导体器件、具有构网功能的静止无功发生器、AI服务器低能耗基板用石英纤维制品、半导体长晶炉高纯热场材料、无人仓储自主调度系统、自传感碳纤维增强聚乙烯复合管件等关键技术的研究与产业化。</w:t>
            </w:r>
          </w:p>
          <w:p>
            <w:pPr>
              <w:pStyle w:val="16"/>
              <w:snapToGrid w:val="0"/>
              <w:spacing w:line="410" w:lineRule="exact"/>
              <w:ind w:firstLine="562"/>
              <w:rPr>
                <w:rFonts w:ascii="方正仿宋简体" w:eastAsia="方正仿宋简体" w:cs="Times New Roman"/>
                <w:sz w:val="28"/>
                <w:szCs w:val="28"/>
              </w:rPr>
            </w:pPr>
            <w:r>
              <w:rPr>
                <w:rFonts w:hint="eastAsia" w:ascii="方正黑体简体" w:eastAsia="方正黑体简体" w:cs="Times New Roman"/>
                <w:bCs/>
                <w:sz w:val="28"/>
                <w:szCs w:val="28"/>
              </w:rPr>
              <w:t>现代医药。</w:t>
            </w:r>
            <w:r>
              <w:rPr>
                <w:rFonts w:hint="eastAsia" w:ascii="方正仿宋简体" w:eastAsia="方正仿宋简体" w:cs="Times New Roman"/>
                <w:sz w:val="28"/>
                <w:szCs w:val="28"/>
              </w:rPr>
              <w:t>国家</w:t>
            </w:r>
            <w:r>
              <w:rPr>
                <w:rFonts w:hint="eastAsia" w:ascii="方正仿宋简体" w:hAnsi="宋体" w:eastAsia="方正仿宋简体" w:cs="宋体"/>
                <w:sz w:val="28"/>
                <w:szCs w:val="28"/>
              </w:rPr>
              <w:t>Ⅰ</w:t>
            </w:r>
            <w:r>
              <w:rPr>
                <w:rFonts w:hint="eastAsia" w:ascii="方正仿宋简体" w:eastAsia="方正仿宋简体" w:cs="Times New Roman"/>
                <w:sz w:val="28"/>
                <w:szCs w:val="28"/>
              </w:rPr>
              <w:t>类新药TRN—157、CMS203片、TRN—157雾化吸入剂、CIGB—814冻干粉针临床试验、中华大蟾蜍生态养殖关键技术、中药配方颗粒质量控制、新型高端外用制剂、高端特色原料药、超临界</w:t>
            </w:r>
            <w:r>
              <w:rPr>
                <w:rFonts w:hint="eastAsia" w:ascii="方正仿宋简体" w:eastAsia="方正仿宋简体" w:cs="Times New Roman"/>
                <w:spacing w:val="-11"/>
                <w:sz w:val="28"/>
                <w:szCs w:val="28"/>
              </w:rPr>
              <w:t>流体辅助熔体静电纺特种医用透气膜等医药产品的关键技术研究与产业化。</w:t>
            </w:r>
          </w:p>
        </w:tc>
      </w:tr>
    </w:tbl>
    <w:p>
      <w:pPr>
        <w:spacing w:line="56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优化科技成果转化体系</w:t>
      </w: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高标准建设概念验证、中试验证平台，加大应用场景建设和开放力度，加强知识产权保护和运用。聚焦合成生物、新能源船舶、动力电池等领域，生成一批重大科技创新成果，建设科技成果转化中试示范基地，高标准建设西安交通大学国家大学科技园</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兖州）、碳材料产业园、融发数字经济产教融合示范园等科创园区和孵化载体，打造京鲁科技成果转化承载区，培育科技中小企业集群。依托曲阜师范大学、济宁医学院、济宁学院、济宁职业技术学院、山东理工职业学院等高校，支持专业化技术转移机构建设，培育壮大技术经纪人队伍，推动落地一批重大创新成果转化项目。</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2" w:hRule="atLeast"/>
          <w:jc w:val="center"/>
        </w:trPr>
        <w:tc>
          <w:tcPr>
            <w:tcW w:w="8883" w:type="dxa"/>
            <w:vAlign w:val="center"/>
          </w:tcPr>
          <w:p>
            <w:pPr>
              <w:pStyle w:val="17"/>
              <w:spacing w:line="440" w:lineRule="exact"/>
              <w:rPr>
                <w:rFonts w:ascii="方正黑体简体" w:eastAsia="方正黑体简体" w:cs="Times New Roman"/>
                <w:bCs w:val="0"/>
                <w:sz w:val="30"/>
                <w:szCs w:val="30"/>
              </w:rPr>
            </w:pPr>
            <w:r>
              <w:rPr>
                <w:rFonts w:hint="eastAsia" w:ascii="方正黑体简体" w:eastAsia="方正黑体简体" w:cs="Times New Roman"/>
                <w:kern w:val="0"/>
                <w:sz w:val="30"/>
                <w:szCs w:val="30"/>
              </w:rPr>
              <w:t>专栏15  成果转化体系建设工程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2" w:hRule="atLeast"/>
          <w:jc w:val="center"/>
        </w:trPr>
        <w:tc>
          <w:tcPr>
            <w:tcW w:w="8883" w:type="dxa"/>
            <w:vAlign w:val="center"/>
          </w:tcPr>
          <w:p>
            <w:pPr>
              <w:pStyle w:val="16"/>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中试基地。</w:t>
            </w:r>
            <w:r>
              <w:rPr>
                <w:rFonts w:hint="eastAsia" w:ascii="方正仿宋简体" w:eastAsia="方正仿宋简体" w:cs="Times New Roman"/>
                <w:sz w:val="28"/>
                <w:szCs w:val="28"/>
              </w:rPr>
              <w:t>推动机电设备制造、矿山智能装备、橡胶及制品、工业生物技术、储能电池、绿色建筑与智能建造、人工智能技术、新型碳材料、内河自动化港口装备等中试示范基地建设。</w:t>
            </w:r>
          </w:p>
          <w:p>
            <w:pPr>
              <w:pStyle w:val="16"/>
              <w:snapToGrid w:val="0"/>
              <w:spacing w:line="420" w:lineRule="exact"/>
              <w:ind w:firstLine="561" w:firstLineChars="0"/>
              <w:rPr>
                <w:rFonts w:ascii="方正仿宋简体" w:eastAsia="方正仿宋简体" w:cs="Times New Roman"/>
                <w:sz w:val="28"/>
                <w:szCs w:val="28"/>
              </w:rPr>
            </w:pPr>
            <w:r>
              <w:rPr>
                <w:rFonts w:hint="eastAsia" w:ascii="方正黑体简体" w:eastAsia="方正黑体简体" w:cs="Times New Roman"/>
                <w:bCs/>
                <w:sz w:val="28"/>
                <w:szCs w:val="28"/>
              </w:rPr>
              <w:t>孵化载体。</w:t>
            </w:r>
            <w:r>
              <w:rPr>
                <w:rFonts w:hint="eastAsia" w:ascii="方正仿宋简体" w:eastAsia="方正仿宋简体" w:cs="Times New Roman"/>
                <w:sz w:val="28"/>
                <w:szCs w:val="28"/>
              </w:rPr>
              <w:t>（1）山东高新创达科技创业服务有限公司孵化器（2）济宁高新软件园服务有限公司孵化器（3）济宁高新文化创意</w:t>
            </w:r>
            <w:r>
              <w:rPr>
                <w:rFonts w:hint="eastAsia" w:ascii="方正仿宋简体" w:eastAsia="方正仿宋简体" w:cs="Times New Roman"/>
                <w:spacing w:val="-6"/>
                <w:sz w:val="28"/>
                <w:szCs w:val="28"/>
              </w:rPr>
              <w:t>园服务有限公司孵化器（4）西安交大国家大学科技园（兖州）（5）易君科技研发中心（6）北工大国家大学科技园金乡分园（7）济宁市数字产业大厦科技孵化基地（8）济宁经济开发区双创孵化基地等</w:t>
            </w:r>
            <w:r>
              <w:rPr>
                <w:rFonts w:hint="eastAsia" w:ascii="方正仿宋简体" w:eastAsia="方正仿宋简体" w:cs="Times New Roman"/>
                <w:sz w:val="28"/>
                <w:szCs w:val="28"/>
              </w:rPr>
              <w:t>。</w:t>
            </w:r>
          </w:p>
          <w:p>
            <w:pPr>
              <w:pStyle w:val="16"/>
              <w:snapToGrid w:val="0"/>
              <w:spacing w:line="420" w:lineRule="exact"/>
              <w:ind w:firstLine="561" w:firstLineChars="0"/>
              <w:rPr>
                <w:rFonts w:ascii="方正仿宋简体" w:eastAsia="方正仿宋简体" w:cs="Times New Roman"/>
                <w:sz w:val="28"/>
                <w:szCs w:val="28"/>
              </w:rPr>
            </w:pPr>
            <w:r>
              <w:rPr>
                <w:rFonts w:hint="eastAsia" w:ascii="方正黑体简体" w:eastAsia="方正黑体简体" w:cs="Times New Roman"/>
                <w:bCs/>
                <w:sz w:val="28"/>
                <w:szCs w:val="28"/>
              </w:rPr>
              <w:t>县域重点创新型园区、基地。</w:t>
            </w:r>
            <w:r>
              <w:rPr>
                <w:rFonts w:hint="eastAsia" w:ascii="方正仿宋简体" w:eastAsia="方正仿宋简体" w:cs="Times New Roman"/>
                <w:sz w:val="28"/>
                <w:szCs w:val="28"/>
              </w:rPr>
              <w:t>（1）兖州高新技术产业开发区（2）邹城高新技术产业开发区（3）</w:t>
            </w:r>
            <w:bookmarkStart w:id="10" w:name="OLE_LINK8"/>
            <w:r>
              <w:rPr>
                <w:rFonts w:hint="eastAsia" w:ascii="方正仿宋简体" w:eastAsia="方正仿宋简体" w:cs="Times New Roman"/>
                <w:sz w:val="28"/>
                <w:szCs w:val="28"/>
              </w:rPr>
              <w:t>济宁（兖州）农业高新技术产业示范区</w:t>
            </w:r>
            <w:bookmarkEnd w:id="10"/>
            <w:r>
              <w:rPr>
                <w:rFonts w:hint="eastAsia" w:ascii="方正仿宋简体" w:eastAsia="方正仿宋简体" w:cs="Times New Roman"/>
                <w:sz w:val="28"/>
                <w:szCs w:val="28"/>
              </w:rPr>
              <w:t>（4）邹城省级农业高新技术产业开发区。</w:t>
            </w:r>
          </w:p>
        </w:tc>
      </w:tr>
    </w:tbl>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打造校地融合特色高等教育</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聚焦服务产业链、创新链，增强高等教育综合实力，建立高等教育学校更好服务经济社会发展的对接机制，推动高等教育与产业协同创新发展，打造校地合作、产教融合济宁样板。</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分类推进驻济高校改革发展</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引导驻济高校优化学科专业布局，聚焦特色产业和新兴产业，重点支持新一代信息技术、高端装备、新材料、新能源、生物医药等新兴学科、交叉学科、急需紧缺专业建设。优化高等教育结构，支持曲阜师范大学创建“双一流”高校，济宁医学院创建医科大学、争创博士学位授予单位，济宁学院建设高水平应用型大学、争创硕士学位授予单位。支持驻济高校持续完善科技创新机制和人才培养模式，加强与一流高校交流合作，加大名师、名校、名院引进力度。组建驻济高校创新联盟，靶向对接全市产业链共性需求和企业个性需求，促进更多产学研合作项目落地。鼓励高校深度融入区域发展，在区域科技创新中心和人才集聚雁阵格局建设中发挥更大作用。</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支持职业教育提速提质发展</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动职业院校扩容升级，支持济宁职业技术学院、山东理工职业学院等优质高职学校升格职业本科学校。优化职业教育布局，推动高等职业教育资源向产业集聚区下沉，申报新设济宁材料工程职业学院等高职院校。支持济宁职业技术学院充分发挥国家“双高计划”学校带动引领作用，重点打造智能制造、数字文创、大数据、储能技术、低空经济、医养健康、研学旅行等高水平和品牌专业群。支持山东理工职业学院充分发挥工科优势，重点打造高端装备、高端化工、储能材料、新能源汽车、低空技术、港航物流等特色高水平专业群。支持曲阜远东职业技术学院突出文化创意、电子商务专业特色。支持济宁卫生健康职业学院、济宁汽车工程职业学院强化特色专业设置。支持济宁职业技术学院、山东理工职业学院等高职院校建设技术技能人才培养基地。推动中职、高职、应用型本科贯通人才培养。</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打造“近悦远来”一流人才高地</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倡树“大人才观”，坚持一体推进教育科技人才发展，以人才引领发展新质生产力，着力打造“五链融合”发展引领区、“人工智能+232”产业集群突破区、新兴产业和未来产业科技转化活跃区、人才全周期服务体系建设示范区，推进产业工人队伍建设改革，加快建设支撑产业发展的战略人才力量，建设成为全省具有影响力的人才高地。</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集聚高水平创新型人才队伍</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度融入全国、全省人才战略布局，打造全省人才集聚雁阵格局重要支撑节点。深化“接二连三”人才融合发展行动，探索建立与北京、上海、粤港澳大湾区、济南、青岛以及武汉、西安等创新资源集聚区域的人才工作协同合作机制，实施人才智力双向链接、特色产业联动发展、科技力量协同创新、创新生态共建共享“四大行动”。做优尼山高端人才创新联盟，举办高层次人才创新发展对话会，积极对接“鲁港科技合作创新中心”“鲁港澳高校院所创新合作联盟”资源，统筹海内外人才资源赋能发展。优化顶尖人才“直通车”，统筹国家级和省市级重点人才工程，实施领军人才集聚、海外人才回归、青年科技人才筑梦等计划，加快集聚顶尖人才和标志性领军人才，支持青年科技人才创新创业。建设跨区域“创新飞地”、异地研发中心，面向全球招引“高精尖缺”创新人才。每年新引进顶尖人才5人以上，新增高端人才创新团队10个以上，入选国家级、省级领军人才30人以上。</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提升人才引领创新发展效能</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深化特色产业人才高地建设，健全完善产业链紧缺人才引进体系，建立全国顶尖人才分布及重点科研成果图谱，吸引高层次人才落地济宁，构建“产业—院士—创新团队—高技能人才”人才支撑体系。布局一批顶尖人才集聚平台，建设南方科技大学机器人研究院—济宁联合实验室、武汉大学济宁创新中心等，把济宁打造成知名高校创新中心集聚区。加快培育人才引领型企业和标杆创新平台，组建校企产学研协同创新联盟，实施校企双聘重点产业博士专引计划，定期开展“科技副职”“科技副总”“产业教授”遴选工作，打通高校、科研院所和企业人才交流通道。建强“济宁市首席技术经理人”队伍。实施“技能济宁”建设行动，强化卓越工程师队伍建设，加快培育技术技能复合型、应用型人才队伍。推进人才引领县域经济高质量发展试点。支持引导各类人才深度参与企业科技创新、产业转型升级，打造具有济宁特色的人才创新创业集聚区。</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构建人才全周期服务体系</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高层次人才服务联盟运行机制，优化高层次人才绿色通道分级分类服务，探索“人才+项目+基金”运作模式，贯通政务服务、生活服务、金融服务、创新创业支持等资源，丰富“全链条、全域通”服务场景。建立以创新能力、质量、实效、贡献为导向的评价机制，深化项目评审、机构评估、收入分配改革，探索在新兴产业领域建立“黑马提名”制度。探索技术研发和成果转化“拨投贷”联动支持机制，设立“耐心资本”，积极营造“鼓励探索、宽容失败、创新无忧”良好环境。健全多元化人才投入机制，综合运用人才公寓、购房租房补贴等方式，构建低门槛、多渠道、增益性的人才安居新体系。实施驻济院校合作留才计划。实施新一轮青年人才集聚行动，打造一批创新街区、青年社区、极客群落，提升“青春之城”品牌影响力。</w:t>
      </w:r>
    </w:p>
    <w:tbl>
      <w:tblPr>
        <w:tblStyle w:val="7"/>
        <w:tblW w:w="892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5" w:type="dxa"/>
            <w:vAlign w:val="center"/>
          </w:tcPr>
          <w:p>
            <w:pPr>
              <w:pStyle w:val="17"/>
              <w:snapToGrid w:val="0"/>
              <w:spacing w:line="540" w:lineRule="exact"/>
              <w:rPr>
                <w:rFonts w:ascii="方正黑体简体" w:eastAsia="方正黑体简体" w:cs="Times New Roman"/>
                <w:bCs w:val="0"/>
                <w:sz w:val="30"/>
                <w:szCs w:val="30"/>
              </w:rPr>
            </w:pPr>
            <w:r>
              <w:rPr>
                <w:rFonts w:hint="eastAsia" w:ascii="方正黑体简体" w:eastAsia="方正黑体简体" w:cs="Times New Roman"/>
                <w:kern w:val="0"/>
                <w:sz w:val="30"/>
                <w:szCs w:val="30"/>
              </w:rPr>
              <w:t>专栏16  重点人才计划</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8925" w:type="dxa"/>
          </w:tcPr>
          <w:p>
            <w:pPr>
              <w:pStyle w:val="16"/>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领军人才。</w:t>
            </w:r>
            <w:r>
              <w:rPr>
                <w:rFonts w:hint="eastAsia" w:ascii="方正仿宋简体" w:eastAsia="方正仿宋简体" w:cs="Times New Roman"/>
                <w:sz w:val="28"/>
                <w:szCs w:val="28"/>
              </w:rPr>
              <w:t>打造院士资源聚合服务平台，优化顶尖人才</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直通车</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，统筹推进国家级和省市级重点人才工程，用活</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揭榜挂帅</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科技副总</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产业教授</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等机制，大力集聚协同创新人才，推动</w:t>
            </w:r>
            <w:r>
              <w:rPr>
                <w:rFonts w:hint="eastAsia" w:ascii="方正仿宋简体" w:eastAsia="方正仿宋简体" w:cs="Times New Roman"/>
                <w:spacing w:val="-6"/>
                <w:sz w:val="28"/>
                <w:szCs w:val="28"/>
              </w:rPr>
              <w:t>关键核心技术攻关。</w:t>
            </w:r>
            <w:r>
              <w:rPr>
                <w:rFonts w:hint="eastAsia" w:ascii="方正仿宋简体" w:hAnsi="方正仿宋简体" w:eastAsia="方正仿宋简体" w:cs="方正仿宋简体"/>
                <w:spacing w:val="-6"/>
                <w:sz w:val="28"/>
                <w:szCs w:val="28"/>
              </w:rPr>
              <w:t>“</w:t>
            </w:r>
            <w:r>
              <w:rPr>
                <w:rFonts w:hint="eastAsia" w:ascii="方正仿宋简体" w:eastAsia="方正仿宋简体" w:cs="Times New Roman"/>
                <w:spacing w:val="-6"/>
                <w:sz w:val="28"/>
                <w:szCs w:val="28"/>
              </w:rPr>
              <w:t>十五五</w:t>
            </w:r>
            <w:r>
              <w:rPr>
                <w:rFonts w:hint="eastAsia" w:ascii="方正仿宋简体" w:hAnsi="方正仿宋简体" w:eastAsia="方正仿宋简体" w:cs="方正仿宋简体"/>
                <w:spacing w:val="-6"/>
                <w:sz w:val="28"/>
                <w:szCs w:val="28"/>
              </w:rPr>
              <w:t>”</w:t>
            </w:r>
            <w:r>
              <w:rPr>
                <w:rFonts w:hint="eastAsia" w:ascii="方正仿宋简体" w:eastAsia="方正仿宋简体" w:cs="Times New Roman"/>
                <w:spacing w:val="-6"/>
                <w:sz w:val="28"/>
                <w:szCs w:val="28"/>
              </w:rPr>
              <w:t>期间，引进高端人才创新团队30个以上，新增自主培养</w:t>
            </w:r>
            <w:r>
              <w:rPr>
                <w:rFonts w:hint="eastAsia" w:ascii="方正仿宋简体" w:eastAsia="方正仿宋简体" w:cs="Times New Roman"/>
                <w:spacing w:val="-6"/>
                <w:sz w:val="28"/>
                <w:szCs w:val="28"/>
                <w:lang w:eastAsia="zh-CN"/>
              </w:rPr>
              <w:t>、</w:t>
            </w:r>
            <w:r>
              <w:rPr>
                <w:rFonts w:hint="eastAsia" w:ascii="方正仿宋简体" w:eastAsia="方正仿宋简体" w:cs="Times New Roman"/>
                <w:spacing w:val="-6"/>
                <w:sz w:val="28"/>
                <w:szCs w:val="28"/>
              </w:rPr>
              <w:t>引进省级以上领军人才150名以上。</w:t>
            </w:r>
          </w:p>
          <w:p>
            <w:pPr>
              <w:pStyle w:val="16"/>
              <w:snapToGrid w:val="0"/>
              <w:spacing w:line="420" w:lineRule="exact"/>
              <w:ind w:firstLine="561" w:firstLineChars="0"/>
              <w:rPr>
                <w:rFonts w:ascii="方正仿宋简体" w:eastAsia="方正仿宋简体" w:cs="Times New Roman"/>
                <w:sz w:val="28"/>
                <w:szCs w:val="28"/>
              </w:rPr>
            </w:pPr>
            <w:r>
              <w:rPr>
                <w:rFonts w:hint="eastAsia" w:ascii="方正黑体简体" w:eastAsia="方正黑体简体" w:cs="Times New Roman"/>
                <w:bCs/>
                <w:sz w:val="28"/>
                <w:szCs w:val="28"/>
              </w:rPr>
              <w:t>产业人才。</w:t>
            </w:r>
            <w:r>
              <w:rPr>
                <w:rFonts w:hint="eastAsia" w:ascii="方正仿宋简体" w:eastAsia="方正仿宋简体" w:cs="Times New Roman"/>
                <w:sz w:val="28"/>
                <w:szCs w:val="28"/>
              </w:rPr>
              <w:t>实施企业家素质提升计划，加强卓越工程师学院、现场工程师学院建设。支持济宁技师学院高标准建设国家级高技能人才培训基地，发展壮大济宁市工业技师学院，推动济宁市工程技师学院达标，支持汶上县技工学校升格高级技工学校、技师学院。探索成立产业技能人才发展服务综合体，组建</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1+N</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实训联盟，建立技术交易平台、大型设备共享平台。深化</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乡村振兴合伙人</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模式，推动乡村人才振兴。</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十五五</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期间，新增企业工程师5万人、高技能人才8万人。</w:t>
            </w:r>
          </w:p>
          <w:p>
            <w:pPr>
              <w:pStyle w:val="16"/>
              <w:snapToGrid w:val="0"/>
              <w:spacing w:line="420" w:lineRule="exact"/>
              <w:ind w:firstLine="561" w:firstLineChars="0"/>
              <w:rPr>
                <w:rFonts w:ascii="方正仿宋简体" w:eastAsia="方正仿宋简体" w:cs="Times New Roman"/>
                <w:sz w:val="28"/>
                <w:szCs w:val="28"/>
              </w:rPr>
            </w:pPr>
            <w:r>
              <w:rPr>
                <w:rFonts w:hint="eastAsia" w:ascii="方正黑体简体" w:eastAsia="方正黑体简体" w:cs="Times New Roman"/>
                <w:bCs/>
                <w:sz w:val="28"/>
                <w:szCs w:val="28"/>
              </w:rPr>
              <w:t>创业人才。</w:t>
            </w:r>
            <w:r>
              <w:rPr>
                <w:rFonts w:hint="eastAsia" w:ascii="方正仿宋简体" w:eastAsia="方正仿宋简体" w:cs="Times New Roman"/>
                <w:sz w:val="28"/>
                <w:szCs w:val="28"/>
              </w:rPr>
              <w:t>深化</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创业济宁</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五大行动，探索青年人才低成本创业扶持机制。定期举办</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赢在济宁</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高层次人才创业大赛，推荐优秀人才参加国家级、省级创业大赛。</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十五五</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期间，新增各类高层次创新创业人才500人以上。</w:t>
            </w:r>
          </w:p>
          <w:p>
            <w:pPr>
              <w:pStyle w:val="16"/>
              <w:snapToGrid w:val="0"/>
              <w:spacing w:line="420" w:lineRule="exact"/>
              <w:ind w:firstLine="561" w:firstLineChars="0"/>
              <w:rPr>
                <w:rFonts w:ascii="方正仿宋简体" w:eastAsia="方正仿宋简体" w:cs="Times New Roman"/>
                <w:sz w:val="28"/>
                <w:szCs w:val="28"/>
              </w:rPr>
            </w:pPr>
            <w:r>
              <w:rPr>
                <w:rFonts w:hint="eastAsia" w:ascii="方正黑体简体" w:eastAsia="方正黑体简体" w:cs="Times New Roman"/>
                <w:bCs/>
                <w:sz w:val="28"/>
                <w:szCs w:val="28"/>
              </w:rPr>
              <w:t>青年人才。</w:t>
            </w:r>
            <w:r>
              <w:rPr>
                <w:rFonts w:hint="eastAsia" w:ascii="方正仿宋简体" w:eastAsia="方正仿宋简体" w:cs="Times New Roman"/>
                <w:sz w:val="28"/>
                <w:szCs w:val="28"/>
              </w:rPr>
              <w:t>实施博士（后）人才扩容计划，积极创建国家博士后科研工作站。深化青年人才集聚计划，常态化举办</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名校人才直通车</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济燕归巢</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等特色引才活动，大力吸引高校毕业生返济留济就业。</w:t>
            </w:r>
            <w:r>
              <w:rPr>
                <w:rFonts w:hint="eastAsia" w:ascii="方正仿宋简体" w:hAnsi="方正仿宋简体" w:eastAsia="方正仿宋简体" w:cs="方正仿宋简体"/>
                <w:sz w:val="28"/>
                <w:szCs w:val="28"/>
              </w:rPr>
              <w:t>“</w:t>
            </w:r>
            <w:r>
              <w:rPr>
                <w:rFonts w:hint="eastAsia" w:ascii="方正仿宋简体" w:eastAsia="方正仿宋简体" w:cs="Times New Roman"/>
                <w:sz w:val="28"/>
                <w:szCs w:val="28"/>
              </w:rPr>
              <w:t>十五</w:t>
            </w:r>
            <w:r>
              <w:rPr>
                <w:rFonts w:hint="eastAsia" w:ascii="方正仿宋简体" w:eastAsia="方正仿宋简体" w:cs="Times New Roman"/>
                <w:spacing w:val="-6"/>
                <w:sz w:val="28"/>
                <w:szCs w:val="28"/>
              </w:rPr>
              <w:t>五</w:t>
            </w:r>
            <w:r>
              <w:rPr>
                <w:rFonts w:hint="eastAsia" w:ascii="方正仿宋简体" w:hAnsi="方正仿宋简体" w:eastAsia="方正仿宋简体" w:cs="方正仿宋简体"/>
                <w:spacing w:val="-6"/>
                <w:sz w:val="28"/>
                <w:szCs w:val="28"/>
              </w:rPr>
              <w:t>”</w:t>
            </w:r>
            <w:r>
              <w:rPr>
                <w:rFonts w:hint="eastAsia" w:ascii="方正仿宋简体" w:eastAsia="方正仿宋简体" w:cs="Times New Roman"/>
                <w:spacing w:val="-6"/>
                <w:sz w:val="28"/>
                <w:szCs w:val="28"/>
              </w:rPr>
              <w:t>期间，集聚博士（后）人才1000人以上，引进青年人才20万人以上。</w:t>
            </w:r>
          </w:p>
        </w:tc>
      </w:tr>
    </w:tbl>
    <w:p>
      <w:pPr>
        <w:spacing w:line="62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第四章  打造全省特色数字经济发展高地</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加强数据要素开发利用，做大做强数据产业规模，提升数字治理服务能力，加快数字基础设施建设，构建活力充沛、融合创新、底座坚实的数字强市发展格局。到2030年，数字经济核心产业增加值比重达到10%。</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加速培育数据要素市场</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数据要素市场化配置改革，深入推动公共数据资源登记，强化企业数据治理和质量管理能力建设，加快数据资源化进程，建设100个以上高质量数据集。加强数据资产全过程管理，加快培育数据供给、流通、应用生态，建设完善公共数据授权运营体系，大力推动数据开发利用，打造100个以上优质数据产品。健全数据资产确权、登记、评估、入表等全流程服务机制，持续扩大数据资产化覆盖范围。完善数据流通体系，主动融入全国数据要素市场，推广数据交易、作价入股、质押融资等数据资本化方式，加快数据价值兑现。深入开展“数据要素×”行动，加大数据融合利用力度，打造100个以上典型数据应用场景。</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深度促进实数融合发展</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实施数字产业化“十大工程”，做强高端软件、汽车电子、数字内容、能源电子等特色产业，培育一批专精特新“小巨人”、制造业单项冠军和独角兽企业，打造全国重要的数字内容产业基地。加快推进产业数字化“八大行动”，提速推进国家中小企业数字化转型试点城市建设，以工业为引领，带动农业、服务业数字化焕新升级。“十五五”期间，新增省级及以上智能工厂25家、省级工业互联网平台8个，全市规上工业企业基本完成数字化改造。</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提升数字治理服务效能</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快实施数字政府建设一体化综合改革，优化“爱山东”平台，深化无证明城市建设，拓展“鲁通码”应用，基本实现“一码通行”。深化数字机关建设，打造核心业务全覆盖、横向纵向全贯通的机关数字化工作体系。深化“城市智慧中枢”建设，推动大模型、区块链、数字孪生等新技术在教育、医疗、养老、就业、交通等领域应用，构建全方位、全覆盖的数字化服务体系。</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筑牢数字基础设施底座</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提升“千兆城市”建设水平和农村地区5G网络覆盖面，到2030年，全市5G网络覆盖率达到100%。有序推进第五代超高速光纤网络建设，完成宽带核心网络向TB（太字节）演进。推进互联网协议第六版（IPv6）规模部署和行业融合应用。合规布局算力基础设施，优化算力资源应用，推进多元异构算力发展，加快融入全省一体化算力网，提高算力资源配置效率。加快工业互联网标识解析体系建设，加快布局千万级感知节点，打造一批窄带物联网（NB—IoT）应用场景，实现各类物联设备和感知设施统一接入、集中管理。</w:t>
      </w:r>
    </w:p>
    <w:p>
      <w:pPr>
        <w:spacing w:line="570" w:lineRule="exact"/>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第五篇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全方位扩大内需，服务和融入全国统一大市场</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坚持惠民生和促消费、投资于物和投资于人紧密结合，以新需求引领新供给，以新供给创造新需求，促进消费与投资、供给与需求良性互动，构建高效流通体系，全面服务和融入全国统一大市场。</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建设区域消费中心城市</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以高质量供给创造有效需求，扩大服务消费，稳定大宗消费，培育消费新业态新模式新场景，优化消费环境，提升消费体验，高水平建设区域消费中心城市。</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推动传统消费扩容升级</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动消费品以旧换新，提升家居和电子产品消费，扩大新能源汽车消费，加快公共区域、居民小区等充电基础设施配套建设，到2030年，全市公共充电桩达到4万台。巩固拓展青少年研学、国学研学、政德教育、师德教育等研学项目，打造泗水泉乡、“邹东深呼吸”等康养文旅品牌，办好“跟着孔子研学游”“运河大集”“鱼台龙虾消费季”等主题消费节事活动。优化提升步行街、特色商业街区、一刻钟便民生活圈等城市消费载体，打造太白楼路、金宇路、京杭路等重点商圈商街消费集聚区。加快建设邹城孟子湖度假酒店、微山岛高端民宿等高品质旅游住宿项目，打造“老运河美食街区”“微山湖渔家水街”等特色街区，提升任城津多里片区、国投</w:t>
      </w:r>
      <w:r>
        <w:rPr>
          <w:rFonts w:hint="eastAsia" w:ascii="宋体" w:hAnsi="宋体" w:cs="宋体"/>
          <w:b/>
          <w:color w:val="000000" w:themeColor="text1"/>
          <w:sz w:val="32"/>
          <w:szCs w:val="32"/>
          <w14:textFill>
            <w14:solidFill>
              <w14:schemeClr w14:val="tx1"/>
            </w14:solidFill>
          </w14:textFill>
        </w:rPr>
        <w:t>麷</w:t>
      </w:r>
      <w:r>
        <w:rPr>
          <w:rFonts w:hint="eastAsia" w:ascii="方正仿宋简体" w:hAnsi="方正仿宋简体" w:eastAsia="方正仿宋简体" w:cs="方正仿宋简体"/>
          <w:b/>
          <w:color w:val="000000" w:themeColor="text1"/>
          <w:sz w:val="32"/>
          <w:szCs w:val="32"/>
          <w14:textFill>
            <w14:solidFill>
              <w14:schemeClr w14:val="tx1"/>
            </w14:solidFill>
          </w14:textFill>
        </w:rPr>
        <w:t>街、“运河记忆”、太白湖运河印巷等夜间消费品质。聚焦全人群、全</w:t>
      </w:r>
      <w:r>
        <w:rPr>
          <w:rFonts w:hint="eastAsia" w:ascii="方正仿宋简体" w:hAnsi="文星仿宋" w:eastAsia="方正仿宋简体" w:cs="方正仿宋简体"/>
          <w:b/>
          <w:color w:val="000000" w:themeColor="text1"/>
          <w:sz w:val="32"/>
          <w:szCs w:val="32"/>
          <w14:textFill>
            <w14:solidFill>
              <w14:schemeClr w14:val="tx1"/>
            </w14:solidFill>
          </w14:textFill>
        </w:rPr>
        <w:t>生命周期消费需求，持续扩大生活性服务供给，培育消费新场景，推动多业态融合，促进服务消费提质惠民。</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培育消费新业态新模式新场景</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强“智慧济宁”建设，推动智能消费与生活性服务业深度融合，引导大型商贸企业建设智能供应链平台，推动商超、餐饮等企业引入智能导购、无人结算、智能取餐等设备，鼓励商超发展“前店后仓”即时零售，推广智慧商店、智慧商圈等“人工智能+”消费模式。发展首发经济、流量经济，推动购物、文化娱乐、演艺、体育赛事等消费场景跨界联动。挖掘乡村旅游资源，打造一批休闲农业、文化体验精品线路，支持村庄举办“村超”“村BA”等群众业余联赛，激活乡村消费市场活力。强化入境消费引流，引导境外消费回流。创新多元化消费场景，打造VR公共应用体验中心，推广“运河之脊”元宇宙项目等沉浸式体验场景。加快发展提效型、陪伴型等智能原生应用，培育文娱、家政、物业等智能消费业态。推动智能终端“万物智联”，发展智能网联汽车、智能机器人、智能家居、智能穿戴等新一代智能终端，打造一体化智能交互环境。加快人工智能与元宇宙、低空飞行等技术融合，在尼山圣境、三孔景区等场景拓展“AI导游+智能交互”个性化消费。</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推进消费环境优化提升</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全面落实带薪休假制度，鼓励错峰休假、弹性作息，促进假日消费。加强征信体系建设，强化个人金融消费支持，合理优化小额消费信贷，加大对住宿餐饮、文化旅游、养老托育等行业支持力度。建立健全产品质量监管体系，严格执行质量标准。健全消费者权益保护制度，完善缺陷消费品召回管理制度，依法严厉打击侵权假冒、不按规定明码标价等行为。</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建设全省产业投资高地</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更好发挥政府投资带动作用，大力激发民间投资活力，持续</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优化投资结构，推动全市投资保持量的合理增长和质的稳步提升。</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持续优化投资结构</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聚焦“两重”、科技创新、产业升级、城市更新、绿色转型、民生改善等领域，每年谋划实施省市县重点项目1000个以上。实施新一轮技改攻坚行动，围绕高端化、智能化、绿色化方向，鼓励工业企业实施设备更新和技术改造，每年滚动实施工业新上和技改项目1000个以上。加快完善铁路网、公路网、港口群，提升防汛抗旱减灾、保水供水能力，有序推进新能源、源网荷储一体化、绿电直连等能源工程建设，加快布局5G、5G—A、人工智能等新基建项目，前瞻布局第六代移动通信，构建现代化基础设施体系。提升民生类政府投资比重，引导更多资金投向教育医疗、养老托育、人力资源开发等领域。深化“要素跟着项目走”，强化用地、用水、碳排放等指标分级分类保障。</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发挥政府投资有效带动作用</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深化政府投资项目可行性研究论证，完善政府重大项目决策程序，</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推动</w:t>
      </w:r>
      <w:r>
        <w:rPr>
          <w:rFonts w:hint="eastAsia" w:ascii="方正仿宋简体" w:hAnsi="文星仿宋" w:eastAsia="方正仿宋简体" w:cs="方正仿宋简体"/>
          <w:b/>
          <w:color w:val="000000" w:themeColor="text1"/>
          <w:sz w:val="32"/>
          <w:szCs w:val="32"/>
          <w14:textFill>
            <w14:solidFill>
              <w14:schemeClr w14:val="tx1"/>
            </w14:solidFill>
          </w14:textFill>
        </w:rPr>
        <w:t>“硬投资”和“软建设”系统集成，健全动态调整和项目后评估机制，加强政府投资全过程管理，实施一批补短板、强弱项、利长远的重大项目。发挥政府投资基金引导带动作用，统筹用好各类政府性资金和政策性金融工具，强化全周期资金和项目监督管理，持续扩大投资效益。</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激发民间投资动力活力</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建立健全民营企业参与重大项目建设长效机制，支持民间资本参与重大基础设施、重大产业和新能源项目建设，提高民间投资比重。加强民间投资项目储备，强化民间投资项目要素保障，持续滚动向民间资本推介优质项目。创新项目融资模式，规范实施政府和社会资本合作新机制，鼓励民间资本参与存量资产盘活，引导更多符合条件的民间投资项目发行基础设施领域不动产投资信托基金（REITs）。</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打造全国性综合交通枢纽城市</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加快交通强市建设，持续推进市域内部畅通、对外快速联通，全面推进“公铁水空”四网融合，优化综合客货运枢纽布局，促进客享其行、物畅其流，打造现代化综合立体交通体系。</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构建内畅外联综合交通运输大通道</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推动交通基础设施互联互通和布局完善，构建“六纵五横”高速公路网、“九纵六横六联”普通国省道路网、“三纵一横”高速铁路网、“一干双线十二支”高等级内河航道网，基本建成“一圈六放射”的综合交通运输通道布局和数字智慧、绿色低碳的现代化综合立体交通运输体系。加密扩容国省干线路网，推进主城区与县市区快联快通，完善城市快速交通体系，实现内环高架全线通车。推进“鲁风运河”风景道建设，加快形成“三主三辅六支线，一环融通游济宁”旅游公路网。</w:t>
      </w:r>
    </w:p>
    <w:p>
      <w:pPr>
        <w:spacing w:line="2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400" w:firstLineChars="200"/>
        <w:rPr>
          <w:rFonts w:ascii="方正仿宋简体" w:hAnsi="文星仿宋" w:eastAsia="方正仿宋简体" w:cs="方正仿宋简体"/>
          <w:b/>
          <w:color w:val="000000" w:themeColor="text1"/>
          <w:sz w:val="32"/>
          <w:szCs w:val="32"/>
          <w14:textFill>
            <w14:solidFill>
              <w14:schemeClr w14:val="tx1"/>
            </w14:solidFill>
          </w14:textFill>
        </w:rPr>
      </w:pPr>
      <w:r>
        <w:drawing>
          <wp:anchor distT="0" distB="0" distL="114300" distR="114300" simplePos="0" relativeHeight="251663360" behindDoc="0" locked="0" layoutInCell="1" allowOverlap="1">
            <wp:simplePos x="0" y="0"/>
            <wp:positionH relativeFrom="column">
              <wp:posOffset>39370</wp:posOffset>
            </wp:positionH>
            <wp:positionV relativeFrom="paragraph">
              <wp:posOffset>38735</wp:posOffset>
            </wp:positionV>
            <wp:extent cx="5600065" cy="6591300"/>
            <wp:effectExtent l="0" t="0" r="1270" b="0"/>
            <wp:wrapNone/>
            <wp:docPr id="8" name="图片 8" descr="微信图片_20260105112217_6084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微信图片_20260105112217_6084_5"/>
                    <pic:cNvPicPr>
                      <a:picLocks noChangeAspect="1"/>
                    </pic:cNvPicPr>
                  </pic:nvPicPr>
                  <pic:blipFill>
                    <a:blip r:embed="rId6">
                      <a:extLst>
                        <a:ext uri="{28A0092B-C50C-407E-A947-70E740481C1C}">
                          <a14:useLocalDpi xmlns:a14="http://schemas.microsoft.com/office/drawing/2010/main" val="0"/>
                        </a:ext>
                      </a:extLst>
                    </a:blip>
                    <a:srcRect t="8994"/>
                    <a:stretch>
                      <a:fillRect/>
                    </a:stretch>
                  </pic:blipFill>
                  <pic:spPr>
                    <a:xfrm>
                      <a:off x="0" y="0"/>
                      <a:ext cx="5596890" cy="6587807"/>
                    </a:xfrm>
                    <a:prstGeom prst="rect">
                      <a:avLst/>
                    </a:prstGeom>
                  </pic:spPr>
                </pic:pic>
              </a:graphicData>
            </a:graphic>
          </wp:anchor>
        </w:drawing>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2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2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400" w:lineRule="exact"/>
        <w:jc w:val="center"/>
        <w:rPr>
          <w:rFonts w:ascii="方正黑体简体" w:hAnsi="文星仿宋" w:eastAsia="方正黑体简体" w:cs="方正仿宋简体"/>
          <w:b/>
          <w:color w:val="000000" w:themeColor="text1"/>
          <w:sz w:val="28"/>
          <w:szCs w:val="28"/>
          <w14:textFill>
            <w14:solidFill>
              <w14:schemeClr w14:val="tx1"/>
            </w14:solidFill>
          </w14:textFill>
        </w:rPr>
      </w:pPr>
      <w:r>
        <w:rPr>
          <w:rFonts w:hint="eastAsia" w:ascii="方正黑体简体" w:hAnsi="文星仿宋" w:eastAsia="方正黑体简体" w:cs="方正仿宋简体"/>
          <w:b/>
          <w:color w:val="000000" w:themeColor="text1"/>
          <w:sz w:val="28"/>
          <w:szCs w:val="28"/>
          <w14:textFill>
            <w14:solidFill>
              <w14:schemeClr w14:val="tx1"/>
            </w14:solidFill>
          </w14:textFill>
        </w:rPr>
        <w:t>图5—1  济宁市“公铁水空”四网融合交通图</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建设“互联互通”综合交通枢纽</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区域综合客货运枢纽场站布局，打造河港、陆港、空港“三位一体”的现代综合交通枢纽体系。完善“三主、六辅”综合客运枢纽布局，推进曲阜东、济宁北、大安机场等综合客运主枢纽建设，提升济宁东、曲阜南、嘉祥北、梁山、邹城东、泗水南等客运枢纽功能，加快发展公铁、公空等旅客联程运输服务，推动枢纽集约化布置和枢纽周边综合开发，形成彰显特色、一体发展的综合客运枢纽发展模式。依托内河重点港口、多式联运枢纽和机场等交通节点，建设无缝衔接、便捷高效的货运物流枢纽。完善高速铁路枢纽功能。推动大安机场临空经济区建设，打造区域航空枢纽。</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完善智慧绿色交通体系</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广人工智能在交通运输领域应用，推进交通运输服务全过程智慧化、数字化，强化智慧公路、智慧港航、智慧机场、智慧邮政等工程建设，建设智能交通指挥中心，升级“济港通”智慧平台，建立综合交通运输“智慧大脑”。推进城市公交车、出租车、重型卡车电动化替代，推动换电规模化、船舶电动化，打造京杭运河绿色智能化航线。实施交能融合工程，推动公路、航道沿线适度建设大功率充（换）电站、加气（氢）站等设施，促进</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交通枢纽、信息枢纽、污水处理等基础设施与分布式能源融合</w:t>
      </w:r>
      <w:r>
        <w:rPr>
          <w:rFonts w:hint="eastAsia" w:ascii="方正仿宋简体" w:hAnsi="文星仿宋" w:eastAsia="方正仿宋简体" w:cs="方正仿宋简体"/>
          <w:b/>
          <w:color w:val="000000" w:themeColor="text1"/>
          <w:sz w:val="32"/>
          <w:szCs w:val="32"/>
          <w14:textFill>
            <w14:solidFill>
              <w14:schemeClr w14:val="tx1"/>
            </w14:solidFill>
          </w14:textFill>
        </w:rPr>
        <w:t>发展。</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0" w:hRule="atLeast"/>
          <w:jc w:val="center"/>
        </w:trPr>
        <w:tc>
          <w:tcPr>
            <w:tcW w:w="8947" w:type="dxa"/>
          </w:tcPr>
          <w:p>
            <w:pPr>
              <w:pStyle w:val="17"/>
              <w:spacing w:line="440" w:lineRule="exact"/>
              <w:rPr>
                <w:rFonts w:ascii="方正黑体简体" w:eastAsia="方正黑体简体" w:cs="Times New Roman"/>
                <w:kern w:val="0"/>
                <w:sz w:val="30"/>
                <w:szCs w:val="30"/>
              </w:rPr>
            </w:pPr>
            <w:r>
              <w:rPr>
                <w:rFonts w:hint="eastAsia" w:ascii="方正黑体简体" w:eastAsia="方正黑体简体" w:cs="Times New Roman"/>
                <w:kern w:val="0"/>
                <w:sz w:val="30"/>
                <w:szCs w:val="30"/>
              </w:rPr>
              <w:t>专栏17  交通基础设施重大工程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99" w:hRule="atLeast"/>
          <w:jc w:val="center"/>
        </w:trPr>
        <w:tc>
          <w:tcPr>
            <w:tcW w:w="8947" w:type="dxa"/>
            <w:vAlign w:val="center"/>
          </w:tcPr>
          <w:p>
            <w:pPr>
              <w:spacing w:line="430" w:lineRule="exact"/>
              <w:ind w:firstLine="561"/>
              <w:rPr>
                <w:rFonts w:ascii="方正仿宋简体" w:eastAsia="方正仿宋简体"/>
                <w:b/>
                <w:sz w:val="28"/>
                <w:szCs w:val="28"/>
              </w:rPr>
            </w:pPr>
            <w:r>
              <w:rPr>
                <w:rFonts w:hint="eastAsia" w:ascii="方正黑体简体" w:eastAsia="方正黑体简体"/>
                <w:b/>
                <w:bCs/>
                <w:sz w:val="28"/>
                <w:szCs w:val="28"/>
              </w:rPr>
              <w:t>公路网络</w:t>
            </w:r>
            <w:r>
              <w:rPr>
                <w:rFonts w:hint="eastAsia" w:ascii="方正黑体简体" w:hAnsi="方正仿宋简体" w:eastAsia="方正黑体简体" w:cs="方正仿宋简体"/>
                <w:b/>
                <w:bCs/>
                <w:sz w:val="28"/>
                <w:szCs w:val="28"/>
              </w:rPr>
              <w:t>“</w:t>
            </w:r>
            <w:r>
              <w:rPr>
                <w:rFonts w:hint="eastAsia" w:ascii="方正黑体简体" w:eastAsia="方正黑体简体"/>
                <w:b/>
                <w:bCs/>
                <w:sz w:val="28"/>
                <w:szCs w:val="28"/>
              </w:rPr>
              <w:t>四通八达</w:t>
            </w:r>
            <w:r>
              <w:rPr>
                <w:rFonts w:hint="eastAsia" w:ascii="方正黑体简体" w:hAnsi="方正仿宋简体" w:eastAsia="方正黑体简体" w:cs="方正仿宋简体"/>
                <w:b/>
                <w:bCs/>
                <w:sz w:val="28"/>
                <w:szCs w:val="28"/>
              </w:rPr>
              <w:t>”</w:t>
            </w:r>
            <w:r>
              <w:rPr>
                <w:rFonts w:hint="eastAsia" w:ascii="方正黑体简体" w:eastAsia="方正黑体简体"/>
                <w:b/>
                <w:bCs/>
                <w:sz w:val="28"/>
                <w:szCs w:val="28"/>
              </w:rPr>
              <w:t>工程。</w:t>
            </w:r>
            <w:r>
              <w:rPr>
                <w:rFonts w:hint="eastAsia" w:ascii="方正仿宋简体" w:hAnsi="方正仿宋简体" w:eastAsia="方正仿宋简体" w:cs="方正仿宋简体"/>
                <w:b/>
                <w:sz w:val="28"/>
                <w:szCs w:val="28"/>
              </w:rPr>
              <w:t>高速公路方面，</w:t>
            </w:r>
            <w:r>
              <w:rPr>
                <w:rFonts w:hint="eastAsia" w:ascii="方正仿宋简体" w:eastAsia="方正仿宋简体"/>
                <w:b/>
                <w:sz w:val="28"/>
                <w:szCs w:val="28"/>
              </w:rPr>
              <w:t>推动（1）兖州至郓城高速（2）东阿至郓城高速梁山至郓城段（3）东阿至郓城高速东阿至梁山段（4）潍坊至邹城高速沂源至邹城段等重点项目建成通车；规划建设（5）章丘至枣庄高速（6）平邑至鄄城高速平邑至兖州段（7）金乡至永城高速济宁段（8）日兰高速改扩建等项目，到2030年，高速公路通车及在建里程达到908公里；研究推进（9）G104京岚线曲阜张阳至济宁枣庄界段改建（10）G105京澳线任城唐口至金乡胡集段改建（11）G237济宁线鱼台王鲁至鲁苏界段改建（12）G518日定线微山县城区至鲁苏</w:t>
            </w:r>
            <w:r>
              <w:rPr>
                <w:rFonts w:hint="eastAsia" w:ascii="方正仿宋简体" w:eastAsia="方正仿宋简体"/>
                <w:b/>
                <w:spacing w:val="-6"/>
                <w:sz w:val="28"/>
                <w:szCs w:val="28"/>
              </w:rPr>
              <w:t>界段改建（13）S103济枣线济宁泰安界至日兰高速段改建等工程；开展（14）济宁至梁山高铁站快速路（15）沿梁济运河快联快通道路改造工程方案研究。到2030年，实现主城区与各县市区连接公路全部为二级以上公路。</w:t>
            </w:r>
          </w:p>
          <w:p>
            <w:pPr>
              <w:spacing w:line="430" w:lineRule="exact"/>
              <w:ind w:firstLine="561"/>
              <w:rPr>
                <w:rFonts w:ascii="方正仿宋简体" w:hAnsi="方正仿宋简体" w:eastAsia="方正仿宋简体" w:cs="方正仿宋简体"/>
                <w:b/>
                <w:bCs/>
                <w:sz w:val="28"/>
                <w:szCs w:val="28"/>
              </w:rPr>
            </w:pPr>
            <w:r>
              <w:rPr>
                <w:rFonts w:hint="eastAsia" w:ascii="方正黑体简体" w:eastAsia="方正黑体简体"/>
                <w:b/>
                <w:bCs/>
                <w:sz w:val="28"/>
                <w:szCs w:val="28"/>
              </w:rPr>
              <w:t>内河水运“通江达海”工程。</w:t>
            </w:r>
            <w:r>
              <w:rPr>
                <w:rFonts w:hint="eastAsia" w:ascii="方正仿宋简体" w:eastAsia="方正仿宋简体"/>
                <w:b/>
                <w:bCs/>
                <w:sz w:val="28"/>
                <w:szCs w:val="28"/>
              </w:rPr>
              <w:t>加快规划建设京杭运河梁济运河段，实现京杭运河主航道全线二级通航，重要支流航道实现三级通航。到2030年，高等级内河航道里程达到560公里。</w:t>
            </w:r>
          </w:p>
          <w:p>
            <w:pPr>
              <w:spacing w:line="430" w:lineRule="exact"/>
              <w:ind w:firstLine="561"/>
              <w:rPr>
                <w:rFonts w:ascii="方正仿宋简体" w:eastAsia="方正仿宋简体"/>
                <w:b/>
                <w:bCs/>
                <w:sz w:val="28"/>
                <w:szCs w:val="28"/>
              </w:rPr>
            </w:pPr>
            <w:r>
              <w:rPr>
                <w:rFonts w:hint="eastAsia" w:ascii="方正黑体简体" w:eastAsia="方正黑体简体"/>
                <w:b/>
                <w:bCs/>
                <w:sz w:val="28"/>
                <w:szCs w:val="28"/>
              </w:rPr>
              <w:t>轨道交通“快捷畅达”工程。</w:t>
            </w:r>
            <w:r>
              <w:rPr>
                <w:rFonts w:hint="eastAsia" w:ascii="方正仿宋简体" w:eastAsia="方正仿宋简体"/>
                <w:b/>
                <w:bCs/>
                <w:sz w:val="28"/>
                <w:szCs w:val="28"/>
              </w:rPr>
              <w:t>通车运营（1）雄商高铁（2）济枣高铁；开展（3）济南至济宁铁路（4）日兰高铁与济枣高铁南下联络线方案研究。到2030年，高铁通车里程达到290.7公里。</w:t>
            </w:r>
          </w:p>
          <w:p>
            <w:pPr>
              <w:spacing w:line="430" w:lineRule="exact"/>
              <w:ind w:firstLine="561"/>
              <w:rPr>
                <w:rFonts w:ascii="方正仿宋简体" w:eastAsia="方正仿宋简体"/>
                <w:b/>
                <w:bCs/>
                <w:sz w:val="28"/>
                <w:szCs w:val="28"/>
              </w:rPr>
            </w:pPr>
            <w:r>
              <w:rPr>
                <w:rFonts w:hint="eastAsia" w:ascii="方正黑体简体" w:eastAsia="方正黑体简体"/>
                <w:b/>
                <w:bCs/>
                <w:sz w:val="28"/>
                <w:szCs w:val="28"/>
              </w:rPr>
              <w:t>民航机场“便捷高效”工程。</w:t>
            </w:r>
            <w:r>
              <w:rPr>
                <w:rFonts w:hint="eastAsia" w:ascii="方正仿宋简体" w:eastAsia="方正仿宋简体"/>
                <w:b/>
                <w:bCs/>
                <w:sz w:val="28"/>
                <w:szCs w:val="28"/>
              </w:rPr>
              <w:t>加强大安机场软硬件设施建设，加密机场航线网络布局，开通至烟台、乌鲁木齐等重点城市航线。培育航空货运市场，积极拓展货源，结合济宁航空物流发展需要，适时开通1—2条全货机航线。加快推进（1）梁山通用机场（2）微山通用机场建设。</w:t>
            </w:r>
          </w:p>
          <w:p>
            <w:pPr>
              <w:spacing w:line="430" w:lineRule="exact"/>
              <w:ind w:firstLine="561"/>
              <w:rPr>
                <w:rFonts w:ascii="方正仿宋简体" w:eastAsia="方正仿宋简体"/>
                <w:b/>
                <w:bCs/>
                <w:sz w:val="28"/>
                <w:szCs w:val="28"/>
              </w:rPr>
            </w:pPr>
            <w:r>
              <w:rPr>
                <w:rFonts w:hint="eastAsia" w:ascii="方正黑体简体" w:eastAsia="方正黑体简体"/>
                <w:b/>
                <w:bCs/>
                <w:sz w:val="28"/>
                <w:szCs w:val="28"/>
              </w:rPr>
              <w:t>综合交通枢纽建设。</w:t>
            </w:r>
            <w:r>
              <w:rPr>
                <w:rFonts w:hint="eastAsia" w:ascii="方正仿宋简体" w:eastAsia="方正仿宋简体"/>
                <w:b/>
                <w:bCs/>
                <w:sz w:val="28"/>
                <w:szCs w:val="28"/>
              </w:rPr>
              <w:t>建成梁山、邹城东高铁综合客运枢纽，推进兖州北站扩能改造，建成龙拱港、梁山港、济州港、复兴港等具有多式联运功能和公共服务属性的综合货运枢纽。</w:t>
            </w:r>
          </w:p>
        </w:tc>
      </w:tr>
    </w:tbl>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第四章  打造安全韧性现代水网</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坚持“六水”共治、“五水”并用，构建以京杭运河为主干、泗河等6条骨干河道为支撑、南四湖和249座水库为节点的安全韧性现代水网。</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夯实供水保障和水资源节约集约利用体系</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强供水保障工程建设，实施水库工程、河道拦蓄工程、引调水工程、非常规水利用工程建设，根据国家和省部署，相机实施国家南水北调东线后续工程及地方配套工程，优化水资源配置结构。坚持“四水四定”，强化水资源刚性约束，实施用水总量和用水强度双控，完善节水制度政策体系，开展深度节水控水行动，实施新建灌区、大中型灌区现代化改造、农村供水保障工程建设，推动工业节水减排，严格河湖生态水量约束，提高水资源利用水平和效率。</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健全洪涝灾害防御和水生态治理保护体系</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系统治理，加强水库、河道和蓄滞洪区等防洪排涝工程建设。实施水系连通工程、河道治理工程，推进重点山洪沟、重点涝区治理，开展蓄滞洪区安全设施建设，相机实施沂沭泗河洪水东调南下提标工程，依规开展大中型水闸（坝）及水库安全鉴定，完善山洪灾害防治区监测预警系统，提升全域防洪减灾能力。一以贯之强化河湖长制，实施河湖生态保护与修复、水土流失综合治理、地下水超采区治理、农村水系综合治理等工程，持续深化生活污水治理，改善河湖和地下水水生态环境。</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构建智慧数字水务和高效水务管理体系</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全面推进智慧水务新型基础设施建设，综合运用传统和新型感知设备，构建覆盖水网工程的“天空地水工”一体化全要素感知体系，加快水利数字孪生建设，优化水务数据模型应用，提升智慧水务管理能力。坚持依法科学治水、管水、护水，推动水务领域改革创新，实现水务治理体系和治理能力现代化。</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0" w:hRule="atLeast"/>
          <w:tblHeader/>
          <w:jc w:val="center"/>
        </w:trPr>
        <w:tc>
          <w:tcPr>
            <w:tcW w:w="8929" w:type="dxa"/>
            <w:tcBorders>
              <w:tl2br w:val="nil"/>
              <w:tr2bl w:val="nil"/>
            </w:tcBorders>
            <w:vAlign w:val="center"/>
          </w:tcPr>
          <w:p>
            <w:pPr>
              <w:pStyle w:val="17"/>
              <w:spacing w:line="440" w:lineRule="exact"/>
              <w:rPr>
                <w:rFonts w:ascii="方正黑体简体" w:eastAsia="方正黑体简体" w:cs="Times New Roman"/>
                <w:sz w:val="28"/>
                <w:szCs w:val="28"/>
              </w:rPr>
            </w:pPr>
            <w:r>
              <w:rPr>
                <w:rFonts w:hint="eastAsia" w:ascii="方正黑体简体" w:eastAsia="方正黑体简体" w:cs="Times New Roman"/>
                <w:kern w:val="0"/>
                <w:sz w:val="28"/>
                <w:szCs w:val="28"/>
              </w:rPr>
              <w:t>专栏18  重大水利基础设施建设工程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90" w:hRule="atLeast"/>
          <w:jc w:val="center"/>
        </w:trPr>
        <w:tc>
          <w:tcPr>
            <w:tcW w:w="8929" w:type="dxa"/>
            <w:tcBorders>
              <w:tl2br w:val="nil"/>
              <w:tr2bl w:val="nil"/>
            </w:tcBorders>
            <w:vAlign w:val="center"/>
          </w:tcPr>
          <w:p>
            <w:pPr>
              <w:spacing w:line="470" w:lineRule="exact"/>
              <w:ind w:firstLine="562"/>
              <w:rPr>
                <w:rFonts w:ascii="方正仿宋简体" w:eastAsia="方正仿宋简体"/>
                <w:b/>
                <w:bCs/>
                <w:sz w:val="28"/>
                <w:szCs w:val="28"/>
              </w:rPr>
            </w:pPr>
            <w:r>
              <w:rPr>
                <w:rFonts w:hint="eastAsia" w:ascii="方正黑体简体" w:eastAsia="方正黑体简体"/>
                <w:b/>
                <w:bCs/>
                <w:sz w:val="28"/>
                <w:szCs w:val="28"/>
              </w:rPr>
              <w:t>供水保障体系重点工程。</w:t>
            </w:r>
            <w:r>
              <w:rPr>
                <w:rFonts w:hint="eastAsia" w:ascii="方正仿宋简体" w:eastAsia="方正仿宋简体"/>
                <w:b/>
                <w:bCs/>
                <w:sz w:val="28"/>
                <w:szCs w:val="28"/>
              </w:rPr>
              <w:t>（1）刘鲁庄水库项目（2）西苇水库综合治理项目（3）引黄西线配套沉沙池提升项目（马营水库）（4）济宁市引黄西线工程新建南张水库项目（5）曲阜市泗河流域水资源配置工程（6）微山县水资源引调水工程（7）邹城市供水能力提升项目二期（8）曲阜市开发区地表水厂项目（9）任城区二十里铺地表水厂项目（10）嘉祥县农村供水工程提升改造项目（11）济宁高新区城乡供水一体化提升工程（一期）（12）鱼台县西部旱田区灌区供水提升工程等。</w:t>
            </w:r>
          </w:p>
          <w:p>
            <w:pPr>
              <w:adjustRightInd w:val="0"/>
              <w:snapToGrid w:val="0"/>
              <w:spacing w:line="470" w:lineRule="exact"/>
              <w:ind w:firstLine="562"/>
              <w:rPr>
                <w:rFonts w:ascii="方正仿宋简体" w:eastAsia="方正仿宋简体"/>
                <w:b/>
                <w:bCs/>
                <w:sz w:val="28"/>
                <w:szCs w:val="28"/>
              </w:rPr>
            </w:pPr>
            <w:r>
              <w:rPr>
                <w:rFonts w:hint="eastAsia" w:ascii="方正黑体简体" w:eastAsia="方正黑体简体"/>
                <w:b/>
                <w:bCs/>
                <w:sz w:val="28"/>
                <w:szCs w:val="28"/>
              </w:rPr>
              <w:t>水资源节约集约利用体系重点工程。</w:t>
            </w:r>
            <w:r>
              <w:rPr>
                <w:rFonts w:hint="eastAsia" w:ascii="方正仿宋简体" w:eastAsia="方正仿宋简体"/>
                <w:b/>
                <w:bCs/>
                <w:sz w:val="28"/>
                <w:szCs w:val="28"/>
              </w:rPr>
              <w:t>（1）汶上县三湖灌区项目（2）嘉祥县新庄中型灌区项目（3）山东省国那里灌区续建配套与现代化改造工程（4）嘉祥县金屯灌区现代化改造工程（5）鱼台县非常规水利用工程（6）南四湖水资源优化配置工程等。</w:t>
            </w:r>
          </w:p>
          <w:p>
            <w:pPr>
              <w:widowControl/>
              <w:spacing w:line="470" w:lineRule="exact"/>
              <w:ind w:firstLine="562" w:firstLineChars="200"/>
              <w:rPr>
                <w:rFonts w:ascii="方正仿宋简体" w:eastAsia="方正仿宋简体"/>
                <w:b/>
                <w:bCs/>
                <w:sz w:val="28"/>
                <w:szCs w:val="28"/>
              </w:rPr>
            </w:pPr>
            <w:r>
              <w:rPr>
                <w:rFonts w:hint="eastAsia" w:ascii="方正黑体简体" w:eastAsia="方正黑体简体"/>
                <w:b/>
                <w:bCs/>
                <w:sz w:val="28"/>
                <w:szCs w:val="28"/>
              </w:rPr>
              <w:t>洪涝灾害防御体系重点工程。</w:t>
            </w:r>
            <w:r>
              <w:rPr>
                <w:rFonts w:hint="eastAsia" w:ascii="方正仿宋简体" w:eastAsia="方正仿宋简体"/>
                <w:b/>
                <w:bCs/>
                <w:sz w:val="28"/>
                <w:szCs w:val="28"/>
              </w:rPr>
              <w:t>加快（1）泗河、</w:t>
            </w:r>
            <w:r>
              <w:rPr>
                <w:rFonts w:hint="eastAsia" w:ascii="宋体" w:hAnsi="宋体" w:cs="宋体"/>
                <w:b/>
                <w:bCs/>
                <w:sz w:val="28"/>
                <w:szCs w:val="28"/>
              </w:rPr>
              <w:t>洸</w:t>
            </w:r>
            <w:r>
              <w:rPr>
                <w:rFonts w:hint="eastAsia" w:ascii="方正仿宋简体" w:hAnsi="方正仿宋简体" w:eastAsia="方正仿宋简体" w:cs="方正仿宋简体"/>
                <w:b/>
                <w:bCs/>
                <w:sz w:val="28"/>
                <w:szCs w:val="28"/>
              </w:rPr>
              <w:t>府河、白马河、苏鲁边河等中小河道治理工程</w:t>
            </w:r>
            <w:r>
              <w:rPr>
                <w:rFonts w:hint="eastAsia" w:ascii="方正仿宋简体" w:eastAsia="方正仿宋简体"/>
                <w:b/>
                <w:bCs/>
                <w:sz w:val="28"/>
                <w:szCs w:val="28"/>
              </w:rPr>
              <w:t>；开展（2）松山东闸、对口闸东闸等水利除险加固工程；推进（3）梁济运河邓楼至湖口段防洪综合治理工程（邓楼通航节制闸至湖口段）（4）</w:t>
            </w:r>
            <w:r>
              <w:rPr>
                <w:rFonts w:hint="eastAsia" w:ascii="方正仿宋简体" w:eastAsia="方正仿宋简体"/>
                <w:b/>
                <w:bCs/>
                <w:sz w:val="28"/>
                <w:szCs w:val="28"/>
                <w:lang w:bidi="ar"/>
              </w:rPr>
              <w:t>山东省南四湖湖西区梁济运河片排涝工</w:t>
            </w:r>
            <w:r>
              <w:rPr>
                <w:rFonts w:hint="eastAsia" w:ascii="方正仿宋简体" w:eastAsia="方正仿宋简体"/>
                <w:b/>
                <w:bCs/>
                <w:spacing w:val="-6"/>
                <w:sz w:val="28"/>
                <w:szCs w:val="28"/>
                <w:lang w:bidi="ar"/>
              </w:rPr>
              <w:t>程</w:t>
            </w:r>
            <w:r>
              <w:rPr>
                <w:rFonts w:hint="eastAsia" w:ascii="方正仿宋简体" w:eastAsia="方正仿宋简体"/>
                <w:b/>
                <w:bCs/>
                <w:sz w:val="28"/>
                <w:szCs w:val="28"/>
              </w:rPr>
              <w:t>（5）山东省南四湖湖东区湖东滨湖及韩庄运河片排涝工程（微山县）等。</w:t>
            </w:r>
          </w:p>
          <w:p>
            <w:pPr>
              <w:adjustRightInd w:val="0"/>
              <w:snapToGrid w:val="0"/>
              <w:spacing w:line="470" w:lineRule="exact"/>
              <w:ind w:firstLine="562"/>
              <w:rPr>
                <w:rFonts w:ascii="方正仿宋简体" w:eastAsia="方正仿宋简体"/>
                <w:b/>
                <w:sz w:val="28"/>
                <w:szCs w:val="28"/>
              </w:rPr>
            </w:pPr>
            <w:r>
              <w:rPr>
                <w:rFonts w:hint="eastAsia" w:ascii="方正黑体简体" w:eastAsia="方正黑体简体"/>
                <w:b/>
                <w:bCs/>
                <w:sz w:val="28"/>
                <w:szCs w:val="28"/>
              </w:rPr>
              <w:t>水生态保护治理体系重点工程。</w:t>
            </w:r>
            <w:r>
              <w:rPr>
                <w:rFonts w:hint="eastAsia" w:ascii="方正仿宋简体" w:eastAsia="方正仿宋简体"/>
                <w:b/>
                <w:bCs/>
                <w:sz w:val="28"/>
                <w:szCs w:val="28"/>
              </w:rPr>
              <w:t>（1）大汶河（济宁段）生态保护修复工程（2）山东省泗河水生态保护修复工程（3）鱼台县老万福河生态环境综合治理工程（4）鱼台县鹿洼塌陷地水生态修复及水源地工程（5）微山县城乡污水管网智慧化提升改造工程（6）曲阜市陵城污水处理厂及配套管网项目（7）泗水县生态新城污水处理厂工程（8）汶上县佛都污水处理厂扩容工程项目等。</w:t>
            </w:r>
          </w:p>
        </w:tc>
      </w:tr>
    </w:tbl>
    <w:p>
      <w:pPr>
        <w:spacing w:line="600" w:lineRule="exact"/>
        <w:ind w:firstLine="642" w:firstLineChars="200"/>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第五章  打造全国统一大市场市域典范</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建立健全市县两级服务和融入全国统一大市场建设工作协调推进机制，健全完善“五统一、一开放”和“六个着力”配套政策体系，为纵深推进全国统一大市场建设打造“济宁典范”。</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深入实施市场活力提升工程</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健全产权保护、市场准入、信息披露、社会信用、兼并重组、市场退出等制度规则，消除要素获取、资格认证、招标投标、政府采购等方面壁垒。实行统一的市场准入制度，严格落实“全国一张清单”管理模式。加力推进市场准入壁垒清理整治行动，畅通“1+1+N”投诉反映渠道，完善“线索摸排、核查整改、跟踪问效”闭环推进体系。强化公平竞争审查刚性约束，深入整治滥用行政权力排除、限制竞争行为，每年抽检市县两级文件300份以上，深化地方标准管理制度改革，持续完善装备制造、高端化工等重点领域标准。综合整治“内卷式”竞争，依法依规治理企业低价无序竞争，严格规范招商引资行为。深化社会信用体系建设，健全完善以信用为基础的新型监督机制，打造高效、安全、便捷的信用信息共享平台，丰富拓展信用应用场景，全力建设“信用济宁”。</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加快建设统一要素资源市场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开展要素市场化配置差别化改革，建立生产要素向新质生产力集聚机制，全力推进一批新型要素综合改革事项。深化科技体制改革，支持企业、驻济高校、科研院所共建产学研创新联盟10家以上，探索创新职务科技成果转化管理方式，通过研发合作、技术转让、技术许可等转化科技成果100项以上。优化年度土地利用计划管理，加快发展建设用地二级市场，建立健全城乡统一的建设用地市场，深化“亩产效益”综合评价改革，依法稳妥推进工商业用地使用权续期工作。建立健全流动顺畅的劳动力市场，完善人力资源供需匹配体系，强化“五链融合”人才要素协同汇聚机制。做大做强数据服务商联盟，健全数据价值化全流程服务体系，统筹推进可信数据空间建设，加快数据流通和开发利用，打造数据产业集聚区。畅通金融惠企政策传导，保持流动性充裕，编制地方资产负债表，优化资产负债结构，完善并购、破产、置换等政策，盘活用好低效用地、闲置房产、存量基础设施。深化资源环境要素市场化配置改革，推进碳排放权、用水权、排污权等市场化交易，稳妥有序推进公用事业价格改革，落实天然气上下游价格联动机制。</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构建现代物流空间布局</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发挥济宁港和兖州国际陆港核心带动作用，打造山东京杭多式联运集聚区、任城临港物流产业集聚区、国际农产品冷链物流集聚区、邹城多式联运物流集聚区4个集聚区，优化济宁高新区综合保税物流园、济宁空港物流园、山东凯盛国际农产品物流园、运河国际农产品物流园、济宁南部新材料物流园、兖州电商产业园6个百亿级物流园区布局，提升宁德博睿供应链物流基地、济宁低空物流基地、高端汽车零部件集散基地、南四湖城乡冷链仓储物流基地、济宁高新区医药物流基地等特色产业物流基地支撑功能，构建“两核带动、四区引领、六园驱动、五地助力”的物流空间布局。持续推动降低全社会物流成本，强化物流基础设施和服务能力建设，加快推进济宁国家骨干冷链物流基地建设，促进快递业高质量发展，完善供销、交通、邮政快递等网点设施，实现县级综合商贸服务中心和物流配送中心、乡镇商贸中心、建制村快递服务100%覆盖，依托兖州区建设全国性快递网络分拨中心集聚区，打造国家邮政快递枢纽。到2030年，社会物流总额达到2万亿元。</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建设区域性市场交易中心</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进多层级商圈建设，构建以城市商业中心和区域商业中心为高端集聚区、特色商业街区为支撑、社区商业为基础的商圈体系，引导大型商业综合体多业态互融，推动步行街向复合功能延伸升级，完善社区嵌入式服务设施功能配置。布局直播电商基地、供应链基地和电商产业带，建设电商重点企业库、品牌网货库、电商人才库和网货供应链选品中心，打造“小而美”网红品牌。加快县乡村商业网络建设，拓展农村市场，建设乡镇商贸中心、大中型超市、集贸市场、农村传统商业网点，发展新型乡村便利店直营店。以能源、矿石、农产品、机械设备等大宗商品为重点，推动商品市场数智供应链改造升级，做强做优京杭运河大宗商品交易中心、梁山县二手设备交易集散中心、金乡县农产品国际交易市场、鱼台生物基纺织新材料交易中心等区域性市场枢纽。</w:t>
      </w:r>
    </w:p>
    <w:p>
      <w:pPr>
        <w:spacing w:line="55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5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第六篇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进一步全面深化改革，</w:t>
      </w:r>
    </w:p>
    <w:p>
      <w:pPr>
        <w:spacing w:line="55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充分激发高质量发展动力活力</w:t>
      </w:r>
    </w:p>
    <w:p>
      <w:pPr>
        <w:spacing w:line="55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5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以经济体制改革为牵引，有序推进重点领域、关键环节改革，着力推动制度机制创新，推动一批重点改革事项落地见效，为高质量发展注入更多动力活力。</w:t>
      </w:r>
    </w:p>
    <w:p>
      <w:pPr>
        <w:spacing w:line="55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深化激发经营主体活力改革</w:t>
      </w:r>
    </w:p>
    <w:p>
      <w:pPr>
        <w:spacing w:line="55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坚持和落实“两个毫不动摇”，深化国资国企、金融国企改革，发展壮大民营经济，支持中小企业和个体工商户发展，促进各种所有制经济优势互补、共同发展。</w:t>
      </w:r>
    </w:p>
    <w:p>
      <w:pPr>
        <w:spacing w:line="55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做强做优国资国企</w:t>
      </w:r>
    </w:p>
    <w:p>
      <w:pPr>
        <w:spacing w:line="55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做强做优做大国有资本和国有企业，加快建设中国特色现代企业制度，健全党的领导有效融入公司治理机制，加强董事会建设，构建市场化新型经营责任制，规范薪酬分配机制。优化国有资本布局，强化主责主业管理，原则上每户国有企业突出1—2个主业，明确国有资本投资方向与负面清单，重点投向港口物流、能源、高端装备等优势产业，探索布局新能源、新材料、节能环保等前瞻性产业，扎实做好公共事业服务。完善国有企业科技创新政策体系，加强人才引育留用，推动企业研发投入稳步增长，支持企业联合高等学校、科研院所组建创新联合体，参与承担重大科技创新任务。实施央企省企合作行动，加强与中央企业、省属企业深度合作。提升国有企业核心竞争力，打造一流市属国有企业。到2030年，市属国有企业资产总额突破3200亿元。</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发展壮大民营经济</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民营经济活力提升计划，落实民营经济促进法，健全民营企业公平参与市场竞争保障机制、参与重点项目建设长效机制和民间投资项目投融资体制机制。强化民间投资要素保障，持续推进“降门槛、扩领域”，提高工业用地、新增能耗支持民间投资项目比重</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w:t>
      </w:r>
      <w:r>
        <w:rPr>
          <w:rFonts w:hint="eastAsia" w:ascii="方正仿宋简体" w:hAnsi="文星仿宋" w:eastAsia="方正仿宋简体" w:cs="方正仿宋简体"/>
          <w:b/>
          <w:color w:val="000000" w:themeColor="text1"/>
          <w:sz w:val="32"/>
          <w:szCs w:val="32"/>
          <w14:textFill>
            <w14:solidFill>
              <w14:schemeClr w14:val="tx1"/>
            </w14:solidFill>
          </w14:textFill>
        </w:rPr>
        <w:t>强化产权执法司法保护，从制度上保障公平参与市场竞争、平等使用生产要素、有效保护合法权益。深入开展服务民营企业专项行动，完善政企常态化沟通交流机制，塑强“运河儒商会客厅”品牌，构建亲清统一的新型政商关系。健全国企民企协同发展机制，完善中国特色现代企业制度，尊重企业家、支持企业家、保护企业家，弘扬企业家精神，实施“企业家培育工程”，加强优秀青年企业家队伍建设，一体推进清廉、法治、诚信企业建设。实施民营企业梯度培育行动，每年滚动实施1000个左右民营企业技术改造项目、新培育专精特新等创新型企业100家以上，推动太阳纸业、华勤集团、恒信集团等企业营业收入规模突破千亿，加快建设更多行业一流企业，推动民营企业发展壮大、民营经济更高质量发展。</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提升经济治理效能</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坚持目标导向、问题导向，提升财税、金融更好促进经济高质量发展的效能，增强宏观政策取向一致性。</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深化市县财税体制改革</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纵深推进财政科学管理，加强财政资源和预算统筹。深化零基预算改革，加强预算绩效管理，完善国有资本经营预算和绩效评价制度，健全财政支出分类保障机制，加强重大战略任务和基本民生财力保障。优化财政资源配置与基层保障，健全市对县转移支付制度，完善市县财政事权和支出责任划分。健全基层财政运行风险管控机制，筑牢兜实“三保”底线。全面贯彻落实国家各项税制改革部署，精准做好政策衔接与征管服务。加快融资平台和城投公司改革转型，推动逐步转型为独立经营主体。</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加快建设金融强市</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积极运作政府投资基金、市级技改基金，吸引撬动金融和社会资本支持新兴产业培育和重点产业发展。发挥太白湖新区金融业集聚优势，吸引持牌金融机构、第三方投融资中介和基金等机构集聚发展，打造区域性金融业发展高地。大力实施上市企业培育计划，支持优质企业对接境内外多层次资本市场，持续挖掘培育发债主体，积极拓宽企业融资渠道，推动直接融资扩容增效。引导保险资金服务地方重大项目和实体经济。综合运用贷款贴息、以奖代补、股权投资等方式，深化财政金融协同联动。深入推进“信易贷”工作，加强市金融信用服务平台建设应用，支持金融机构挖掘信用信息价值，持续提升守信主体融资便利化水平。积极发展科技金融、绿色金融、普惠金融、养老金融、数字金融。加快推进市级国有金融资本管理改革。深化金融供给侧结构性改革，打造具有济宁特色的金融服务体系。</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擦亮营商环境“济宁品牌”</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以“场景培育、品牌提质、集约开放、数智赋能”为主线，加快推动“人工智能+政务服务”改革，构建“一体化、品质化、智能化、生态化”的政务服务新体系，持续塑强“民事无忧</w:t>
      </w:r>
      <w:r>
        <w:rPr>
          <w:rFonts w:hint="eastAsia" w:ascii="方正仿宋简体" w:hAnsi="宋体" w:eastAsia="方正仿宋简体" w:cs="宋体"/>
          <w:b/>
          <w:color w:val="000000" w:themeColor="text1"/>
          <w:sz w:val="32"/>
          <w:szCs w:val="32"/>
          <w14:textFill>
            <w14:solidFill>
              <w14:schemeClr w14:val="tx1"/>
            </w14:solidFill>
          </w14:textFill>
        </w:rPr>
        <w:t>·</w:t>
      </w:r>
      <w:r>
        <w:rPr>
          <w:rFonts w:hint="eastAsia" w:ascii="方正仿宋简体" w:hAnsi="方正仿宋简体" w:eastAsia="方正仿宋简体" w:cs="方正仿宋简体"/>
          <w:b/>
          <w:color w:val="000000" w:themeColor="text1"/>
          <w:sz w:val="32"/>
          <w:szCs w:val="32"/>
          <w14:textFill>
            <w14:solidFill>
              <w14:schemeClr w14:val="tx1"/>
            </w14:solidFill>
          </w14:textFill>
        </w:rPr>
        <w:t>企事有解</w:t>
      </w:r>
      <w:r>
        <w:rPr>
          <w:rFonts w:hint="eastAsia" w:ascii="方正仿宋简体" w:hAnsi="宋体" w:eastAsia="方正仿宋简体" w:cs="宋体"/>
          <w:b/>
          <w:color w:val="000000" w:themeColor="text1"/>
          <w:sz w:val="32"/>
          <w:szCs w:val="32"/>
          <w14:textFill>
            <w14:solidFill>
              <w14:schemeClr w14:val="tx1"/>
            </w14:solidFill>
          </w14:textFill>
        </w:rPr>
        <w:t>·</w:t>
      </w:r>
      <w:r>
        <w:rPr>
          <w:rFonts w:hint="eastAsia" w:ascii="方正仿宋简体" w:hAnsi="方正仿宋简体" w:eastAsia="方正仿宋简体" w:cs="方正仿宋简体"/>
          <w:b/>
          <w:color w:val="000000" w:themeColor="text1"/>
          <w:sz w:val="32"/>
          <w:szCs w:val="32"/>
          <w14:textFill>
            <w14:solidFill>
              <w14:schemeClr w14:val="tx1"/>
            </w14:solidFill>
          </w14:textFill>
        </w:rPr>
        <w:t>政事高效”服务品牌，推广无感监管，全力打造市场化、法治化、国际化一流营商环境。</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营造数智便利的政务服务环境</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纵深推进“高效办成一件事”，高标准落实国家和省重点任务，拓展培育更多“一件事”特色服务场景，实现重点“一件事”能办率保持100%，好办易办率达90%以上。强化市、县、乡政务服务阵地建设，全域打造现代智慧“政务综合体”，完善基层“1530”政务服务圈，强化动态感知、智能分析、自动预警等能力，逐步实现“线下大厅、线上管理”</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智慧化转型</w:t>
      </w:r>
      <w:r>
        <w:rPr>
          <w:rFonts w:hint="eastAsia" w:ascii="方正仿宋简体" w:hAnsi="文星仿宋" w:eastAsia="方正仿宋简体" w:cs="方正仿宋简体"/>
          <w:b/>
          <w:color w:val="000000" w:themeColor="text1"/>
          <w:sz w:val="32"/>
          <w:szCs w:val="32"/>
          <w14:textFill>
            <w14:solidFill>
              <w14:schemeClr w14:val="tx1"/>
            </w14:solidFill>
          </w14:textFill>
        </w:rPr>
        <w:t>。开展“码卡证照”创新应用，实现高频事项全流程数字化运行。探索建设政务服务大模型，推行“数字人”、智能审批、交互式导办等服务，构建“智慧审批、快申易审”服务新模式。</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构建“有事即办、无事不扰”服务机制</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深化相对集中行政许可权改革，打造精简规范、审管联动、权责清晰、一门办理“济宁样板”。推行“三阶集成、并联审批、联合验收”模式，建立验收与不动产登记、税费缴纳、生产许可“无感衔接”机制，实现“拿地即开工、竣工即拿证、投产即运营”。完善提升“惠企通”服务平台，推动惠企政策“免申即享”“直达快享”。规范涉企行政执法，强化涉企收费、账款清偿长效监管，推进“无感监管”“无事不扰”“综合查一次”。常态化开展“亲清会客厅”政企互动活动，严格落实企业诉求“2110”快速响应机制，持续优化为企服务。</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第七篇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着力优化开放格局，打造高水平对外开放新高地</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坚持开放合作、互利共赢，以制度型开放为重点，持续优化对外开放格局，全面融入国家和省区域发展战略，拓展全方位开放新格局新空间。</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强化区域开放合作</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持续深化区域经济合作，进一步拓展合作领域、提升协作层次，全面塑强高质量发展新优势。</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积极融入国家区域重大战略</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落实黄河流域生态保护和高质量发展战略，主动对接京津冀协同发展、长三角一体化发展和粤港澳大湾区建设，建设长三角产业协同创新中心，在对接长三角新质生产力融合发展上先行先试、探索实践。加强与淮河生态经济带城市战略协同、与上海市杨浦区战略合作，积极参与共建晋冀鲁豫骨干流通走廊。实施“济宁优品 链通全球”国际市场开拓行动，进一步拓展东南亚、非洲、中亚等“一带一路”国家新兴市场，加强与“丝路海运”联盟深度合作，鼓励商贸服务型企业建设公共海外仓，探索建立“产业带+海外仓+跨境电商平台”模式。高质量做好对口支援和东西部协作工作。</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全面融入全省区域协调发展格局</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积极融入济南、青岛都市圈联动发展协同开放格局，参与“济青双都市圈产业与资本对接平台”，推动济宁高新区与青岛西海岸新区共建“智能制造产业协作区”。聚焦区域副中心功能定位，</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坚持创新引领，推动绿色发展，深化改革开放，构建“济宁版”现代化产业体系，打造创新创业引领发展新高地，推动“交通大枢纽、信息大动脉、开放大平台”提档升级、融通赋能，加快建设国家服务型制造示范城市、国家信息消费示范城市、国家级跨境电商综合试验区、世界文化旅游名城，争创国家新型工业化示范区、港口型国家物流枢纽、全国性综合交通枢纽城市，引领带动周边地区提升创新联动、产业协作、设施互联、要素配置水平，在鲁南经济圈改革发展中走在前，在绿色低碳高质量发展先行区建设上勇争先</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促进双向投资合作</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全力拓增量、稳存量，全力以赴招商引资，以更多产业投资实物量为经济高质量发展提供有力支撑。</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开展高质量招商引资</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把招商引资作为“一把手”工程，用好产业链招商、资本招</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商、以商招商等方式，以京津冀、长三角、粤港澳大湾区等地区为重点，精准开展产业招商对接、项目推进活动，落地一批重大项目。围绕“232”优势产业集群和15条标志性产业链，着力补齐上下游、整合左右岸，招引一批产业链关键配套项目。支持企业增资扩产，加强地企融合，吸引驻济企业投资。持续加强外商投资保护，提高投资运营便利化水平，加大外资企业境内再投资支持力度。</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强化开发区产业项目集聚能力</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开发区管理制度改革，聚焦开发区主导产业，招引落地一批产业链延链补链项目，培育形成一批特色产业集群。支持兖州工业园区、邹城经济开发区创建国家级经济技术开发区，发挥兖州中欧、济宁高新区中日韩等国际合作园区集聚优势，招引更多项目落地建设。强化开发区对外开放主阵地作用，全市开发区实际使用外资和外贸进出口总额占全市比重达到85%左右。</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推动贸易创新发展</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创新开拓方式，优化国际市场布局，加快打造外贸新增长点，到2030年，全市外贸总额突破2500亿元。</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加力提升对外贸易能级</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优化升级货物贸易，建立国际产销对接机制，发挥济宁高新保税物流中心（B型）、易运盈、龙拱港海关监管作业场所等开放平台辐射作用，全力开拓国际市场，组织“千企百展”出海抢单，推动名优产品打开国际销路，打造优质国际农产品、工业品品牌。争创山东省二手车出口集群。充分发挥山推、小松、海拓等企业的带动作用，构建辐射全国的工程机械外贸新高地。</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打造高能级外贸服务平台</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大力发展服务贸易，构建全流程跨境贸易服务体系，提升服务贸易标准化水平。引育优质服务平台，支持曲阜国家级文化产业示范园推出数字内容、高端研学、文创授权等服务，争创国家级特色服务出口基地（文化），带动服务与相关货物出口规模突破50亿元。创新发展数字贸易，做强跨境电商新业态，建设济宁跨境电商综合试验区，打造国际供应链综合服务平台和大宗矿产品物贸平台，提升“易盈出海”外贸综合服务水平，争创省级跨境电商产业园和品牌商品展示中心。</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40" w:lineRule="exact"/>
        <w:jc w:val="center"/>
        <w:rPr>
          <w:rFonts w:ascii="方正小标宋简体" w:hAnsi="文星仿宋" w:eastAsia="方正小标宋简体" w:cs="方正仿宋简体"/>
          <w:b/>
          <w:color w:val="000000" w:themeColor="text1"/>
          <w:spacing w:val="-16"/>
          <w:sz w:val="36"/>
          <w:szCs w:val="36"/>
          <w14:textFill>
            <w14:solidFill>
              <w14:schemeClr w14:val="tx1"/>
            </w14:solidFill>
          </w14:textFill>
        </w:rPr>
      </w:pPr>
      <w:r>
        <w:rPr>
          <w:rFonts w:hint="eastAsia" w:ascii="方正小标宋简体" w:hAnsi="文星仿宋" w:eastAsia="方正小标宋简体" w:cs="方正仿宋简体"/>
          <w:b/>
          <w:color w:val="000000" w:themeColor="text1"/>
          <w:spacing w:val="-16"/>
          <w:sz w:val="36"/>
          <w:szCs w:val="36"/>
          <w14:textFill>
            <w14:solidFill>
              <w14:schemeClr w14:val="tx1"/>
            </w14:solidFill>
          </w14:textFill>
        </w:rPr>
        <w:t>第八篇</w:t>
      </w:r>
      <w:r>
        <w:rPr>
          <w:rFonts w:ascii="方正小标宋简体" w:hAnsi="文星仿宋" w:eastAsia="方正小标宋简体" w:cs="方正仿宋简体"/>
          <w:b/>
          <w:color w:val="000000" w:themeColor="text1"/>
          <w:spacing w:val="-16"/>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pacing w:val="-16"/>
          <w:sz w:val="36"/>
          <w:szCs w:val="36"/>
          <w14:textFill>
            <w14:solidFill>
              <w14:schemeClr w14:val="tx1"/>
            </w14:solidFill>
          </w14:textFill>
        </w:rPr>
        <w:t>发挥内河航运独特优势，加快建设北方内河航运中心</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现代港航物流发展突破战略，坚持“5375”思路布局，全力推进高等级内河航道畅通、临港产业突破、物流贸易跃升、绿色智能转型、运河文化传承创新“五大工程”，推动港航产业成为济宁经济增长重要引擎。到2030年，全市港口货物吞吐能力突破2亿吨，港口集装箱吞吐量达到100万标箱。</w:t>
      </w:r>
    </w:p>
    <w:p>
      <w:pPr>
        <w:spacing w:line="54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推动建设港口型国家物流枢纽</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聚力补短板、畅通道、扩能级，整合全市港口、航道等资源，提升“公铁水空”多式联运水平，加快构建现代化内河航运体系。</w:t>
      </w:r>
    </w:p>
    <w:p>
      <w:pPr>
        <w:spacing w:line="54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建设现代化亿吨大港口</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按照“一港八区”整体布局，优化航运中心港口布局，大力提升港口吞吐能力，加快推进梁山港二期、顺达港二期、祥城北港、微山港建设，建设梁山、主城、微山三个亿吨级港口群。围绕“一干双线十二支”高等级内河航道网，实施京杭运河主航道扩容改造和支流航道加密升级，加快推进京杭运河微山三线船闸、京杭运河湖西航道（上级湖段）改造等重大航道工程，实施京杭运河梁济运河段改造工程、长沟复线船闸工程，推动复兴河、湖西白马河、洙水河等重要支流航道改造升级。到2030年，高等级内河航道网里程达到560公里，实现京杭运河主航道二级通航、重要支流航道三级以上通航。</w:t>
      </w:r>
    </w:p>
    <w:p>
      <w:pPr>
        <w:spacing w:line="54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打造公铁水空海联运大通道</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依托京杭运河与瓦日铁路、新兖铁路、长江的交汇区位优势，积极融入河江海联运、新亚欧大陆桥、中欧班列和晋冀鲁豫大宗商品骨干流通走廊等通道，加快京杭运河济宁段扩能升级，积极配合推动京杭运河黄河以北段通航研究，畅通“丰”字形铁水联运大通道，打造内陆“双循环”桥头堡。发挥梁山港和龙拱港两大枢纽港优势，强化瓦日铁路、新兖铁路和京杭运河沿线物流资源要素聚集，推动河港、兖州国际陆港联动发展，提升大宗商品、集装箱货物物流辐射能力，打通陆海空、公铁水多式联运“大循环”，推动重点铁路专用线“进港区、进园区、进厂区”，加快建设园区、厂区专业码头。强化与全国重要海港、江河沿线大港合作，加密内河集装箱航线，推动港口联通国省主干道，实施“支线铁路进港入园”工程，优化大安机场航线布局，推广多式联运“一单制”“一箱制”，形成河港—陆港—空港—海港“四港联动”格局，创建港口型国家物流枢纽。到2030年，全市内河集</w:t>
      </w:r>
      <w:r>
        <w:rPr>
          <w:rFonts w:hint="eastAsia" w:ascii="方正仿宋简体" w:hAnsi="文星仿宋" w:eastAsia="方正仿宋简体" w:cs="方正仿宋简体"/>
          <w:b/>
          <w:color w:val="000000" w:themeColor="text1"/>
          <w:spacing w:val="-8"/>
          <w:sz w:val="32"/>
          <w:szCs w:val="32"/>
          <w14:textFill>
            <w14:solidFill>
              <w14:schemeClr w14:val="tx1"/>
            </w14:solidFill>
          </w14:textFill>
        </w:rPr>
        <w:t>装箱航线累计开通40条，“一单制”集装箱货运量达到15万标箱。</w:t>
      </w:r>
    </w:p>
    <w:p>
      <w:pPr>
        <w:spacing w:line="54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提升港航设施绿智化水平</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快绿智港口建设，推进多式联运绿色低碳和近零碳港口试点，实施港口自动化改造升级，深化5G、北斗、物联网等新技术应用，优化提升港口功能，打造全国领先的内河智慧港口。推动绿智船舶标准化、规模化发展，打造“气化运河”“电化运河”。打造绿色智慧航道样板，加快布局建设水上绿色航运综合服务区，完成京杭运河湖西航道（上级湖段）、京杭运河柳长河段等信息化工程，数字化航道里程达到260公里，实现与长江水系航道数据互联、信息互通。升级“济港通”平台，打造集数据、服务、算法为一体的综合交通“智慧大脑”，全面提升内河航运智慧化管理、数字化服务水平。</w:t>
      </w:r>
    </w:p>
    <w:p>
      <w:pPr>
        <w:spacing w:line="54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推动港产城融合发展</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聚焦“亿吨大港、百万标箱、千亿产业”，一体推进“物流、贸易、产业”融合并进，推动港口由“过路经济”向“产业经济”转变，实现“建好一个港、激活一条链、带动一座城”。到2030年，港航营业收入突破2200亿元。</w:t>
      </w:r>
    </w:p>
    <w:p>
      <w:pPr>
        <w:spacing w:line="54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培育千亿级物贸大产业</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壮大港航物贸体量，做大做强物流贸易，持续加密集装箱航线，拓展物流贸易网络，开辟更多外贸内支线，拓宽“南来北往”双向货源市场，提升大宗商品和集装箱物流辐射能级，加快构建“通道+枢纽+网络”现代物流体系。以“七大百亿临港产业园区”为牵引，规划建设一批专业物流园、加工贸易区、保税仓，引进更多重大临港产业项目，推动港航枢纽功能、开放功能、产业集聚功能向全市延伸，辐射带动其他相关产业联动发展。构建“前港—中产—后城”布局，强化临港园区集聚，配套建设冷链物流区、铁路作业区、仓储配套区，加快申建海关保税监管场所或海关特殊监管区域，规划港城快速通道和智慧物流走廊，构建港产深度融合的临港经济生态圈。推动港口功能延伸和城市更新有机结合，完善教育医疗、商业综合体等公共服务配套，打造“港产城融合生活圈”。</w:t>
      </w:r>
    </w:p>
    <w:p>
      <w:pPr>
        <w:spacing w:line="54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塑强区域航运服务品牌</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拓展煤炭、钢材、粮食等大宗商品贸易，建设服务全国统一大市场的大宗商品交易平台，布局上海、浙江、新加坡等物流贸易中转基地，引领“京杭运河”运价指数体系。强化数字交易市场建设，积极引导国内外大型物流企业入驻“融汇数易”平台。拓展内河高端航运服务，发展航运金融、航运保险、船舶交易、海事法律服务与仲裁服务等配套业务，打造船舶交易中心和数字化航运服务产业集群。完善航运人才公共服务平台，提升内河港航经济研究院影响力。支持成立内河船员培训中心，引导驻济高校增设港航专业，定向培养港航专业人才，为内河航运中心建设提供人才和智力支持。</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4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4" w:hRule="atLeast"/>
          <w:jc w:val="center"/>
        </w:trPr>
        <w:tc>
          <w:tcPr>
            <w:tcW w:w="8947" w:type="dxa"/>
            <w:vAlign w:val="center"/>
          </w:tcPr>
          <w:p>
            <w:pPr>
              <w:pStyle w:val="17"/>
              <w:spacing w:line="440" w:lineRule="exact"/>
              <w:rPr>
                <w:rFonts w:ascii="方正黑体简体" w:eastAsia="方正黑体简体" w:cs="Times New Roman"/>
                <w:sz w:val="30"/>
                <w:szCs w:val="30"/>
              </w:rPr>
            </w:pPr>
            <w:r>
              <w:rPr>
                <w:rFonts w:hint="eastAsia" w:ascii="方正黑体简体" w:eastAsia="方正黑体简体" w:cs="Times New Roman"/>
                <w:kern w:val="0"/>
                <w:sz w:val="30"/>
                <w:szCs w:val="30"/>
              </w:rPr>
              <w:t>专栏19  打造北方内河航运中心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947" w:type="dxa"/>
          </w:tcPr>
          <w:p>
            <w:pPr>
              <w:pStyle w:val="2"/>
              <w:spacing w:after="0" w:line="400" w:lineRule="exact"/>
              <w:ind w:firstLine="561" w:firstLineChars="0"/>
              <w:rPr>
                <w:rFonts w:ascii="方正仿宋简体" w:cs="Times New Roman"/>
              </w:rPr>
            </w:pPr>
            <w:r>
              <w:rPr>
                <w:rFonts w:hint="eastAsia" w:ascii="方正黑体简体" w:eastAsia="方正黑体简体" w:cs="Times New Roman"/>
                <w:bCs/>
                <w:kern w:val="0"/>
                <w:sz w:val="28"/>
                <w:szCs w:val="28"/>
              </w:rPr>
              <w:t>七大百亿级临港产业园区。</w:t>
            </w:r>
            <w:r>
              <w:rPr>
                <w:rFonts w:hint="eastAsia" w:ascii="方正仿宋简体" w:cs="Times New Roman"/>
                <w:bCs/>
                <w:kern w:val="0"/>
                <w:sz w:val="28"/>
                <w:szCs w:val="28"/>
              </w:rPr>
              <w:t>（1）梁山港煤钢物流园区（2）龙拱港港产城融合发展园区（3）济州港钢材粮食产业园区（4）顺达港综合物流园区（5）太平港船舶工业园区（6）微山港大宗商品物流园区（7）鱼城港莱赛尔纤维物流园区。</w:t>
            </w:r>
          </w:p>
          <w:p>
            <w:pPr>
              <w:spacing w:line="400" w:lineRule="exact"/>
              <w:ind w:firstLine="561"/>
              <w:rPr>
                <w:rFonts w:ascii="方正仿宋简体" w:eastAsia="方正仿宋简体"/>
                <w:b/>
                <w:bCs/>
                <w:sz w:val="28"/>
                <w:szCs w:val="28"/>
              </w:rPr>
            </w:pPr>
            <w:r>
              <w:rPr>
                <w:rFonts w:hint="eastAsia" w:ascii="方正黑体简体" w:eastAsia="方正黑体简体"/>
                <w:b/>
                <w:bCs/>
                <w:sz w:val="28"/>
                <w:szCs w:val="28"/>
              </w:rPr>
              <w:t>港航基础设施扩容工程。</w:t>
            </w:r>
            <w:r>
              <w:rPr>
                <w:rFonts w:hint="eastAsia" w:ascii="方正仿宋简体" w:eastAsia="方正仿宋简体"/>
                <w:b/>
                <w:bCs/>
                <w:sz w:val="28"/>
                <w:szCs w:val="28"/>
              </w:rPr>
              <w:t>（1）京杭运河湖西航道（上级湖段）改造工程（2）京杭运河梁济运河段航道扩建工程（3）复兴河航道扩建工程（4）老万福河及支流（湖西白马河）航道改造工程（5）洙水河等重要支流航道改造升级工程（6）京杭运河微山三线船闸建设工程（7）长沟复线船闸工程（8）济宁港梁山港区寿张集作业区#19—#23泊位及配套铁路专用线改扩建工程等。</w:t>
            </w:r>
          </w:p>
          <w:p>
            <w:pPr>
              <w:spacing w:line="400" w:lineRule="exact"/>
              <w:ind w:firstLine="561"/>
              <w:rPr>
                <w:rFonts w:ascii="方正仿宋简体" w:eastAsia="方正仿宋简体"/>
                <w:b/>
                <w:bCs/>
                <w:sz w:val="28"/>
                <w:szCs w:val="28"/>
              </w:rPr>
            </w:pPr>
            <w:r>
              <w:rPr>
                <w:rFonts w:hint="eastAsia" w:ascii="方正黑体简体" w:eastAsia="方正黑体简体"/>
                <w:b/>
                <w:bCs/>
                <w:sz w:val="28"/>
                <w:szCs w:val="28"/>
              </w:rPr>
              <w:t>港产城融合重点工程。</w:t>
            </w:r>
            <w:r>
              <w:rPr>
                <w:rFonts w:hint="eastAsia" w:ascii="方正仿宋简体" w:eastAsia="方正仿宋简体"/>
                <w:b/>
                <w:bCs/>
                <w:sz w:val="28"/>
                <w:szCs w:val="28"/>
              </w:rPr>
              <w:t>（1）龙拱港现代港产新城项目（2）复兴港港产融合项目（3）微山湖</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绿煤云港</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现代煤炭物流交易枢纽基地项目（4）智慧新钢临港国际智慧制造基地（5）京典智慧物流普洛斯智慧物联项目（一期）等。</w:t>
            </w:r>
          </w:p>
          <w:p>
            <w:pPr>
              <w:spacing w:line="400" w:lineRule="exact"/>
              <w:ind w:firstLine="561"/>
              <w:rPr>
                <w:rFonts w:ascii="方正仿宋简体" w:eastAsia="方正仿宋简体"/>
                <w:b/>
                <w:bCs/>
                <w:sz w:val="28"/>
                <w:szCs w:val="28"/>
              </w:rPr>
            </w:pPr>
            <w:r>
              <w:rPr>
                <w:rFonts w:hint="eastAsia" w:ascii="方正黑体简体" w:eastAsia="方正黑体简体"/>
                <w:b/>
                <w:bCs/>
                <w:spacing w:val="-6"/>
                <w:sz w:val="28"/>
                <w:szCs w:val="28"/>
              </w:rPr>
              <w:t>航运服务提质增效工程。</w:t>
            </w:r>
            <w:r>
              <w:rPr>
                <w:rFonts w:hint="eastAsia" w:ascii="方正仿宋简体" w:eastAsia="方正仿宋简体"/>
                <w:b/>
                <w:bCs/>
                <w:spacing w:val="-6"/>
                <w:sz w:val="28"/>
                <w:szCs w:val="28"/>
              </w:rPr>
              <w:t>充分利用5G、北斗、人工智能等现代技术，实施大型港作机械自动化改造，完成龙拱港、梁山港等自动化码头建设，支持金乡港区胡集作业区、鱼台港区复兴河作业区、嘉祥港区祥城作业区、微山港区韩庄作业区智能化升级改造，打造一批国内知名的内河智慧港口</w:t>
            </w:r>
            <w:r>
              <w:rPr>
                <w:rFonts w:hint="eastAsia" w:ascii="方正仿宋简体" w:eastAsia="方正仿宋简体"/>
                <w:b/>
                <w:bCs/>
                <w:sz w:val="28"/>
                <w:szCs w:val="28"/>
              </w:rPr>
              <w:t>。</w:t>
            </w:r>
          </w:p>
          <w:p>
            <w:pPr>
              <w:spacing w:line="400" w:lineRule="exact"/>
              <w:ind w:firstLine="561"/>
              <w:rPr>
                <w:rFonts w:ascii="方正仿宋简体" w:eastAsia="方正仿宋简体"/>
                <w:b/>
                <w:bCs/>
                <w:sz w:val="24"/>
              </w:rPr>
            </w:pPr>
            <w:r>
              <w:rPr>
                <w:rFonts w:hint="eastAsia" w:ascii="方正黑体简体" w:eastAsia="方正黑体简体"/>
                <w:b/>
                <w:bCs/>
                <w:sz w:val="28"/>
                <w:szCs w:val="28"/>
              </w:rPr>
              <w:t>多式联运建设重点工程。</w:t>
            </w:r>
            <w:r>
              <w:rPr>
                <w:rFonts w:hint="eastAsia" w:ascii="方正仿宋简体" w:eastAsia="方正仿宋简体"/>
                <w:b/>
                <w:bCs/>
                <w:sz w:val="28"/>
                <w:szCs w:val="28"/>
              </w:rPr>
              <w:t>（1）山东京杭多式联运物流项目（2）山东京杭顺达港多式联运项目（3）兖矿鲁南公铁物流产业园（4）淄海铁路专用线工程（5）祥城北港铁路专用线项目（6）济宁龙拱港国际多式联运智慧物流园项目等。</w:t>
            </w:r>
          </w:p>
        </w:tc>
      </w:tr>
    </w:tbl>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2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第九篇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加快建设现代农业强市，</w:t>
      </w:r>
    </w:p>
    <w:p>
      <w:pPr>
        <w:spacing w:line="62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打造乡村振兴齐鲁样板引领区</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坚持把解决好“三农”问题作为重中之重，加快推进农业农村现代化，促进城乡融合发展，推动农业增效益、农民增收入、农村增活力。</w:t>
      </w:r>
    </w:p>
    <w:p>
      <w:pPr>
        <w:spacing w:line="62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加快现代农业高质高效发展</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践行大农业观、大食物观，坚持特色高效发展方向，加快建设现代农业全产业链体系，助力打造更高水平“齐鲁粮仓”。</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提升农业综合生产能力和质量效益</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落实国家新一轮千亿斤粮食产能提升行动，实施粮油作物大面积单产提升行动，全市粮食综合生产能力稳定在100亿斤以上。健全耕地数量、质量、生态“三位一体”保护制度体系，从严落实耕地占补平衡，坚决遏制耕地“非农化”、防止永久基本农田“非粮化”。完善推广“投融建运管”一体化推进机制，逐步把具备条件的永久基本农田建成高标准农田。夯实重要农产品保障能力，深入实施种业振兴行动，打造全国一流制种基地。积极发展林下经济，深挖设施蔬菜、畜牧业、淡水渔业等综合生产潜力，构建多元化食物供给体系，蔬菜食用菌、肉蛋奶、淡水产品产量分别达到800万吨、110万吨、35万吨以上。增强农业防灾减灾能力，完善农田水利设施建设，强化自然灾害防控，健全收储调控体制机制。</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培优育强乡村特色产业</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以工业思维抓农业产业发展，统筹发展科技农业、绿色农业、质量农业、品牌农业，把农业建成现代化大产业。坚持“一县一业”，做大乡村优势特色产业，培育更多济宁“土特产”。推动农业品牌化、规模化发展，培育休闲农业、农村电商等新业态，发展农产品精深加工，推进一二三产融合发展，推动嘉冠粮油营业收入突破百亿级，益海嘉里、鸿润食品营业收入突破50亿级，培育营业收入过10亿的农业企业。到2030年，规模以上农产品加工业营业收入突破1600亿元。提升现代农业经营体系，壮大新型农业经营主体和社会化服务组织，建设现代农事综合服务中心，做强“济时雨”农业社会化服务品牌。推动农业高新区、农业科技园区、现代农业产业园、农业产业强镇提档升级。深入推进“数商兴农”行动，大力发展数字农业、智慧农业，壮大农业新质生产力。</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加快农业科技现代化</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强化济宁国家农业科技园区引领作用，打造区域性农业科研创新和服务中心，鼓励各类新型经营主体加强与科研院所合作力度，推进农科教产学研一体化发展，打造淡水渔业养殖试验基地。开展农机研发制造推广应用一体化试点，持续提高全国主要农作物生产全程机械化示范市和全省“全程全面、高质高效”农机化示范市建设水平。推动济宁种业企业与崖州湾（海南）国家实验室、中国农科院等科研院所共建联合创新平台，研发区域性特色品种。发挥金乡县国家级农业绿色发展先行区和汶上县、微山县省级农业绿色发展先行县示范作用，深入推进化肥农药科学合理使用，加强农业面源污染治理，整县推进农作物秸秆、畜禽粪污综合利用。</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8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6" w:hRule="atLeast"/>
          <w:jc w:val="center"/>
        </w:trPr>
        <w:tc>
          <w:tcPr>
            <w:tcW w:w="8869" w:type="dxa"/>
            <w:vAlign w:val="center"/>
          </w:tcPr>
          <w:p>
            <w:pPr>
              <w:pStyle w:val="17"/>
              <w:spacing w:line="440" w:lineRule="exact"/>
              <w:rPr>
                <w:rFonts w:ascii="方正黑体简体" w:eastAsia="方正黑体简体" w:cs="Times New Roman"/>
                <w:sz w:val="30"/>
                <w:szCs w:val="30"/>
              </w:rPr>
            </w:pPr>
            <w:r>
              <w:rPr>
                <w:rFonts w:hint="eastAsia" w:ascii="方正黑体简体" w:eastAsia="方正黑体简体" w:cs="Times New Roman"/>
                <w:kern w:val="0"/>
                <w:sz w:val="30"/>
                <w:szCs w:val="30"/>
              </w:rPr>
              <w:t>专栏20  现代农业产业重大工程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97" w:hRule="atLeast"/>
          <w:jc w:val="center"/>
        </w:trPr>
        <w:tc>
          <w:tcPr>
            <w:tcW w:w="8869" w:type="dxa"/>
            <w:vAlign w:val="center"/>
          </w:tcPr>
          <w:p>
            <w:pPr>
              <w:spacing w:line="480" w:lineRule="exact"/>
              <w:ind w:firstLine="561"/>
              <w:rPr>
                <w:rFonts w:ascii="方正仿宋简体" w:eastAsia="方正仿宋简体"/>
                <w:b/>
                <w:bCs/>
                <w:sz w:val="28"/>
                <w:szCs w:val="28"/>
              </w:rPr>
            </w:pPr>
            <w:r>
              <w:rPr>
                <w:rFonts w:hint="eastAsia" w:ascii="方正黑体简体" w:eastAsia="方正黑体简体"/>
                <w:b/>
                <w:bCs/>
                <w:sz w:val="28"/>
                <w:szCs w:val="28"/>
              </w:rPr>
              <w:t>重要农产品特色产业集群。</w:t>
            </w:r>
            <w:r>
              <w:rPr>
                <w:rFonts w:hint="eastAsia" w:ascii="方正仿宋简体" w:eastAsia="方正仿宋简体"/>
                <w:b/>
                <w:bCs/>
                <w:sz w:val="28"/>
                <w:szCs w:val="28"/>
              </w:rPr>
              <w:t>（1）任城农产品现代流通（2）兖州粮油（3）曲阜玉米（4）泗水甘薯（5）邹城食用菌（6）微山淡水渔业（7）鱼台稻虾（8）金乡大蒜（9）嘉祥豆种（10）汶上芦花鸡（11）梁山鲁西黄牛等。</w:t>
            </w:r>
          </w:p>
          <w:p>
            <w:pPr>
              <w:spacing w:line="480" w:lineRule="exact"/>
              <w:ind w:firstLine="561"/>
              <w:rPr>
                <w:rFonts w:ascii="方正仿宋简体" w:eastAsia="方正仿宋简体"/>
                <w:b/>
                <w:bCs/>
                <w:sz w:val="28"/>
                <w:szCs w:val="28"/>
              </w:rPr>
            </w:pPr>
            <w:r>
              <w:rPr>
                <w:rFonts w:hint="eastAsia" w:ascii="方正黑体简体" w:eastAsia="方正黑体简体"/>
                <w:b/>
                <w:bCs/>
                <w:sz w:val="28"/>
                <w:szCs w:val="28"/>
              </w:rPr>
              <w:t>种业振兴工程。</w:t>
            </w:r>
            <w:r>
              <w:rPr>
                <w:rFonts w:hint="eastAsia" w:ascii="方正仿宋简体" w:eastAsia="方正仿宋简体"/>
                <w:b/>
                <w:bCs/>
                <w:sz w:val="28"/>
                <w:szCs w:val="28"/>
              </w:rPr>
              <w:t>持续争创国家级制种大县，建设现代大豆种业繁育基地。巩固提升兖州小麦、曲阜小麦、嘉祥大豆、汶上大豆、泗水花生、邹城花生、邹城食用菌、金乡大蒜、鱼台水稻等省级区域性良种繁育基地，确保良种繁育面积稳定在70万亩以上。</w:t>
            </w:r>
          </w:p>
          <w:p>
            <w:pPr>
              <w:spacing w:line="480" w:lineRule="exact"/>
              <w:ind w:firstLine="561"/>
              <w:rPr>
                <w:rFonts w:ascii="方正仿宋简体" w:eastAsia="方正仿宋简体"/>
                <w:b/>
                <w:sz w:val="24"/>
              </w:rPr>
            </w:pPr>
            <w:r>
              <w:rPr>
                <w:rFonts w:hint="eastAsia" w:ascii="方正黑体简体" w:eastAsia="方正黑体简体"/>
                <w:b/>
                <w:bCs/>
                <w:sz w:val="28"/>
                <w:szCs w:val="28"/>
              </w:rPr>
              <w:t>农产品加工生产重点项目。</w:t>
            </w:r>
            <w:r>
              <w:rPr>
                <w:rFonts w:hint="eastAsia" w:ascii="方正仿宋简体" w:eastAsia="方正仿宋简体"/>
                <w:b/>
                <w:bCs/>
                <w:sz w:val="28"/>
                <w:szCs w:val="28"/>
              </w:rPr>
              <w:t>（1）微山夫宇食品产业园项目（2）梁山鲁西黄牛肉联食品深加工基地（3）鱼台鲁西肉牛生态养殖基地（4）济宁市现代渔业科技产业园项目（一期）（5）任城区农业一体化全产业链现代智慧农业园（6）泗水国粮智慧粮食仓储物流项目（7）毛木耳全产业链提质增效项目（8）曲阜宗德食品智慧绿色肉牛全产业链三产融合项目等。</w:t>
            </w:r>
          </w:p>
        </w:tc>
      </w:tr>
    </w:tbl>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全域打造宜居宜业和美乡村</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学习运用“千万工程”经验，以片区建设为抓手，有序推进乡村基础设施和公共服务质量提升，加强人居环境整治，完善推动乡村全面振兴长效机制，建设宜居宜业和美乡村。</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全力推动片区建设提档升级</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乡村振兴“百区千村”提升行动，坚持片区化、全要素发展，分类有序、梯次推进，构建“一区引领（东部文化“两创”示范区）、三带协同（泗河、运河、环南四湖乡村振兴示范带）、全域突破”发展格局，统筹推进“五个振兴”，构建新型乡村生产生活生态共同体。到2030年，省级标准片区达到50个，市级样板片区达到50个。提升村庄规划编制质量和实效，着力补齐基础设施短板，巩固提升农村公路、电网、燃气、供水保障水平，强化对农村低收入群体的住房安全动态监测，按需实施危房改造，进一步提升乡村公共服务便利度、群众生活舒适度。统筹片区内党建联建、资源整合、产业融合、人才聚合，持续推进省级片区创建升级，全力打造更高质量乡村振兴齐鲁样板引领区。持续提升农村人居环境，因地制宜开展乡村绿化美化行动和村庄清洁行动，推进村卫生室改造提升、农村改厕、生活垃圾收运处、清洁取暖、黑臭水体治理等工作，打造六个生态清洁小流域，推广农业面源污染治理与监督指导“鱼台模式”。实施农村环境整治，推进整县美丽乡村建设，到2030年，全市美丽乡村整县建成比例达到70%。深化数字乡村建设，到2030年，实现行政村5G网络全覆盖，千兆光网覆盖率达到93%。</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强化农村公共服务供给</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党建引领促振兴，扎实开展乡村振兴治理行动，完善村党组织领导的自治法治德治相结合的乡村治理体系。推动幼儿园镇村一体化，优化乡村中小学校布局，科学引导农村中小学闲置校园校舍处置利用。推动紧密型县域医共体发展，积极推进县域医疗服务次中心和中心村卫生室建设，落实提高乡村医生待遇，持续提升农村传染病防控和应急处置能力。鼓励开展村级互助性养老服务，推进乡镇卫生院与敬老院、村卫生室与农村幸福院统筹规划、毗邻建设、融合发展，完善农村留守老人关爱服务机制。强化农村生育支持和婴幼儿照护服务，提升留守儿童和困境儿童关爱服务水平。推进乡村文化振兴，深入实施文化惠民工程。</w:t>
      </w:r>
    </w:p>
    <w:p>
      <w:pPr>
        <w:spacing w:line="62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健全强农富农惠农机制</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落实过渡期后帮扶政策，建立健全财政优先保障、金融重点倾斜、社会积极参与的多元投入格局，确保乡村振兴投入力度不断增强，打造齐鲁共同富裕乡村样板。</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强化农村低收入人口常态化帮扶</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巩固拓展脱贫攻坚成果，统筹建立常态化防止返贫致贫机制，分类落实精准帮扶机制，确保不发生规模性返贫致贫。深入实施防止返贫就业帮扶行动，支持农业农村基础设施项目实施以工代赈，统筹就业援助服务、乡村公益性岗位安置等工作，促进农村低收入人口就近就地就业。落实困难群众兜底保障与经济社会发展水平联动增长机制，适时提高农村低保标准。发挥各级慈善总会等公益类社会组织作用，广泛募集慈善资金，开展扶弱济困活动。</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巩固拓宽农民多元化增收渠道</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依托高素质农民培育计划等工作，开展新型农业经营主体带头人全产业链培训，支持农民工等返乡创业。加强农民就业技能培训，培育壮大梁山好“焊”、“蒜乡护工”等特色劳务品牌，提高工资性收入。因地制宜发展庭院经济、林下经济、民宿经济、手工作坊、电商直播等新产业、新业态，拓展经营性收入渠道和空间。完善订单农业、生产托管、土地流转、入股分红等联农带农机制，增加农民财产性收入。落实农机购置补贴、耕地地力保护补贴、农业保险、养老保险、医疗保险等惠农政策，拉动农村居民转移性净收入增长。</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深化农村集成改革</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健全乡村振兴多元投入机制，不断增强乡村振兴投入力度。稳步推进第二轮土地承包到期后再延长30年工作，节约集约利用农村集体经营性建设用地，依法盘活用好闲置土地和房屋，分类保障乡村发展用地。统筹推进农村集体经营性建设用地入市、集体林权制度、农业水价和用水权、供销社等改革，完成邹城市国家级农村产权流转交易规范化试点、鱼台县国家农村综合改革试点任务，推进嘉祥县、邹城市省级农村改革试验区新一轮试验任务，推进邹城市省级城乡产业协同发展县域试点任务。</w:t>
      </w: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6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第十篇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深入推进以人为本的新型城镇化，</w:t>
      </w:r>
    </w:p>
    <w:p>
      <w:pPr>
        <w:spacing w:line="56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促进城乡融合发展</w:t>
      </w: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加快都市区一体化发展，持续推进城乡深度融合，建设以人为本的新型城镇化，努力建设具有“孔孟之乡、运河之都”济宁特色的创新、宜居、美丽、韧性、文明、智慧的现代化人民城市。</w:t>
      </w:r>
    </w:p>
    <w:p>
      <w:pPr>
        <w:spacing w:line="56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全面提升城市发展能级</w:t>
      </w: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优化市域城镇体系总体格局，增强中心城区带动能力，突出济宁都市区作为引领全市发展的核心地位，推动县域经济高质量发展，构建中心城区、都市区、全市域协同发展大格局。到2030年，全市常住人口城镇化率达到70%左右。</w:t>
      </w:r>
    </w:p>
    <w:p>
      <w:pPr>
        <w:spacing w:line="56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优化新型城镇化空间布局</w:t>
      </w:r>
    </w:p>
    <w:p>
      <w:pPr>
        <w:spacing w:line="56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强化核心带动、轴线展开、区域联动，加快形成“一心一核四轴多点”的新型城镇化空间格局。“一心”带动，即任城区、兖州区、济宁高新区、太白湖新区、济宁经开区共同组成的中心城区，强化政务、金融、科创、商贸、文化、产业等功能的综合集聚效应，完善城市公共服务，提升城市功能品质，增强对全市域的龙头带动作用。“一核”引领，即济宁都市区，包含中心城区和曲阜市、邹城市、嘉祥县的主要城镇空间。通过一体化组织，引导关键要素协同良性配置，推动六大新兴片区建设，打造成为全市高质量发展的核心增长极。“四轴”延展，即京沪发展轴、鲁南发展轴、济徐发展轴和济微发展轴四条主要轴线，依托京沪高铁、日兰高铁、济徐高速、济微高速等重要交通廊道，对内带动各县市区集聚发展，对外强化与省会经济圈、胶东经济圈、中原城市群等区域的高效联动。“多点”突破，即泗水县、微山县、鱼台县、金乡县、汶上县、梁山县六个县城和重点镇、一般镇驻地，推动县域高质量发展、城乡融合发展。</w:t>
      </w:r>
    </w:p>
    <w:p>
      <w:pPr>
        <w:spacing w:line="600" w:lineRule="exact"/>
        <w:ind w:firstLine="400" w:firstLineChars="200"/>
        <w:rPr>
          <w:rFonts w:ascii="方正仿宋简体" w:hAnsi="文星仿宋" w:eastAsia="方正仿宋简体" w:cs="方正仿宋简体"/>
          <w:b/>
          <w:color w:val="000000" w:themeColor="text1"/>
          <w:sz w:val="32"/>
          <w:szCs w:val="32"/>
          <w14:textFill>
            <w14:solidFill>
              <w14:schemeClr w14:val="tx1"/>
            </w14:solidFill>
          </w14:textFill>
        </w:rPr>
      </w:pPr>
      <w:r>
        <w:drawing>
          <wp:anchor distT="0" distB="0" distL="114300" distR="114300" simplePos="0" relativeHeight="251664384" behindDoc="0" locked="0" layoutInCell="1" allowOverlap="1">
            <wp:simplePos x="0" y="0"/>
            <wp:positionH relativeFrom="column">
              <wp:posOffset>20320</wp:posOffset>
            </wp:positionH>
            <wp:positionV relativeFrom="paragraph">
              <wp:posOffset>60960</wp:posOffset>
            </wp:positionV>
            <wp:extent cx="5610225" cy="6067425"/>
            <wp:effectExtent l="0" t="0" r="0" b="0"/>
            <wp:wrapNone/>
            <wp:docPr id="5" name="图片 5" descr="微信图片_20260104161457_6075_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微信图片_20260104161457_6075_5"/>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612130" cy="6069746"/>
                    </a:xfrm>
                    <a:prstGeom prst="rect">
                      <a:avLst/>
                    </a:prstGeom>
                  </pic:spPr>
                </pic:pic>
              </a:graphicData>
            </a:graphic>
          </wp:anchor>
        </w:drawing>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80" w:lineRule="exact"/>
        <w:jc w:val="center"/>
        <w:rPr>
          <w:rFonts w:ascii="方正黑体简体" w:hAnsi="文星仿宋" w:eastAsia="方正黑体简体" w:cs="方正仿宋简体"/>
          <w:b/>
          <w:color w:val="000000" w:themeColor="text1"/>
          <w:sz w:val="28"/>
          <w:szCs w:val="28"/>
          <w14:textFill>
            <w14:solidFill>
              <w14:schemeClr w14:val="tx1"/>
            </w14:solidFill>
          </w14:textFill>
        </w:rPr>
      </w:pPr>
      <w:r>
        <w:rPr>
          <w:rFonts w:hint="eastAsia" w:ascii="方正黑体简体" w:hAnsi="文星仿宋" w:eastAsia="方正黑体简体" w:cs="方正仿宋简体"/>
          <w:b/>
          <w:color w:val="000000" w:themeColor="text1"/>
          <w:sz w:val="28"/>
          <w:szCs w:val="28"/>
          <w14:textFill>
            <w14:solidFill>
              <w14:schemeClr w14:val="tx1"/>
            </w14:solidFill>
          </w14:textFill>
        </w:rPr>
        <w:t>图10—1  济宁市新型城镇化空间布局示意图</w:t>
      </w:r>
    </w:p>
    <w:p>
      <w:pPr>
        <w:spacing w:line="64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推动中心城区做大做强</w:t>
      </w:r>
    </w:p>
    <w:p>
      <w:pPr>
        <w:spacing w:line="6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提高城市规划、建设、治理水平，持续提升中心城区首位度。北部产业拓展，向济北新城、兖州高新区、兖州工业园区、临空经济区拓展产业发展空间。东部创新引领，推动济宁高新区迈入国家高新区第一方阵。西部港产融合，促进内河航运港口与产业园区港产城融合发展，支持济宁经开区建设济西工业新城。南部生态优化，支持太白湖新区加速建设高品质旅游度假区。中部品质提升，推进老城区城市更新，塑强“运河记忆”“太白文化”城市品牌。其他县域立足各自资源禀赋和发展阶段，明确功能定位、实现特色发展。</w:t>
      </w:r>
    </w:p>
    <w:p>
      <w:pPr>
        <w:spacing w:line="64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推动济宁都市区一体化发展</w:t>
      </w:r>
    </w:p>
    <w:p>
      <w:pPr>
        <w:spacing w:line="6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围绕都市区深度融合、联动发展，实施基础设施、产业布局、公共服务、要素供给“四个一体化”，推动中心城区、曲阜市、邹城市、嘉祥县一体化发展，构建“绿色低碳、组织有机、连接高效”的现代化都市区。以崇德大道、海川路为轴线，推进产业集聚、优势互补，形成“协同高效、链条互补、多区联动”产业发展新格局。打破行政区划界限，实现民生保障事项“一地受理、一次办理”，推动现代服务业集聚发展，打造商务服务、文化休闲、教育医疗、养老托育等复合发展高地。</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955" w:type="dxa"/>
            <w:vAlign w:val="center"/>
          </w:tcPr>
          <w:p>
            <w:pPr>
              <w:pStyle w:val="17"/>
              <w:spacing w:line="440" w:lineRule="exact"/>
              <w:rPr>
                <w:rFonts w:ascii="方正黑体简体" w:eastAsia="方正黑体简体" w:cs="Times New Roman"/>
                <w:sz w:val="30"/>
                <w:szCs w:val="30"/>
              </w:rPr>
            </w:pPr>
            <w:r>
              <w:rPr>
                <w:rFonts w:hint="eastAsia" w:ascii="方正黑体简体" w:eastAsia="方正黑体简体" w:cs="Times New Roman"/>
                <w:kern w:val="0"/>
                <w:sz w:val="30"/>
                <w:szCs w:val="30"/>
              </w:rPr>
              <w:t>专栏21  都市区六大片区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1" w:hRule="atLeast"/>
          <w:jc w:val="center"/>
        </w:trPr>
        <w:tc>
          <w:tcPr>
            <w:tcW w:w="8955" w:type="dxa"/>
          </w:tcPr>
          <w:p>
            <w:pPr>
              <w:spacing w:line="440" w:lineRule="exact"/>
              <w:ind w:firstLine="561"/>
              <w:rPr>
                <w:rFonts w:ascii="方正仿宋简体" w:eastAsia="方正仿宋简体"/>
                <w:b/>
                <w:bCs/>
                <w:sz w:val="28"/>
                <w:szCs w:val="28"/>
              </w:rPr>
            </w:pPr>
            <w:r>
              <w:rPr>
                <w:rFonts w:hint="eastAsia" w:ascii="方正黑体简体" w:eastAsia="方正黑体简体"/>
                <w:b/>
                <w:bCs/>
                <w:sz w:val="28"/>
                <w:szCs w:val="28"/>
              </w:rPr>
              <w:t>尼山文化片区。</w:t>
            </w:r>
            <w:r>
              <w:rPr>
                <w:rFonts w:hint="eastAsia" w:ascii="方正仿宋简体" w:eastAsia="方正仿宋简体"/>
                <w:b/>
                <w:bCs/>
                <w:sz w:val="28"/>
                <w:szCs w:val="28"/>
              </w:rPr>
              <w:t>发挥尼山世界文明论坛和尼山世界儒学中心的国际影响力，推动多元文明对话沟通，打造向世界展示中华民族现代文明的重要窗口。汇聚高质量国际资源，吸引聚集数字文博、文化创意、电子信息等产业，建设文化科技融合</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新高地</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w:t>
            </w:r>
          </w:p>
          <w:p>
            <w:pPr>
              <w:spacing w:line="440" w:lineRule="exact"/>
              <w:ind w:firstLine="561"/>
              <w:rPr>
                <w:rFonts w:ascii="方正仿宋简体" w:eastAsia="方正仿宋简体"/>
                <w:b/>
                <w:bCs/>
                <w:sz w:val="28"/>
                <w:szCs w:val="28"/>
              </w:rPr>
            </w:pPr>
            <w:r>
              <w:rPr>
                <w:rFonts w:hint="eastAsia" w:ascii="方正黑体简体" w:eastAsia="方正黑体简体"/>
                <w:b/>
                <w:bCs/>
                <w:sz w:val="28"/>
                <w:szCs w:val="28"/>
              </w:rPr>
              <w:t>曲阜东站文旅商融合创新片区。</w:t>
            </w:r>
            <w:r>
              <w:rPr>
                <w:rFonts w:hint="eastAsia" w:ascii="方正仿宋简体" w:eastAsia="方正仿宋简体"/>
                <w:b/>
                <w:bCs/>
                <w:sz w:val="28"/>
                <w:szCs w:val="28"/>
              </w:rPr>
              <w:t>依托曲阜东站交通站点，构建</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交通+文化+商业+科技</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一体化发展格局，建设集交通集散、主题商业、旅游服务、数字展示与科创活力为一体的现代化智慧枢纽，打造展示</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孔孟之乡、运河之都</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风采魅力的重要窗口。</w:t>
            </w:r>
          </w:p>
          <w:p>
            <w:pPr>
              <w:spacing w:line="440" w:lineRule="exact"/>
              <w:ind w:firstLine="561"/>
              <w:rPr>
                <w:rFonts w:ascii="方正仿宋简体" w:eastAsia="方正仿宋简体"/>
                <w:b/>
                <w:bCs/>
                <w:sz w:val="28"/>
                <w:szCs w:val="28"/>
              </w:rPr>
            </w:pPr>
            <w:r>
              <w:rPr>
                <w:rFonts w:hint="eastAsia" w:ascii="方正黑体简体" w:eastAsia="方正黑体简体"/>
                <w:b/>
                <w:bCs/>
                <w:sz w:val="28"/>
                <w:szCs w:val="28"/>
              </w:rPr>
              <w:t>颜店科技产业园片区。</w:t>
            </w:r>
            <w:r>
              <w:rPr>
                <w:rFonts w:hint="eastAsia" w:ascii="方正仿宋简体" w:eastAsia="方正仿宋简体"/>
                <w:b/>
                <w:bCs/>
                <w:sz w:val="28"/>
                <w:szCs w:val="28"/>
              </w:rPr>
              <w:t>布局建设以新能源、新材料、高端装备制造、现代服务业为主导的现代产业体系，建设综合智慧园区、绿色精密机床产业园等产业载体，建成具有绿色竞争力、富有创新活力的低碳、智慧型高科技产业园区。</w:t>
            </w:r>
          </w:p>
          <w:p>
            <w:pPr>
              <w:spacing w:line="440" w:lineRule="exact"/>
              <w:ind w:firstLine="561"/>
              <w:rPr>
                <w:rFonts w:ascii="方正仿宋简体" w:eastAsia="方正仿宋简体"/>
                <w:b/>
                <w:bCs/>
                <w:sz w:val="28"/>
                <w:szCs w:val="28"/>
              </w:rPr>
            </w:pPr>
            <w:r>
              <w:rPr>
                <w:rFonts w:hint="eastAsia" w:ascii="方正黑体简体" w:eastAsia="方正黑体简体"/>
                <w:b/>
                <w:bCs/>
                <w:sz w:val="28"/>
                <w:szCs w:val="28"/>
              </w:rPr>
              <w:t>主城区港产城融合发展片区。</w:t>
            </w:r>
            <w:r>
              <w:rPr>
                <w:rFonts w:hint="eastAsia" w:ascii="方正仿宋简体" w:eastAsia="方正仿宋简体"/>
                <w:b/>
                <w:bCs/>
                <w:sz w:val="28"/>
                <w:szCs w:val="28"/>
              </w:rPr>
              <w:t>锚定建设北方内河航运中心目标定位，以济州港、龙拱港为核心区，采取港产城一体化发展模式，推动港口、临港产业与物流园区一体布局，提升服务城市民生的综合功能，打造现代化内河港产城融合发展高地。</w:t>
            </w:r>
          </w:p>
          <w:p>
            <w:pPr>
              <w:spacing w:line="440" w:lineRule="exact"/>
              <w:ind w:firstLine="561"/>
              <w:rPr>
                <w:rFonts w:ascii="方正仿宋简体" w:eastAsia="方正仿宋简体"/>
                <w:b/>
                <w:bCs/>
                <w:sz w:val="28"/>
                <w:szCs w:val="28"/>
              </w:rPr>
            </w:pPr>
            <w:r>
              <w:rPr>
                <w:rFonts w:hint="eastAsia" w:ascii="方正黑体简体" w:eastAsia="方正黑体简体"/>
                <w:b/>
                <w:bCs/>
                <w:sz w:val="28"/>
                <w:szCs w:val="28"/>
              </w:rPr>
              <w:t>十里湖片区。</w:t>
            </w:r>
            <w:r>
              <w:rPr>
                <w:rFonts w:hint="eastAsia" w:ascii="方正仿宋简体" w:eastAsia="方正仿宋简体"/>
                <w:b/>
                <w:bCs/>
                <w:sz w:val="28"/>
                <w:szCs w:val="28"/>
              </w:rPr>
              <w:t>高标准开发建设十里湖片区，完善绿地景观、道路交通、商业服务、居住生活等系统，建设滨水活力空间，吸引数智创新、</w:t>
            </w:r>
            <w:r>
              <w:rPr>
                <w:rFonts w:hint="eastAsia" w:ascii="方正仿宋简体" w:eastAsia="方正仿宋简体"/>
                <w:b/>
                <w:bCs/>
                <w:spacing w:val="-6"/>
                <w:sz w:val="28"/>
                <w:szCs w:val="28"/>
              </w:rPr>
              <w:t>医养健康、生态旅游等产业集聚发展，打造产创融合引领区、滨湖生态区。</w:t>
            </w:r>
          </w:p>
          <w:p>
            <w:pPr>
              <w:spacing w:line="440" w:lineRule="exact"/>
              <w:ind w:firstLine="561"/>
              <w:rPr>
                <w:rFonts w:ascii="方正仿宋简体" w:eastAsia="方正仿宋简体"/>
                <w:b/>
                <w:sz w:val="28"/>
                <w:szCs w:val="28"/>
              </w:rPr>
            </w:pPr>
            <w:r>
              <w:rPr>
                <w:rFonts w:hint="eastAsia" w:ascii="方正黑体简体" w:eastAsia="方正黑体简体"/>
                <w:b/>
                <w:bCs/>
                <w:sz w:val="28"/>
                <w:szCs w:val="28"/>
              </w:rPr>
              <w:t>太白湖文旅商区。</w:t>
            </w:r>
            <w:r>
              <w:rPr>
                <w:rFonts w:hint="eastAsia" w:ascii="方正仿宋简体" w:eastAsia="方正仿宋简体"/>
                <w:b/>
                <w:bCs/>
                <w:sz w:val="28"/>
                <w:szCs w:val="28"/>
              </w:rPr>
              <w:t>以文旅产业发展为引领，立足都市区发展中轴的战略节点，通过重大项目牵引、产业融合赋能、生态品质筑基，聚焦文旅商服、数字智造、都市农业等重点板块，打造文旅商服高地、数字产业新城。</w:t>
            </w:r>
          </w:p>
        </w:tc>
      </w:tr>
    </w:tbl>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塑强县域城镇化发展优势</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实施县域经济高质量发展攻坚行动，精准开展省级县域经济试点探索，推动邹城市在全国百强县中实现位次前移，任城区、兖州区、济宁高新区加速迈向千亿级，曲阜市、微山县迈向700亿级，泗水县、鱼台县、金乡县、嘉祥县、汶上县、梁山县迈向500亿级，太白湖新区、济宁经开区实现跨越赶超，鼓励县市区因地制宜发展镇域经济。加强县域特色产业培育，支持各县市区集中力量主攻1—2个优势主导产业，打造一批产值过百亿元的优势产业集群、特色专业园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任城区：总体定位，全省一流现代化强区。功能定位，港产城融合发展示范区、运河文化特色区、现代服务业集聚区。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兖州区：总体定位，全省绿色低碳高质量发展先行示范区。功能定位，创新型先进制造业高地、区域性现代物流商贸中心、产城融合发展样板区。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曲阜市：总体定位，中华优秀传统文化“两创”先行示范区。功能定位，世界文化旅游名城引领区、绿色低碳先进制造业集聚区、宜居宜业首善区。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泗水县：总体定位，全国生态文明示范区。功能定位，食品与机床附件产业集群地、乡村振兴齐鲁样板区、全省文旅康养目的地。</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邹城市：总体定位，县域经济高质量发展山东样板。功能定位，京沪廊道先进制造集聚区、全省城乡融合发展示范区、优秀传统文化“两创”先行区。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微山县：总体定位，南四湖流域生态保护和高质量发展引领区。功能定位，全国重要的稀土资源开发和综合利用基地、全国知名的现代渔湖产品全产业链基地、鲁南内河航运港产城融合发展重要承载区。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鱼台县：总体定位，苏皖鲁豫省际交界地区绿色低碳高质量发展示范县。功能定位，国家农村综合性改革试点试验区、生物基纺织新材料产业基地、现代医养结合示范城市。</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金乡县：总体定位，绿色智造幸福新城。功能定位，全国新材料产业发展集聚区、全国大蒜产业发展引领区、全省城乡融合发展样板区。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嘉祥县：总体定位，济宁都市区西部增长极。功能定位，全国良种繁育高地、有机颜料与特碳材料产业高地、文化旅游与生态保护融合区。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汶上县：总体定位，全省县域经济跨越发展排头兵。功能定位，全省纺织服装转型发展引领区、鲁西南高端装备智能制造新高地、全省新型城镇化建设样板县。</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梁山县：总体定位，全省黄河大运河协同发展高地。功能定位，全国专用汽车制造基地、京杭运河国家多式联运物流枢纽、水浒文化旅游名城。</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济宁高新区：总体定位，国家高新区高质量发展示范标杆。功能定位，产业科技创新高地、产城融合高地、对外开放高地。</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太白湖新区：总体定位，生态数智新城。功能定位，国家级旅游度假区、科教文化高地、鲁南金融中心。</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济宁经开区：总体定位，济西工业新城。功能定位，全省先</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进制造业发展新高地、全省现代商贸物流业新兴区、创新创业之城</w:t>
      </w:r>
      <w:r>
        <w:rPr>
          <w:rFonts w:hint="eastAsia" w:ascii="方正仿宋简体" w:hAnsi="文星仿宋" w:eastAsia="方正仿宋简体" w:cs="方正仿宋简体"/>
          <w:b/>
          <w:color w:val="000000" w:themeColor="text1"/>
          <w:sz w:val="32"/>
          <w:szCs w:val="32"/>
          <w14:textFill>
            <w14:solidFill>
              <w14:schemeClr w14:val="tx1"/>
            </w14:solidFill>
          </w14:textFill>
        </w:rPr>
        <w:t>。</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着力提升城市功能品质</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以坚持城市内涵式发展为主线，以推进城市更新为重要抓手，统筹生产、生活、生态和安全需要，促进城市功能更加完善、风貌更具特色、品质更加卓越，让城市成为人民追求美好生活的坚实载体。</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实施城市更新行动</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城市有机更新，稳步推进城镇老旧小区、老旧厂区、老旧街区、城中村改造，加快城市“平急两用”公共基础设施建设，每年动态推进城市更新项目30个以上。系统推进好房子、好小区、好社区、好城区建设。持续推进老化管线管道更新、公区无障碍环境建设和适老化改造，缓解老旧小区停车难问题。鼓励加装电梯、重新装修、厨卫焕新、家庭适老化改造，加快居住区充电基础设施配套建设。</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推进城市基础设施扩容提质</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快城市快速路建设，增强与高速、高铁、机场互联通达能力。实施蔡庄互通立交项目，推动城区内环高架、绕城高速“双闭环”。推进济宁大道东延等连接线建设，完善城区“10分钟上高架、20分钟上高速、一小时通达县市区”的快速交通体系。持续织密日兰高铁济宁北站片区路网，实施共青团路北延提升、站前路东西延项目，增强高铁辐射带动能力。开展城市排水防涝工程建设，持续提升城市防汛“硬实力”。提升城市供水品质，完成应急备用水源地建设。推进燃气设施扩容与智慧化升级，扩大集中供热覆盖，建立“热源—管网—用户”全链条温度监控体系，探索地热能开发利用、化工园区余热收集、生物质电厂热电联产等集中供热热源绿色替代方式。推动新型城市基础设施建设，实施城市生命线安全工程，到2030年，主城区市政管网智能化监测管理率达30%以上。</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塑造特色城市风貌</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提升水城风貌特色，高标准打造</w:t>
      </w:r>
      <w:r>
        <w:rPr>
          <w:rFonts w:hint="eastAsia" w:ascii="宋体" w:hAnsi="宋体" w:cs="宋体"/>
          <w:b/>
          <w:color w:val="000000" w:themeColor="text1"/>
          <w:sz w:val="32"/>
          <w:szCs w:val="32"/>
          <w14:textFill>
            <w14:solidFill>
              <w14:schemeClr w14:val="tx1"/>
            </w14:solidFill>
          </w14:textFill>
        </w:rPr>
        <w:t>洸</w:t>
      </w:r>
      <w:r>
        <w:rPr>
          <w:rFonts w:hint="eastAsia" w:ascii="方正仿宋简体" w:hAnsi="方正仿宋简体" w:eastAsia="方正仿宋简体" w:cs="方正仿宋简体"/>
          <w:b/>
          <w:color w:val="000000" w:themeColor="text1"/>
          <w:sz w:val="32"/>
          <w:szCs w:val="32"/>
          <w14:textFill>
            <w14:solidFill>
              <w14:schemeClr w14:val="tx1"/>
            </w14:solidFill>
          </w14:textFill>
        </w:rPr>
        <w:t>府河、泗河等整体景观，持续推进老运河保护开发，实施老运河景观提升工程，加强老城区、老街区、工业遗产、中华老字号等活化利用，保护历史文化名城、街区，延续历史文脉，打造夜间消费集聚区。坚持“河湖一体、滨水发展”，构建滨河</w:t>
      </w:r>
      <w:r>
        <w:rPr>
          <w:rFonts w:hint="eastAsia" w:ascii="方正仿宋简体" w:hAnsi="文星仿宋" w:eastAsia="方正仿宋简体" w:cs="方正仿宋简体"/>
          <w:b/>
          <w:color w:val="000000" w:themeColor="text1"/>
          <w:sz w:val="32"/>
          <w:szCs w:val="32"/>
          <w14:textFill>
            <w14:solidFill>
              <w14:schemeClr w14:val="tx1"/>
            </w14:solidFill>
          </w14:textFill>
        </w:rPr>
        <w:t>慢行体系。健全城市绿地系统、公园体系，持续改造提升各类公园景观品质和承载服务功能，加快“小游园”“口袋公园”等小微空间塑造，构建儿童友好、青年发展、健身康体、双拥共建、全龄普惠的户外空间。继续实施绿地开放共享，提供更加多样化的游玩体验和服务场景，加强精细化管养水平，强化古树名木、原有绿地保护。</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推动城乡融合发展</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完善城乡融合发展体制机制，促进城乡要素平等交换、双向流动，缩小城乡差别，促进城乡共同繁荣发展。</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促进农业转移人口市民化</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健全常住地提供基本公共服务制度，进一步深化户籍制度改革，进一步推动转移支付、要素配置等与人口市民化挂钩，保障农民工等非户籍常住人口均等享有基本公共服务，促进人口自由流动和合理分布。推进就业服务常住人口全覆盖，完善农民工等重点群体就业支持体系，“十五五”期间，累计开展农民工职业技能培训3.5万人次以上。优化进城农民权益保障与服务，将进城务工人员纳入城镇职工基本养老、医疗、失业等保险体系，完善基本医疗等公共服务权益保障制度，建立健全以居住证为主要依据的入学政策，确保随迁子女平等接受义务教育，随迁子女在公办学校就读比例保持在98%以上，将</w:t>
      </w:r>
      <w:r>
        <w:rPr>
          <w:rFonts w:hint="eastAsia" w:ascii="方正仿宋简体" w:hAnsi="文星仿宋" w:eastAsia="方正仿宋简体" w:cs="方正仿宋简体"/>
          <w:b/>
          <w:color w:val="000000" w:themeColor="text1"/>
          <w:spacing w:val="-8"/>
          <w:sz w:val="32"/>
          <w:szCs w:val="32"/>
          <w14:textFill>
            <w14:solidFill>
              <w14:schemeClr w14:val="tx1"/>
            </w14:solidFill>
          </w14:textFill>
        </w:rPr>
        <w:t>符合条件的稳定就业生活的农业转移人口纳入城镇住房保障体系。</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优化城乡资源要素配置</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农业农村优先发展，强化以工补农、以城带乡、协调发展。巩固完善农村基本经营制度，健全承包地经营权流转管理服务制度，加强农村产权流转交易市场建设，深化农村土地制度改革。规范有序稳妥开展城乡建设用地增减挂钩，优化配置区域城乡土地资源，促进城乡统筹发展。大力推广“乡村振兴合伙人”模式，推动合伙人制度与片区建设融合发展。完善人才入乡激励机制，推进城市医生、教师、科技文化等人才定期服务乡村，鼓励引导高校毕业生到村任职、扎根基层。建立县域专业人才统筹使用制度，完善覆盖乡村高技能人才的职业技能等级制度，建立健全乡村人才分级分类评价体系，为乡村振兴提供人力保障。充分发挥小城镇在城乡融合中的重要节点作用，深化小城镇创新提升行动，培育一批各具特色、富有活力的小城镇，成为农业转移人口就近城镇化的重要载体和服务农民的区域中心。</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第十一篇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担负新时代文化使命，</w:t>
      </w: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加快建设世界文化旅游名城</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文化创新创造工程，坚定践行“两个结合”，深入推进文化“两创”，持续擦亮“孔孟之乡、运河之都”等品牌，繁荣发展社会主义文化，加快建设文化强市，打造世界儒学高地。到2030年，全市文化及相关产业增加值达到350亿元，国内旅游总收入突破1300亿元。</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弘扬和践行社会主义核心价值观</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深入开展社会主义核心价值观教育，筑牢意识形态阵地，创新运用中华优秀传统文化开展美德教育，持续巩固全国文明城市创建成效，有效提升全市精神文明建设水平。</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巩固壮大主流思想舆论</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党的创新理论学习和宣传教育，坚持不懈用习近平新时代中国特色社会主义思想凝心铸魂，加强和改进思想政治工作。用好微山县铁道游击队纪念园、鱼台县周堂地道战展览馆、金乡县鲁西南战役纪念馆等红色资源，发挥泗水县沂蒙革命老区县优势，传承红色基因，加强烈士纪念设施的保护管理。巩固主流舆论主阵地，压紧压实意识形态工作责任制，加强突发事件和社会热点问题舆论引导，守牢意识形态领域安全防线。紧密围绕市委、市人民政府中心工作，策划召开主题系列新闻发布会，突出展现高质量发展亮点成效。做大做强济宁政德教育干部学院，打造全国一流党性教育基地。推动党的创新理论常态化宣讲，持续擦亮“习语润儒乡”等基层宣讲品牌。推进校园文化建设，加强青少年理想信念教育。</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推动新时代文明济宁建设</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统筹推进城乡精神文明建设，着力提升文明创建水平，力争微山县、嘉祥县、汶上县、梁山县创成全国文明城市，泗水县、鱼台县进入全国文明城市提名城市行列，实现全国文明城市或提名城市全覆盖，培育更多全国文明村镇、单位、家庭、校园。深化文明培育工作，加强美德济宁建设，推动儒家文化融入各领域，深化新礼仪改革，创新学礼、节礼、婚礼等新礼仪，持续推进孔子文化进校园，打响“孔孟之乡、济宁有礼”道德品牌。弘扬诚信文化、廉洁文化，注重家庭家教家风建设，推进城乡精神文明建设融合发展，做好先进典型选树宣传。深化移风易俗，推动形成良好社会风尚。加强网络文明建设，发展积极健康的网络文化，健全未成年人网络保护工作体系。</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大力繁荣文化事业</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强公共文化服务供给，实施公共文化服务提质增效行动，广泛开展群众性文化活动。实施文艺高峰攀登工程，培育高水平文化人才队伍，大力发展新大众文艺，加强文艺精品创作。发展新闻出版、广播电视和档案等事业。深化主流媒体系统性变革，坚持移动优先，推进新闻宣传和网络舆论一体化管理，全力推动“主力军”挺进“主战场”。健全完善省、市、县三级媒体一体化联动机制，加快构建媒体传播新格局。以主流思想舆论引领网络空间，精心打造一批网络主题宣传活动品牌，引导规范网络文化文艺健康发展，推出更多为网络打造、被网民认同、在网上出彩的精品力作。深入实施文化惠民工程，推进城乡文化社区、文化书院建设，推动优质文化资源直达基层。推进文化遗产系统性保护和统一监管，深</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入</w:t>
      </w:r>
      <w:r>
        <w:rPr>
          <w:rFonts w:hint="eastAsia" w:ascii="方正仿宋简体" w:hAnsi="文星仿宋" w:eastAsia="方正仿宋简体" w:cs="方正仿宋简体"/>
          <w:b/>
          <w:color w:val="000000" w:themeColor="text1"/>
          <w:sz w:val="32"/>
          <w:szCs w:val="32"/>
          <w14:textFill>
            <w14:solidFill>
              <w14:schemeClr w14:val="tx1"/>
            </w14:solidFill>
          </w14:textFill>
        </w:rPr>
        <w:t>推进文物普查工作，加强“三孔”、大运河（济宁段）世界文化遗产保护力度，一体推进国家文化公园（济宁段）和文化体验廊道建设，推动出台《济宁市文物保护条例》，提升鲁国故城、南旺枢纽2家国家考古遗址公园，规划建设武氏祠汉文化保护传承中心，加强历史文化名城、名镇、名村、街区有效保护和活态传承，培育一批省级文化生态名镇、名村。推动非物质文化遗产传承创新，创建国家级文化生态保护区。</w:t>
      </w:r>
    </w:p>
    <w:p>
      <w:pPr>
        <w:spacing w:line="62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建设世界文明交流互鉴高地</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以中国国际孔子文化节、尼山世界文明论坛等重大节庆活动为牵引，建设儒家文化传承发展片区，推动世界文明交流互鉴，提升中华文化影响力，打造向世界展示中华民族现代文明的重要窗口，持续擦亮“孔孟之乡、运河之都”城市品牌。</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突破尼山文化片区建设</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聚焦打造儒家精神探源地、中华文化传承地、世界文明交流地，持续高水平推进曲阜优秀传统文化传承发展示范区建设，加快实施尼山文化传承保护工程，扎实推进尼山环湖路二期、鲁源村景区剧场等重点项目建设。强化“片区—城区—全域”辐射联动，推进基础设施、公共服务、文化资源、旅游线路等协同配套，探索形成文旅、会展、创意、研学等一体化发展新路径，推动尼山文化片区打造国家级文化“两创”示范片区、建设国家级旅游度假区。持续提升中国国际孔子文化节、尼山世界文明论坛能级声量，推动与儒商大会相结合，争取承办更多国际交流活动，打造集文明互鉴、文化交流、经贸合作等于一体的世界级平台。加强国际传播能力建设，建强用好国家级重点基地、中外青少年交流基地，持续深化“五友”外宣，着力对外讲好中国故事济宁篇章。聚焦东亚儒家文化圈，设立一批济宁文旅国际推广中心，办好“儒家文化活动周”“国际儒学大会”“儒家文化海外巡展”等系列活动，打造儒家文化国际传播高地。</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强化儒家文化研究阐释与传播</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挖儒家文化时代价值，集聚世界顶级儒学领军人物，阐发儒学核心要义和时代价值，建设世界儒学研究高地、全国优秀传统文化培训高地。联合尼山世界儒学中心、高等院校、社科机构等广泛开展全球文明对话，培养造就一批儒学研究高端人才。支持孔子研究院、孟子研究院高质量发展，推进一批国家级、省级儒学研究重大课题，推出一批高水准研究成果，建设世界儒学研究交流中心。建强用好尼山中华优秀传统文化联合研究生院，探索开展儒商研学培训，构建海外传播矩阵，创新对外话语体系，加强儒家文化资源开发，鼓励更多文化企业和优秀文化产品走向世界，讲好中国故事、济宁故事。</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推动运河文化保护传承利用</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保护优先、强化传承、合理利用，深入挖掘和活化运河文化资源，系统性、创新性讲述运河文化故事，推动运河文化焕新发展。加强古运河保护开发利用，实施古运河沿线历史街区微改造、微更新工程，建设“一河两岸、三街六巷”，系统保护太白楼、竹竿巷、崇觉寺铁塔、东大寺等运河文化古迹。开发运河文化主题旅游线路，整合提升城区运河文化资源，延长拓展济宁城区至南阳古镇水上通道，有机串联微山湖、惠河湿地、南阳古镇、太白湖、南旺分水枢纽等运河景点。多维度展示运河文化，增强济宁市博物馆文化传播和展示功能，推动运河传统文化与现代精神融合发展。</w:t>
      </w:r>
    </w:p>
    <w:p>
      <w:pPr>
        <w:spacing w:line="62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塑强济宁特色文化旅游品牌</w:t>
      </w:r>
    </w:p>
    <w:p>
      <w:pPr>
        <w:spacing w:line="62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推动文旅深度融合，全域全业态发展文旅产业，做强“孔子”“运河”文化IP矩阵，加快建设世界文化旅游名城，2030年接待游客达到1.4亿人次。</w:t>
      </w:r>
    </w:p>
    <w:p>
      <w:pPr>
        <w:spacing w:line="62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打造世界文化旅游目的地</w:t>
      </w:r>
    </w:p>
    <w:p>
      <w:pPr>
        <w:spacing w:line="59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发挥“三孔”、大运河（济宁段）世界文化遗产优势，加快全市文旅资源串珠成链、一体赋能，构建处处皆景、宜居宜游、享誉中外的全域旅游大格局，建设旅游强市。擦亮“跟着孔子研学游”品牌，建设儒家文化、运河文化、红色文化、水浒文化、金石文化等5大研学旅游集聚区，构建涵盖干部、儒商、教师、学生等群体的全年龄段研学品牌体系。支持明故城（三孔）旅游区打造具有国际影响力的旅游景区，推动梁山风景区、孟子故里文化旅游区创建国家5A级旅游景区。打造运河文化旅游带，规划建设济宁运河里、十里湖运河五千里生态文商旅、济宁太白湖新区老运河文旅综合提升等项目，支持“运河记忆”争创国家级旅游休闲街区，构建“一水三核联动、三核聚集成势”的运河开发格局，提升中心城区旅游首位度。坚持“文旅+百业”“百业+文旅”，实施文旅业态焕新、数智赋能，推动农业、文体、商业、工业和旅游跨界融合，常态化举办美食联赛、演唱会、音乐节等赛事演艺活动，推动创建世界美食之都。加强旅游全要素配套服务，完善快进慢游交通网，布局建设高星级酒店、精品民宿，提升入境旅游国际化、便利化水平。</w:t>
      </w:r>
    </w:p>
    <w:p>
      <w:pPr>
        <w:spacing w:line="59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加快构建现代文化产业体系</w:t>
      </w:r>
    </w:p>
    <w:p>
      <w:pPr>
        <w:spacing w:line="59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文化管理体制和生产经营机制，推进国有文化企业、文艺院团改革。坚持经营理念、市场思维，实施文化企业培育工程，全市规模以上文化企业数量突破500家。推出一批创意设计、非遗手造等爆款产品，提升“好礼济宁”文创品牌知名度，建设非遗集聚区。实施文化产业数字化行动，推动文化和科技深度融合协同创新，加快发展网络视听、绿色印刷、数字出版、动漫影视、微短剧创作、虚拟现实体验、沉浸式旅游演艺等新业态，实施沉浸式孔子XR、水泊梁山旅游区智慧化提升等项目，建设微短剧创作生产基地，打造全国沉浸式文旅业态集聚高地。</w:t>
      </w:r>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900" w:type="dxa"/>
            <w:vAlign w:val="center"/>
          </w:tcPr>
          <w:p>
            <w:pPr>
              <w:pStyle w:val="6"/>
              <w:spacing w:line="440" w:lineRule="exact"/>
              <w:ind w:firstLine="0" w:firstLineChars="0"/>
              <w:jc w:val="center"/>
              <w:rPr>
                <w:rFonts w:ascii="方正黑体简体" w:eastAsia="方正黑体简体" w:cs="Times New Roman"/>
                <w:sz w:val="30"/>
                <w:szCs w:val="30"/>
              </w:rPr>
            </w:pPr>
            <w:r>
              <w:rPr>
                <w:rFonts w:hint="eastAsia" w:ascii="方正黑体简体" w:eastAsia="方正黑体简体" w:cs="Times New Roman"/>
                <w:kern w:val="0"/>
                <w:sz w:val="30"/>
                <w:szCs w:val="30"/>
              </w:rPr>
              <w:t>专栏22  文旅融合高质量发展工程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42" w:hRule="atLeast"/>
          <w:jc w:val="center"/>
        </w:trPr>
        <w:tc>
          <w:tcPr>
            <w:tcW w:w="8900" w:type="dxa"/>
            <w:vAlign w:val="center"/>
          </w:tcPr>
          <w:p>
            <w:pPr>
              <w:pStyle w:val="6"/>
              <w:spacing w:line="450" w:lineRule="exact"/>
              <w:ind w:firstLine="562"/>
              <w:rPr>
                <w:rFonts w:ascii="方正仿宋简体" w:eastAsia="方正仿宋简体" w:cs="Times New Roman"/>
                <w:kern w:val="0"/>
                <w:sz w:val="28"/>
              </w:rPr>
            </w:pPr>
            <w:r>
              <w:rPr>
                <w:rFonts w:hint="eastAsia" w:ascii="方正黑体简体" w:eastAsia="方正黑体简体" w:cs="Times New Roman"/>
                <w:kern w:val="0"/>
                <w:sz w:val="28"/>
              </w:rPr>
              <w:t>打造五大文旅融合发展集聚区（带）。</w:t>
            </w:r>
            <w:r>
              <w:rPr>
                <w:rFonts w:hint="eastAsia" w:ascii="方正仿宋简体" w:eastAsia="方正仿宋简体" w:cs="Times New Roman"/>
                <w:kern w:val="0"/>
                <w:sz w:val="28"/>
              </w:rPr>
              <w:t>（1）整合曲阜市、邹城市、泗水县儒家文化和生态资源，打造儒家文化研学旅游集聚区（2）整合任城区、太白湖新区、微山县、鱼台县、嘉祥县、汶上县、梁山县运河风貌及两岸历史文化遗存，打造运河文旅消费集聚带（3）整合微山县红色文化、渔家文化和生态资源，打造微山湖生态文旅集聚区（4）整合梁山县水浒文化、黄河文化资源，打造水浒文旅体验集聚区（5）整合嘉祥县汉文化、金石文化和乡村资源，打造嘉祥乡村文旅集聚区。</w:t>
            </w:r>
          </w:p>
          <w:p>
            <w:pPr>
              <w:spacing w:line="450" w:lineRule="exact"/>
              <w:ind w:firstLine="562" w:firstLineChars="200"/>
              <w:rPr>
                <w:rFonts w:ascii="方正仿宋简体" w:eastAsia="方正仿宋简体"/>
                <w:b/>
                <w:bCs/>
                <w:sz w:val="28"/>
                <w:szCs w:val="28"/>
              </w:rPr>
            </w:pPr>
            <w:r>
              <w:rPr>
                <w:rFonts w:hint="eastAsia" w:ascii="方正黑体简体" w:eastAsia="方正黑体简体"/>
                <w:b/>
                <w:bCs/>
                <w:sz w:val="28"/>
                <w:szCs w:val="28"/>
              </w:rPr>
              <w:t>系统性保护历史文化遗产。</w:t>
            </w:r>
            <w:r>
              <w:rPr>
                <w:rFonts w:hint="eastAsia" w:ascii="方正仿宋简体" w:eastAsia="方正仿宋简体"/>
                <w:b/>
                <w:bCs/>
                <w:sz w:val="28"/>
                <w:szCs w:val="28"/>
              </w:rPr>
              <w:t>（1）尼山文化传承保护示范区工程（2）三孔、阙里等文化遗产系统性保护工程（3）武氏祠汉文化保护传承中心项目（4）大运河南旺枢纽国家考古遗址公园保护展示提升项目（5）鲁国故城儒家文化传承发展项目（6）曲阜儒家文化研学培训基地项目（7）两孟历史文化街区项目（8）微山县大运河文化展示体验示范带项目（9）曲阜市世界文化遗产缓冲区古泮池项目（10）《论语》译介工程（11）海外尼山书屋（12）孔子及儒家思想数字应用项目（13）尼山儒家文化研学核心区等。</w:t>
            </w:r>
          </w:p>
          <w:p>
            <w:pPr>
              <w:pStyle w:val="6"/>
              <w:spacing w:line="450" w:lineRule="exact"/>
              <w:ind w:firstLine="562"/>
              <w:rPr>
                <w:rFonts w:ascii="方正仿宋简体" w:eastAsia="方正仿宋简体" w:cs="Times New Roman"/>
                <w:kern w:val="0"/>
                <w:sz w:val="28"/>
              </w:rPr>
            </w:pPr>
            <w:r>
              <w:rPr>
                <w:rFonts w:hint="eastAsia" w:ascii="方正黑体简体" w:eastAsia="方正黑体简体" w:cs="Times New Roman"/>
                <w:kern w:val="0"/>
                <w:sz w:val="28"/>
              </w:rPr>
              <w:t>丰富文旅业态供给。</w:t>
            </w:r>
            <w:r>
              <w:rPr>
                <w:rFonts w:hint="eastAsia" w:ascii="方正仿宋简体" w:eastAsia="方正仿宋简体" w:cs="Times New Roman"/>
                <w:kern w:val="0"/>
                <w:sz w:val="28"/>
              </w:rPr>
              <w:t>（1）尼山鲁源村项目（2）大空间LBE儒家文化数字展示中心项目（3）水泊梁山5A景区提升工程（4）曲阜明故城城市更新项目（5）蓼河夜游项目（6）微山湖文旅商融合示范项目（7）孟子湖文旅度假项目（8）金口坝文旅综合体基础设施提升项目（9）牛楼小镇片区改造提升和九州大集建设项目（10）南阳大运河历史文化街区提升项目（11）泗水县泉林泉群景区开发项目（12）微山县全域旅游综合提升工程（13）水浒梁山风景区</w:t>
            </w:r>
            <w:r>
              <w:rPr>
                <w:rFonts w:hint="eastAsia" w:ascii="方正仿宋简体" w:hAnsi="方正仿宋简体" w:eastAsia="方正仿宋简体" w:cs="方正仿宋简体"/>
                <w:kern w:val="0"/>
                <w:sz w:val="28"/>
              </w:rPr>
              <w:t>“</w:t>
            </w:r>
            <w:r>
              <w:rPr>
                <w:rFonts w:hint="eastAsia" w:ascii="方正仿宋简体" w:eastAsia="方正仿宋简体" w:cs="Times New Roman"/>
                <w:kern w:val="0"/>
                <w:sz w:val="28"/>
              </w:rPr>
              <w:t>山水城</w:t>
            </w:r>
            <w:r>
              <w:rPr>
                <w:rFonts w:hint="eastAsia" w:ascii="方正仿宋简体" w:hAnsi="方正仿宋简体" w:eastAsia="方正仿宋简体" w:cs="方正仿宋简体"/>
                <w:kern w:val="0"/>
                <w:sz w:val="28"/>
              </w:rPr>
              <w:t>”</w:t>
            </w:r>
            <w:r>
              <w:rPr>
                <w:rFonts w:hint="eastAsia" w:ascii="方正仿宋简体" w:eastAsia="方正仿宋简体" w:cs="Times New Roman"/>
                <w:kern w:val="0"/>
                <w:sz w:val="28"/>
              </w:rPr>
              <w:t>一体化开发项目等。</w:t>
            </w:r>
          </w:p>
        </w:tc>
      </w:tr>
    </w:tbl>
    <w:p>
      <w:pPr>
        <w:spacing w:line="600" w:lineRule="exact"/>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第十二篇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切实保障和改善民生，</w:t>
      </w: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持续增强人民群众获得感幸福感安全感</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加强普惠性、基础性、兜底性民生建设，用心用情办好民生实事，解决好人民群众急难愁盼问题，全面增进民生福祉，扎实推进共同富裕。</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着力稳就业促增收</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深入实施就业优先战略，健全就业促进机制，着力解决结构性就业矛盾，构建就业友好型发展方式，促进高质量充分就业。“十五五”期间，城镇新增就业人数达到32万人。</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积极构建就业友好型发展方式</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强产业和就业协同，壮大先进制造业、做强现代服务业、发展现代农业，创造更多高质量就业岗位。加快培育新兴产业、未来产业，大力发展新业态、新模式，挖掘新职业、新岗位，开发新的就业增长点。综合运用稳岗返还、稳岗扩岗专项贷和社会保险补贴等政策措施，支持产业和企业增强吸纳就业能力，促进就业提质扩容。扶持创业带动就业，构建“创业培训、创业服务、创业孵化、创业活动”四创联动的支持体系。加强就业形势监测预警，稳妥应对外部环境变化和新技术发展对就业的影响，防范化解规模性失业风险。完善劳动关系协商协调机制，加强劳动者</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权益保障，深化矛盾纠纷源头预防和协商调解，提升仲裁办案质效。</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着力破解结构性就业矛盾</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健全终身职业技能培训制度，完善以就业为导向的职业技能培训体系。推动组建就业培训联盟，深化济宁市技工教育集团化改革。全面推进工学一体化人才培养模式，完善多元化现代技工教育人才培养体系，开展“技能照亮前程”培训行动，统筹推进规上企业职工岗位技能培训、“山东手造”特色职业培训、专项职业能力培训，打造高水平技能人才培育高地。优化职业指导服务，升级“空中厨房”职业指导模式，举办“圣地杏坛”职业指导专家基层行活动，加强就业观念引导。完善人力资源供需匹配机制，加快建设线下线上零工市场，打造“就在济宁</w:t>
      </w:r>
      <w:r>
        <w:rPr>
          <w:rFonts w:hint="eastAsia" w:ascii="宋体" w:hAnsi="宋体" w:cs="宋体"/>
          <w:b/>
          <w:color w:val="000000" w:themeColor="text1"/>
          <w:sz w:val="32"/>
          <w:szCs w:val="32"/>
          <w14:textFill>
            <w14:solidFill>
              <w14:schemeClr w14:val="tx1"/>
            </w14:solidFill>
          </w14:textFill>
        </w:rPr>
        <w:t>•</w:t>
      </w:r>
      <w:r>
        <w:rPr>
          <w:rFonts w:hint="eastAsia" w:ascii="方正仿宋简体" w:hAnsi="方正仿宋简体" w:eastAsia="方正仿宋简体" w:cs="方正仿宋简体"/>
          <w:b/>
          <w:color w:val="000000" w:themeColor="text1"/>
          <w:sz w:val="32"/>
          <w:szCs w:val="32"/>
          <w14:textFill>
            <w14:solidFill>
              <w14:schemeClr w14:val="tx1"/>
            </w14:solidFill>
          </w14:textFill>
        </w:rPr>
        <w:t>职等你来”招聘求职品牌。加快人力资源服务业创新发展，构建覆盖全产业链、深度赋能经济社会发展的现代化人力资源服务体系。</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精准支持重点群体就业</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强化就业服务体系建设，深化“社区微业”行动，推进“15分钟就业服务圈+一刻钟便民生活圈”融合，支持高校毕业生、农民工、退役军人等重点群体就业。拓展高校毕业生等青年就业渠道，建设大学生（青年）就业创业赋能中心，做好驻济院校人才资源、标志性产业链人才需求“双推介”发布，推动高校毕业生与产业需求高效对接。拓宽农村劳动力就业空间，坚持外出就业和就地就近就业并重，深化构建县乡村三级就业服务网络，培育发展特色劳务品牌，积极推进农村务工人员市民化服务。完善困难人员就业援助制度，健全及时发现、优先服务、精准帮扶、动态管理的援助机制，综合运用职业指导、职业介绍、职业培训、创业服务等帮扶措施，确保“城镇零就业家庭”动态清零。推动灵活就业、新就业形态健康发展。</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拓宽居民增收渠道</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按劳分配为主体、多种分配方式并存，着力构建多元化、可持续的居民增收体系，推动形成橄榄型分配格局。健全工资增长机制，强化薪酬分配指引服务，引导工资分配向一线岗位倾斜。降低创业门槛，支持个体经济与农村新业态发展，充分释放经营性收入增长潜力。发展普惠金融，深化农村“三权”改革，增加居民股息、租金等要素收益，多渠道增加城乡居民财产性收入。完善再分配调节机制，精准落实各项惠民补贴，稳步提高养老金等社会保障待遇，有效发挥转移性收入的兜底保障作用，不断缩小城乡居民收入差距。促进和规范公益慈善事业发展。</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办好人民满意的教育</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加快建设教育强市，统筹推进立德树人、优质公平、以教兴城、改革创新、铸魂强师，着力办好人民群众满意的教育，提升服务经济社会高质量发展的能力，推进济宁教育全面跨入全省第一方阵。</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落实立德树人根本任务</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新时代立德树人工程，促进思政课堂和社会课堂有效融合，不断加强和改进新时代学校思想政治教育，教育引导青少年学生坚定马克思主义信仰、中国特色社会主义信念、中华民族伟大复兴信心。深化大中小学思政课一体化改革创新，推进“家校社网心”协同育人，促进学生德智体美劳全面发展。</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推动基础教育扩优提质</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实施基础教育扩优提质行动，健全适应人口变化的基础教育资源调配机制，统筹城乡教育一体发展。强化基础教育投入保障，加快义务教育优质均衡发展，在小学低年级探索“小班化”教学，到2030年，实现义务教育优质均衡发展县全覆盖。推动学前教育优质普惠发展，保障公办幼儿园学位供给，完善普惠性民办幼儿园扶持政策，到2030年，公办幼儿园在园幼儿占比达到75%，学前教育普及普惠县比例达到100%，逐步实现免费学前教育。实施县域普通高中振兴行动计划，扩大农村地区学生接受优质普通高中教育的机会，全面提升县域普通高中办学水平。健全完善特殊教育体系，办好专门学校。引导规范民办教育发展。</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实施教育领域综合改革</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教育评价“破五唯、立新标”实践。有序推进中考改革，扩大优质高中招生指标到校比例。普通高中学位供给率保持在70%以上。扩大职普融通规模，探索设立综合高中。构建学科专业调整快速响应机制，严格实行专业预警和退出机制。推进高水平教育对外开放，加强职业教育交流合作。实施教育家精神铸魂行动，建设高素质专业化教师队伍，强化教师待遇保障。</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健全社会保障体系</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加快构建覆盖全民、城乡统筹、权责清晰、保障适度、可持续的多层次社会保障体系，切实兜住兜准兜牢民生底线。</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推动社会保险扩面提量</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推进高质量参保，完善社保关系转移接续政策，落实灵活就业人员、农民工、新就业形态人员社保制度，扩大失业、工伤保险覆盖面，健全职业伤害保障制度。落实基本养老保险全国统筹，加快发展多层次、多支柱养老保险体系，基本养老保险覆盖率达到96%以上。健全多层次医疗保障体系，落实职工基本医疗保险省级统筹，推动商业健康保险、医疗救助等协同衔接，抓实全民参保计划，稳定常住人口基本医保覆盖率。深化医保支付方式改革，健全经办服务体系。完善医保基金使用常态化监管制度，保障基金安全运行。</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擦亮“济时救”品牌</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分层分类社会救助体系，加强低收入人口动态监测和常态化救助帮扶，健全完善低保等救助保障标准动态调整机制。深化“济时救”品牌建设，落实最低生活保障、特困人员供养、刚性支出困难家庭等低收入人口救助帮扶政策，对重病重残、丧失劳动能力的困难群众兜住底线。持续推进服务类社会救助发展。统筹民政、残联、慈善总会等政策资金资源，动员社会力量开展关爱帮扶，通过一件事、一群人、一个机制，温暖一座城。</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加大重点群体关爱力度</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开展特殊困难老年人探访关爱服务。完善流动、留守和困境儿童关爱服务体系，兜牢孤困儿童保障网。持续扩大孤独症儿童康复教育服务供给。持续落实残疾人两项补贴保障标准动态调整机制，加强重度残疾人托养照护，落实好残疾儿童少年15年免费教育。加快精神障碍社区康复服务发展。积极稳妥推进殡葬改革。加强退役军人服务保障，推进双拥共建工作。</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第四章  推动房地产高质量发展</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深入落实国家和省房地产工作部署，着力稳定房地产市场，促进房地产高质量发展。</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建设群众满意的“好房子”</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商品房开发、融资、销售等基础制度，加快构建房地产发展新模式。用好房地产融资协调机制，推动符合条件的项目纳入“白名单”。实施“高品质住宅提升行动”，聚焦好标准、好设计、好建材、好建造、好运维，打造安全、舒适、绿色、智慧的“好房子”，实现高品质住宅示范样板县市区全覆盖。用好国家和省市住房消费支持政策，搭建供需对接平台，进一步激活购</w:t>
      </w:r>
      <w:r>
        <w:rPr>
          <w:rFonts w:hint="eastAsia" w:ascii="方正仿宋简体" w:hAnsi="文星仿宋" w:eastAsia="方正仿宋简体" w:cs="方正仿宋简体"/>
          <w:b/>
          <w:color w:val="000000" w:themeColor="text1"/>
          <w:spacing w:val="-8"/>
          <w:sz w:val="32"/>
          <w:szCs w:val="32"/>
          <w14:textFill>
            <w14:solidFill>
              <w14:schemeClr w14:val="tx1"/>
            </w14:solidFill>
          </w14:textFill>
        </w:rPr>
        <w:t>房需求。引导房地产企业做精地产作品，做优物业管理、商超服务、休闲娱乐、健康照护全方位服务，加速向城市综合运营商转型。</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打造住有宜居新格局</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住房公积金制度改革，扩大覆盖面和使用范围，全面推开灵活就业人员参加住房公积金制度。优化保障性住房供给，满足城镇工薪群体和各类困难家庭基本住房需求。持续推进城镇老旧小区改造，改善群众居住条件和生活环境。实施物业服务质量提升行动，推进红色物业、有为物业、阳光物业、满意物业、智慧物业“五个物业”建设。鼓励物业服务企业拓展医养结合、家</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政服务、住宅托管等新业态，满足居民多样化多层次居住生活需求。</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第五章  扎实推进健康济宁建设</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实施健康优先发展战略，全方位、全周期维护和保障人民健康，提高人均预期寿命和人民健康水平，打造全省医疗高地。</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建设全省区域医疗高地</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扩大西苑医院济宁医院国家区域医疗中心影响力，高标准建设运营市公共卫生“六大中心”，增强区域协同和应急救治能力。推动济宁市第一人民医院、济宁医学院附属医院、山东省戴庄医院等医院服务能力攀登。实施医疗卫生强基工程，加强县市区、基层医疗机构运行保障，推进全民健康数智化建设。“十五五”期间，县级综合医院服务能力全面达到三级医院标准，培育新增2个国家级、5个省级和30个市级临床重点专科。</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健全卫生健康服务体系</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医药卫生体制改革，深入实施中央财政支持公立医院改革与高质量发展示范项目，强化医疗、医保、医药协同发展和治理。以公益性为导向深化公立医院编制、服务价格、薪酬制度、综合监管改革。引导规范民营医院发展。健全公共卫生体系，完善重大传染病疫情联防联控机制，建成省级区域公共卫生中心及一批公共卫生重点专科，强化医防协同、医防融合。推动城市医疗集团和紧密型县域医共体建设，深化医共体改革，完善分级诊疗体系。加强慢性病综合防控，发展防治康管全链条服务。广泛开展爱国卫生运动。</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推动中医药振兴发展</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进中医药传承创新，大力推动中医药智慧化建设。实施医疗卫生强基工程中医药行动，推进县级中医院标准化建设。加快中医药优势专科建设提质升级，深化中西医协同。推动中医药临床科研一体化发展，打造阶梯式中医药人才培养体系，培育一批省市名中医药专家。高质量举办尼山世界中医药论坛，擦亮运河儒医文化名片。壮大中医药产业，支持中药材标准化生态种植养殖，加大中成药大品种、现代中药制剂研发生产。</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提升居民身心健康水平</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全民健身体育场地设施建设普惠工程，加强健身设施、户外运动目的地建设，布局更多百姓家门口“小而美”场地设施，构建城市社区10分钟健身服务圈。加强竞技体育后备人才培养、输送，推动校园“三大球”等集体项目发展。实施幼儿、青少年、银龄体育普及工程，推动大中型体育场馆提升服务功能。健全全民健身赛事活动体系，培育济宁特色赛事品牌，加快建设文化体育赛事名城。加大精神专科医院和综合医院精神科及中医医院精神相关科室建设力度，打造全国有影响力的心理健康和精神卫生服务高地。</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第六章  促进人口高质量发展</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健全覆盖全人群、全生命周期的人口发展支持和服务体系，</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加快建设生育友好型、儿童友好型、青年友好型、老年友好型社会。</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提高优生优育服务水平</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倡导新型婚育文化，持续完善抚育、教育、社会保障等生育支持政策和激励措施，落实育儿补贴和个人所得税抵扣政策，降低生育、养育、教育成本。完善生育保险制度，落实生育休假制度。加强妇女和儿童健康服务，加快补齐生育相关公共服务短板，实施早孕关爱行动、孕育和出生缺陷防治能力提升计划，提升出生人口素质。</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做强“幼有善育、以爱托举”托育服务品牌</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巩固扩大全国婴幼儿照护服务示范城市建设成效，持续推进儿童友好建设，健全普惠托育和托幼一体化服务体系，坚持“政府主导、国企领办、社会参与、市县一体”托育服务模式，加快推进托育综合服务中心和公办托育服务网络建设，推进社区办托、托幼一体化发展。大力推动医育融合发展，持续巩固“儒医护幼”医育品牌，强化综合监管，全力守牢安全底线。“十五五”期间，3岁以下婴幼儿入托率累计提高2个百分点。</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塑强“青春之城、活力济宁”青年服务品牌</w:t>
      </w:r>
      <w:r>
        <w:rPr>
          <w:rFonts w:hint="eastAsia" w:ascii="方正楷体简体" w:hAnsi="文星仿宋" w:eastAsia="方正楷体简体" w:cs="方正仿宋简体"/>
          <w:b/>
          <w:color w:val="000000" w:themeColor="text1"/>
          <w:sz w:val="32"/>
          <w:szCs w:val="32"/>
          <w14:textFill>
            <w14:solidFill>
              <w14:schemeClr w14:val="tx1"/>
            </w14:solidFill>
          </w14:textFill>
        </w:rPr>
        <w:tab/>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青年发展政策体系和工作机制，更好满足青年多样化、多层次发展需求，全域推进青年发展型城市建设。坚持“引育留用”并举，做好青年人才引进和青年人口吸引工作，深入推动实施“青年优居计划”“青创济宁”“菁才强济”等青年发展项目，系统优化青年“进得来、留得下、住得安、能成业”的友好发展环境，在城市规划、建设、治理中统筹谋划青年政策，在城市生产、生活、生态中有机契合青年需求，在城市改革、发展、稳定中充分发挥青年作用，提升青年在城市生活的获得感、幸福感、安全感。</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打响“孔孟之乡·孝当先”养老服务品牌</w:t>
      </w:r>
      <w:r>
        <w:rPr>
          <w:rFonts w:hint="eastAsia" w:ascii="方正楷体简体" w:hAnsi="文星仿宋" w:eastAsia="方正楷体简体" w:cs="方正仿宋简体"/>
          <w:b/>
          <w:color w:val="000000" w:themeColor="text1"/>
          <w:sz w:val="32"/>
          <w:szCs w:val="32"/>
          <w14:textFill>
            <w14:solidFill>
              <w14:schemeClr w14:val="tx1"/>
            </w14:solidFill>
          </w14:textFill>
        </w:rPr>
        <w:tab/>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健全覆盖城乡的三级养老服务网络，加大普惠养老服务供给。发展社区嵌入式养老服务机构，开展农村养老提档达标行动，完善长期护理保险制度，健全失能失智老年人照护服务体系，到2030年，城市社区养老服务设施配建达标率保持在100%，全市家庭养老床位扩展到8000张，养老机构护理型床位占比达到80%。巩固提升省级医养结合示范市建设水平，发展医养结合服务，扩大康复护理、安宁疗护服务供给。推动养老事业和产业协同发展，落实渐进式延迟法定退休年龄改革，积极开发老年人力资源，促进老年人社会参与，加强老年人权益保障。</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925" w:type="dxa"/>
            <w:vAlign w:val="center"/>
          </w:tcPr>
          <w:p>
            <w:pPr>
              <w:pStyle w:val="16"/>
              <w:snapToGrid w:val="0"/>
              <w:spacing w:line="440" w:lineRule="exact"/>
              <w:ind w:firstLine="0" w:firstLineChars="0"/>
              <w:jc w:val="center"/>
              <w:rPr>
                <w:rFonts w:ascii="方正黑体简体" w:eastAsia="方正黑体简体" w:cs="Times New Roman"/>
                <w:bCs/>
                <w:sz w:val="30"/>
                <w:szCs w:val="30"/>
              </w:rPr>
            </w:pPr>
            <w:r>
              <w:rPr>
                <w:rFonts w:hint="eastAsia" w:ascii="方正黑体简体" w:eastAsia="方正黑体简体" w:cs="Times New Roman"/>
                <w:bCs/>
                <w:sz w:val="30"/>
                <w:szCs w:val="30"/>
              </w:rPr>
              <w:t>专栏23  民生领域重大工程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68" w:hRule="atLeast"/>
          <w:jc w:val="center"/>
        </w:trPr>
        <w:tc>
          <w:tcPr>
            <w:tcW w:w="8925" w:type="dxa"/>
            <w:vAlign w:val="center"/>
          </w:tcPr>
          <w:p>
            <w:pPr>
              <w:pStyle w:val="16"/>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教育升级工程。</w:t>
            </w:r>
            <w:r>
              <w:rPr>
                <w:rFonts w:hint="eastAsia" w:ascii="方正仿宋简体" w:eastAsia="方正仿宋简体" w:cs="Times New Roman"/>
                <w:bCs/>
                <w:sz w:val="28"/>
                <w:szCs w:val="28"/>
              </w:rPr>
              <w:t>（1）济宁职业技术学院新校区（2）济宁汽车工程职业学院项目（二期）（3）济宁卫生健康职业学院项目（二期）等。</w:t>
            </w:r>
          </w:p>
          <w:p>
            <w:pPr>
              <w:pStyle w:val="16"/>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优质医疗资源提标工程。</w:t>
            </w:r>
            <w:r>
              <w:rPr>
                <w:rFonts w:hint="eastAsia" w:ascii="方正仿宋简体" w:eastAsia="方正仿宋简体" w:cs="Times New Roman"/>
                <w:bCs/>
                <w:sz w:val="28"/>
                <w:szCs w:val="28"/>
              </w:rPr>
              <w:t>（1）济宁市第一人民医院改造提升项目（2）济宁市第二人民医院综合医疗服务能力提升项目（二期）（3）山东省戴庄医院扩建项目（4）济宁市妇幼保健计划生育服务中心妇幼服务设施及能力提升项目等。</w:t>
            </w:r>
          </w:p>
          <w:p>
            <w:pPr>
              <w:pStyle w:val="16"/>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全民健身重点工程。</w:t>
            </w:r>
            <w:r>
              <w:rPr>
                <w:rFonts w:hint="eastAsia" w:ascii="方正仿宋简体" w:eastAsia="方正仿宋简体" w:cs="Times New Roman"/>
                <w:bCs/>
                <w:sz w:val="28"/>
                <w:szCs w:val="28"/>
              </w:rPr>
              <w:t>（1）济宁全民健身广场（2）微山岛水上运动目的地等。</w:t>
            </w:r>
          </w:p>
          <w:p>
            <w:pPr>
              <w:pStyle w:val="16"/>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养老服务网络完善工程。</w:t>
            </w:r>
            <w:r>
              <w:rPr>
                <w:rFonts w:hint="eastAsia" w:ascii="方正仿宋简体" w:eastAsia="方正仿宋简体" w:cs="Times New Roman"/>
                <w:bCs/>
                <w:sz w:val="28"/>
                <w:szCs w:val="28"/>
              </w:rPr>
              <w:t>（1）鱼台县养老服务体系（2）梁山县老年颐养中心（3）曲阜市养老服务中心（4）微山县养老服务基础设施综合提升项目（5）太白湖瑞泰康养服务中心项目等。</w:t>
            </w:r>
          </w:p>
          <w:p>
            <w:pPr>
              <w:pStyle w:val="16"/>
              <w:snapToGrid w:val="0"/>
              <w:spacing w:line="420" w:lineRule="exact"/>
              <w:ind w:firstLine="561" w:firstLineChars="0"/>
              <w:rPr>
                <w:rFonts w:ascii="方正仿宋简体" w:eastAsia="方正仿宋简体" w:cs="Times New Roman"/>
                <w:sz w:val="28"/>
                <w:szCs w:val="28"/>
              </w:rPr>
            </w:pPr>
            <w:r>
              <w:rPr>
                <w:rFonts w:hint="eastAsia" w:ascii="方正黑体简体" w:eastAsia="方正黑体简体" w:cs="Times New Roman"/>
                <w:bCs/>
                <w:sz w:val="28"/>
                <w:szCs w:val="28"/>
              </w:rPr>
              <w:t>社会保险扩面提质工程。</w:t>
            </w:r>
            <w:r>
              <w:rPr>
                <w:rFonts w:hint="eastAsia" w:ascii="方正仿宋简体" w:eastAsia="方正仿宋简体" w:cs="Times New Roman"/>
                <w:bCs/>
                <w:sz w:val="28"/>
                <w:szCs w:val="28"/>
              </w:rPr>
              <w:t>持续深入实施全民参保计划，强化</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部门+险种</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数据比对，深化数据精准找人，推进</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漏保</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脱保</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断保</w:t>
            </w:r>
            <w:r>
              <w:rPr>
                <w:rFonts w:hint="eastAsia" w:ascii="方正仿宋简体" w:hAnsi="方正仿宋简体" w:eastAsia="方正仿宋简体" w:cs="方正仿宋简体"/>
                <w:bCs/>
                <w:sz w:val="28"/>
                <w:szCs w:val="28"/>
              </w:rPr>
              <w:t>”</w:t>
            </w:r>
            <w:r>
              <w:rPr>
                <w:rFonts w:hint="eastAsia" w:ascii="方正仿宋简体" w:eastAsia="方正仿宋简体" w:cs="Times New Roman"/>
                <w:bCs/>
                <w:sz w:val="28"/>
                <w:szCs w:val="28"/>
              </w:rPr>
              <w:t>人员参保缴费，推动实现社会保险应保尽保和法定人员全覆盖。</w:t>
            </w:r>
          </w:p>
          <w:p>
            <w:pPr>
              <w:pStyle w:val="16"/>
              <w:snapToGrid w:val="0"/>
              <w:spacing w:line="420" w:lineRule="exact"/>
              <w:ind w:firstLine="561" w:firstLineChars="0"/>
              <w:rPr>
                <w:rFonts w:ascii="方正仿宋简体" w:eastAsia="方正仿宋简体" w:cs="Times New Roman"/>
                <w:bCs/>
                <w:sz w:val="28"/>
                <w:szCs w:val="28"/>
              </w:rPr>
            </w:pPr>
            <w:r>
              <w:rPr>
                <w:rFonts w:hint="eastAsia" w:ascii="方正黑体简体" w:eastAsia="方正黑体简体" w:cs="Times New Roman"/>
                <w:bCs/>
                <w:sz w:val="28"/>
                <w:szCs w:val="28"/>
              </w:rPr>
              <w:t>退役军人服务保障机构升级工程。</w:t>
            </w:r>
            <w:r>
              <w:rPr>
                <w:rFonts w:hint="eastAsia" w:ascii="方正仿宋简体" w:eastAsia="方正仿宋简体" w:cs="Times New Roman"/>
                <w:bCs/>
                <w:sz w:val="28"/>
                <w:szCs w:val="28"/>
              </w:rPr>
              <w:t>（1）济宁市光荣院新建项目（2）鱼台县退役军人创业孵化基地升级改造项目等。</w:t>
            </w:r>
          </w:p>
        </w:tc>
      </w:tr>
    </w:tbl>
    <w:p>
      <w:pPr>
        <w:spacing w:line="600" w:lineRule="exact"/>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第十三篇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加快经济社会发展全面绿色转型，</w:t>
      </w: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推动美丽济宁建设取得新突破</w:t>
      </w:r>
    </w:p>
    <w:p>
      <w:pPr>
        <w:spacing w:line="600" w:lineRule="exact"/>
        <w:ind w:firstLine="722" w:firstLineChars="200"/>
        <w:rPr>
          <w:rFonts w:ascii="方正仿宋简体" w:hAnsi="文星仿宋" w:eastAsia="方正仿宋简体" w:cs="方正仿宋简体"/>
          <w:b/>
          <w:color w:val="000000" w:themeColor="text1"/>
          <w:sz w:val="36"/>
          <w:szCs w:val="36"/>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牢固树立和践行“绿水青山就是金山银山”理念，全面推进美丽济宁建设，着力做好黄河生态保护治理，以推进碳达峰碳中和目标为引领，协同推进降碳、减污、扩绿、增长，增强绿色发展动能，建设生态强市。</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深入推进污染防治攻坚</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全面落实精准科学依法治污，更加注重源头治理，大力推进多污染物协同减排，深入打好蓝天、碧水、净土保卫战。</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持续打好蓝天保卫战</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积极推进大气污染防治提质增效暨“四减四增”行动，深入推进产业、能源、交通运输等结构优化调整，持续推动重点行业、企业深入治理或提标改造，火电、水泥、焦化和燃煤锅炉全面实现超低排放。加强移动污染源综合治理，推进交通场站、工矿企业等内部作业车辆和机械新能源更新改造。实施大气面源治理提升行动，推进细颗粒物控制，落实扬尘源精细化管控，强化挥发性有机物综合治理，推动秸秆综合利用和禁烧，加强鲁南经济圈城市大气污染联防联控。“十五五”期间，全市PM</w:t>
      </w:r>
      <w:r>
        <w:rPr>
          <w:rFonts w:hint="eastAsia" w:ascii="方正仿宋简体" w:hAnsi="文星仿宋" w:eastAsia="方正仿宋简体" w:cs="方正仿宋简体"/>
          <w:b/>
          <w:color w:val="000000" w:themeColor="text1"/>
          <w:sz w:val="32"/>
          <w:szCs w:val="32"/>
          <w:vertAlign w:val="subscript"/>
          <w14:textFill>
            <w14:solidFill>
              <w14:schemeClr w14:val="tx1"/>
            </w14:solidFill>
          </w14:textFill>
        </w:rPr>
        <w:t>2.5</w:t>
      </w:r>
      <w:r>
        <w:rPr>
          <w:rFonts w:hint="eastAsia" w:ascii="方正仿宋简体" w:hAnsi="文星仿宋" w:eastAsia="方正仿宋简体" w:cs="方正仿宋简体"/>
          <w:b/>
          <w:color w:val="000000" w:themeColor="text1"/>
          <w:sz w:val="32"/>
          <w:szCs w:val="32"/>
          <w14:textFill>
            <w14:solidFill>
              <w14:schemeClr w14:val="tx1"/>
            </w14:solidFill>
          </w14:textFill>
        </w:rPr>
        <w:t>年均浓度、空气优良天数比例完成省下达目标任务。</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持续打好碧水保卫战</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持续完善河湖长制，聚焦黄河干支流、南四湖、京杭运河、泗河、</w:t>
      </w:r>
      <w:r>
        <w:rPr>
          <w:rFonts w:hint="eastAsia" w:ascii="宋体" w:hAnsi="宋体" w:cs="宋体"/>
          <w:b/>
          <w:color w:val="000000" w:themeColor="text1"/>
          <w:sz w:val="32"/>
          <w:szCs w:val="32"/>
          <w14:textFill>
            <w14:solidFill>
              <w14:schemeClr w14:val="tx1"/>
            </w14:solidFill>
          </w14:textFill>
        </w:rPr>
        <w:t>洸</w:t>
      </w:r>
      <w:r>
        <w:rPr>
          <w:rFonts w:hint="eastAsia" w:ascii="方正仿宋简体" w:hAnsi="方正仿宋简体" w:eastAsia="方正仿宋简体" w:cs="方正仿宋简体"/>
          <w:b/>
          <w:color w:val="000000" w:themeColor="text1"/>
          <w:sz w:val="32"/>
          <w:szCs w:val="32"/>
          <w14:textFill>
            <w14:solidFill>
              <w14:schemeClr w14:val="tx1"/>
            </w14:solidFill>
          </w14:textFill>
        </w:rPr>
        <w:t>府河等主要水系及沿岸区域，系统开展流域污染治理、生态流量保障、生态系统保护修复和风险防控，推进南四湖流域水</w:t>
      </w:r>
      <w:r>
        <w:rPr>
          <w:rFonts w:hint="eastAsia" w:ascii="方正仿宋简体" w:hAnsi="文星仿宋" w:eastAsia="方正仿宋简体" w:cs="方正仿宋简体"/>
          <w:b/>
          <w:color w:val="000000" w:themeColor="text1"/>
          <w:sz w:val="32"/>
          <w:szCs w:val="32"/>
          <w14:textFill>
            <w14:solidFill>
              <w14:schemeClr w14:val="tx1"/>
            </w14:solidFill>
          </w14:textFill>
        </w:rPr>
        <w:t>生态环境治理联防联控，打造生态型美丽河湖。全域推进工业水、农业水、生活水、船舶水、输入水共治，巩固“两个清零、一个提标”成效，推广“污水处理厂+人工湿地”治理模式，大力发展水处理产业，提升再生水利用规模。统筹推进农村生活、养殖业、种植业等污染治理。到2030年，美丽河湖建成率超过60%，国、省控断面水质优良率完成省下达目标任务，城市生活污水集中收集率达到75%。</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持续打好净土保卫战</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土壤环境全流程管理体系，开展土壤污染源头防控行动，严格地下水污染风险管控。加强农用地生态环境保护，强化重金属污染防控，推进建设用地风险管控，严格落实生态环境准入管理和重点建设用地安全利用，加强建设项目土壤环境影响评价。开展土壤污染绿色可持续治理与修复，探索实施“环境修复+开发建设”模式，稳妥有序推进全域土地综合整治。到2030年，受污染耕地安全利用率完成省下达任务，重点建设用地安全利用率保持100%。</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扎实推进无废城市建设</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固体废物综合治理，推进一般工业固废、建筑垃圾、危险废物、生活垃圾、农业废弃物等固体废物源头减量和资源化利用，提升固体废物精细化管理水平。深入推进新污染物治理，严格把控涉新污染物建设项目准入，推进粉煤灰、煤矸石等一般工业固废稳妥有效消纳。加强医疗废物无害化处置体系建设。推动工业废盐、生活垃圾焚烧飞灰等危险废物资源化利用项目建设。加快打造“无废细胞”示范标杆，建设一批“无废园区”“无废景区”，打造京杭运河济宁段“无废航运”。</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加快绿色低碳转型发展</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深入实施碳达峰“十大工程”，推进生产、生活、生态融合发展，如期实现碳达峰目标。</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积极稳妥推进“双碳”战略</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碳排放总量和强度双控制度，稳步落实地方碳考核、行业碳管控、企业碳管理、项目碳评价、产品碳足迹等政策制度。逐步建立市级碳排放数据统计核算和监测体系，鼓励碳排放智能监测网络建设。积极参与全国碳排放权交易市场，推动电力、水泥等纳入交易的重点行业企业开展配额交易。探索在机械装备、煤炭等产业领域开展重点产品全生命周期碳足迹核算。深入实施碳金融发展行动。到2030年，确保单位地区生产总值二氧化碳排放降低幅度完成省下达任务。</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加快发展方式绿色低碳转型</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进产业绿色低碳发展，坚决遏制高耗能、高排放、低水平项目盲目上马，开展重点领域节能增效行动。加速推进能源绿色低碳转型，提升重点行业绿电消费比例，依托开发区加快建设绿电产业园。以宁德时代济宁新能源产业园、新加坡金鹰集团鱼台绿色低碳产业园等省级零碳园区为引领，加快建设一批国家级、省级零碳园区、零碳工厂。大力发展绿色低碳产业，构建绿色制造体系和服务体系。积极扩大电力、天然气、氢能等清洁能源在交通运输领域应用。严格落实绿色建筑标准，推广绿色建造方式。深入推进循环经济发展和清洁生产，实施节能、节水、节地、节材、节矿，推进全面节约战略。</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倡导形成绿色低碳生活方式</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开展全社会绿色生活教育，增强全民节约意识、低碳意识、生态意识，倡导简约适度、绿色低碳、文明健康的生活方式。全面推广绿色办公，推进有条件的办公区域共建公用信息系统，持续推行无纸化办公，推广使用循环再生产品。积极推广绿色消费，推广节能生活用品，畅通绿色产品流通渠道。以可回收物回收利用为重点，大力推进生活垃圾分类。推广绿色出行，提升城区绿色交通出行比例，优先发展城市公交，加强人行步道等城市慢行系统建设。</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完善绿色低碳新型能源体系</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推进能源绿色低碳转型，深化能源改革创新，提升能源供应保障能力，构建清洁低碳、安全高效、智慧多元的现代能源体系。</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大力发展非化石能源</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持续提高新能源供给和消纳水平，以太阳能、风能、生物质能、地热能、氢能等开发利用为重点，推进化石能源安全可靠有序替代。到2030年，全市非化石能源装机总量突破1100万千瓦、占电力装机比重超过50%。因地制宜推动新能源开发建设，发展“光伏+”集中式电站，推广“光伏+屋顶”分布式发电，打造鲁西南（济宁）采煤沉陷区“光伏+”基地。推进泗水县、鱼台县、金乡县、嘉祥县、汶上县、梁山县等地域陆上风电项目，支持地热能、农林生物质发电项目开发利用。</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促进传统能源发展提质增效</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科学优化煤炭产能布局，推动存量资源优化整合，加快安全无保障、资源枯竭、长期亏损三类煤矿退出，加快推动梁山大营、兖州小孟井田等优质资源联合开发，保持适度产能规模，建设煤炭储备基地。到2030年，煤炭产量稳定在4000万吨左右。实施煤炭消费总量控制，推进煤电改造升级和散煤替代。大力发展天然气管网，稳妥有序拓展天然气在工业、交通等领域推广应用。健全油气管网输配体系，确保区域油气供应稳定安全。</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加快构建新型电力系统</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全域煤电改造提升和全市供热“一张网”行动，全面推动煤电机组优化提升，“上大压小”整合新建大型清洁高效煤电项目。实施“数字电网升级工程”，有序推动绿电直连、智能电网、微电网、虚拟电厂、源网荷储一体化等项目建设，打造智慧韧性新型电网。实施储能倍增计划，科学布局抽水蓄能、压缩空气、电化学、熔盐等储能设施，到2030年，储能设施规模达到120万千瓦。</w:t>
      </w:r>
    </w:p>
    <w:tbl>
      <w:tblPr>
        <w:tblStyle w:val="8"/>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98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7" w:hRule="atLeast"/>
          <w:jc w:val="center"/>
        </w:trPr>
        <w:tc>
          <w:tcPr>
            <w:tcW w:w="8988" w:type="dxa"/>
          </w:tcPr>
          <w:p>
            <w:pPr>
              <w:pStyle w:val="17"/>
              <w:spacing w:line="440" w:lineRule="exact"/>
              <w:ind w:firstLine="561"/>
              <w:rPr>
                <w:rFonts w:ascii="方正黑体简体" w:eastAsia="方正黑体简体" w:cs="Times New Roman"/>
                <w:sz w:val="30"/>
                <w:szCs w:val="30"/>
              </w:rPr>
            </w:pPr>
            <w:r>
              <w:rPr>
                <w:rFonts w:hint="eastAsia" w:ascii="方正黑体简体" w:eastAsia="方正黑体简体" w:cs="Times New Roman"/>
                <w:kern w:val="0"/>
                <w:sz w:val="30"/>
                <w:szCs w:val="30"/>
              </w:rPr>
              <w:t>专栏24  重大能源基础设施建设工程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69" w:hRule="atLeast"/>
          <w:jc w:val="center"/>
        </w:trPr>
        <w:tc>
          <w:tcPr>
            <w:tcW w:w="8988" w:type="dxa"/>
            <w:vAlign w:val="center"/>
          </w:tcPr>
          <w:p>
            <w:pPr>
              <w:spacing w:line="440" w:lineRule="exact"/>
              <w:ind w:firstLine="561"/>
              <w:rPr>
                <w:rFonts w:ascii="方正仿宋简体" w:eastAsia="方正仿宋简体"/>
                <w:b/>
                <w:bCs/>
                <w:sz w:val="28"/>
                <w:szCs w:val="28"/>
              </w:rPr>
            </w:pPr>
            <w:r>
              <w:rPr>
                <w:rFonts w:hint="eastAsia" w:ascii="方正黑体简体" w:eastAsia="方正黑体简体"/>
                <w:b/>
                <w:bCs/>
                <w:sz w:val="28"/>
                <w:szCs w:val="28"/>
              </w:rPr>
              <w:t>传统能源提质增效工程。</w:t>
            </w:r>
            <w:r>
              <w:rPr>
                <w:rFonts w:hint="eastAsia" w:ascii="方正仿宋简体" w:eastAsia="方正仿宋简体"/>
                <w:b/>
                <w:bCs/>
                <w:sz w:val="28"/>
                <w:szCs w:val="28"/>
              </w:rPr>
              <w:t>（1）华电邹县电厂1×100万千瓦级</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上大压小</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项目（2）华能济宁（运河）2×670兆瓦煤电整合项目（3）</w:t>
            </w:r>
            <w:r>
              <w:rPr>
                <w:rFonts w:hint="eastAsia" w:ascii="MS Mincho" w:hAnsi="MS Mincho" w:eastAsia="MS Mincho" w:cs="MS Mincho"/>
                <w:b/>
                <w:bCs/>
                <w:sz w:val="28"/>
                <w:szCs w:val="28"/>
              </w:rPr>
              <w:t>‌</w:t>
            </w:r>
            <w:r>
              <w:rPr>
                <w:rFonts w:hint="eastAsia" w:ascii="方正仿宋简体" w:hAnsi="方正仿宋简体" w:eastAsia="方正仿宋简体" w:cs="方正仿宋简体"/>
                <w:b/>
                <w:bCs/>
                <w:sz w:val="28"/>
                <w:szCs w:val="28"/>
              </w:rPr>
              <w:t>梁山县</w:t>
            </w:r>
            <w:r>
              <w:rPr>
                <w:rFonts w:hint="eastAsia" w:ascii="方正仿宋简体" w:eastAsia="方正仿宋简体"/>
                <w:b/>
                <w:bCs/>
                <w:sz w:val="28"/>
                <w:szCs w:val="28"/>
              </w:rPr>
              <w:t>2×5万千瓦背压机组项目（4）济宁新材料产业园2×6万千瓦背压机组项目（5）长青生物科技产业园2×5万千瓦燃煤背压机组项目（6）兖州2×5万千瓦背压机组热电联产项目（7）</w:t>
            </w:r>
            <w:bookmarkStart w:id="11" w:name="OLE_LINK24"/>
            <w:r>
              <w:rPr>
                <w:rFonts w:hint="eastAsia" w:ascii="方正仿宋简体" w:eastAsia="方正仿宋简体"/>
                <w:b/>
                <w:bCs/>
                <w:sz w:val="28"/>
                <w:szCs w:val="28"/>
              </w:rPr>
              <w:t>金桥煤矿技改项目</w:t>
            </w:r>
            <w:bookmarkEnd w:id="11"/>
            <w:r>
              <w:rPr>
                <w:rFonts w:hint="eastAsia" w:ascii="方正仿宋简体" w:eastAsia="方正仿宋简体"/>
                <w:b/>
                <w:bCs/>
                <w:sz w:val="28"/>
                <w:szCs w:val="28"/>
              </w:rPr>
              <w:t>等。</w:t>
            </w:r>
          </w:p>
          <w:p>
            <w:pPr>
              <w:spacing w:line="440" w:lineRule="exact"/>
              <w:ind w:firstLine="561"/>
              <w:rPr>
                <w:rFonts w:ascii="方正仿宋简体" w:eastAsia="方正仿宋简体"/>
                <w:b/>
                <w:bCs/>
                <w:sz w:val="28"/>
                <w:szCs w:val="28"/>
              </w:rPr>
            </w:pPr>
            <w:r>
              <w:rPr>
                <w:rFonts w:hint="eastAsia" w:ascii="方正黑体简体" w:eastAsia="方正黑体简体"/>
                <w:b/>
                <w:bCs/>
                <w:sz w:val="28"/>
                <w:szCs w:val="28"/>
              </w:rPr>
              <w:t>清洁能源提升工程。</w:t>
            </w:r>
            <w:r>
              <w:rPr>
                <w:rFonts w:hint="eastAsia" w:ascii="方正仿宋简体" w:eastAsia="方正仿宋简体"/>
                <w:b/>
                <w:bCs/>
                <w:sz w:val="28"/>
                <w:szCs w:val="28"/>
              </w:rPr>
              <w:t>（1）</w:t>
            </w:r>
            <w:r>
              <w:rPr>
                <w:rFonts w:hint="eastAsia" w:ascii="MS Mincho" w:hAnsi="MS Mincho" w:eastAsia="MS Mincho" w:cs="MS Mincho"/>
                <w:b/>
                <w:bCs/>
                <w:sz w:val="28"/>
                <w:szCs w:val="28"/>
              </w:rPr>
              <w:t>‌</w:t>
            </w:r>
            <w:r>
              <w:rPr>
                <w:rFonts w:hint="eastAsia" w:ascii="方正仿宋简体" w:hAnsi="方正仿宋简体" w:eastAsia="方正仿宋简体" w:cs="方正仿宋简体"/>
                <w:b/>
                <w:bCs/>
                <w:sz w:val="28"/>
                <w:szCs w:val="28"/>
              </w:rPr>
              <w:t>鲁西南（济宁）采煤沉陷区“</w:t>
            </w:r>
            <w:r>
              <w:rPr>
                <w:rFonts w:hint="eastAsia" w:ascii="方正仿宋简体" w:eastAsia="方正仿宋简体"/>
                <w:b/>
                <w:bCs/>
                <w:sz w:val="28"/>
                <w:szCs w:val="28"/>
              </w:rPr>
              <w:t>光伏+</w:t>
            </w:r>
            <w:r>
              <w:rPr>
                <w:rFonts w:hint="eastAsia" w:ascii="方正仿宋简体" w:hAnsi="方正仿宋简体" w:eastAsia="方正仿宋简体" w:cs="方正仿宋简体"/>
                <w:b/>
                <w:bCs/>
                <w:sz w:val="28"/>
                <w:szCs w:val="28"/>
              </w:rPr>
              <w:t>”</w:t>
            </w:r>
            <w:r>
              <w:rPr>
                <w:rFonts w:hint="eastAsia" w:ascii="方正仿宋简体" w:eastAsia="方正仿宋简体"/>
                <w:b/>
                <w:bCs/>
                <w:sz w:val="28"/>
                <w:szCs w:val="28"/>
              </w:rPr>
              <w:t>基地工程（2）</w:t>
            </w:r>
            <w:r>
              <w:rPr>
                <w:rFonts w:hint="eastAsia" w:ascii="MS Mincho" w:hAnsi="MS Mincho" w:eastAsia="MS Mincho" w:cs="MS Mincho"/>
                <w:b/>
                <w:bCs/>
                <w:sz w:val="28"/>
                <w:szCs w:val="28"/>
              </w:rPr>
              <w:t>‌</w:t>
            </w:r>
            <w:r>
              <w:rPr>
                <w:rFonts w:hint="eastAsia" w:ascii="方正仿宋简体" w:hAnsi="方正仿宋简体" w:eastAsia="方正仿宋简体" w:cs="方正仿宋简体"/>
                <w:b/>
                <w:bCs/>
                <w:sz w:val="28"/>
                <w:szCs w:val="28"/>
              </w:rPr>
              <w:t>新加坡金鹰集团</w:t>
            </w:r>
            <w:r>
              <w:rPr>
                <w:rFonts w:hint="eastAsia" w:ascii="方正仿宋简体" w:eastAsia="方正仿宋简体"/>
                <w:b/>
                <w:bCs/>
                <w:sz w:val="28"/>
                <w:szCs w:val="28"/>
              </w:rPr>
              <w:t>莱赛尔生物质发电工程（3）</w:t>
            </w:r>
            <w:r>
              <w:rPr>
                <w:rFonts w:hint="eastAsia" w:ascii="MS Mincho" w:hAnsi="MS Mincho" w:eastAsia="MS Mincho" w:cs="MS Mincho"/>
                <w:b/>
                <w:bCs/>
                <w:sz w:val="28"/>
                <w:szCs w:val="28"/>
              </w:rPr>
              <w:t>‌</w:t>
            </w:r>
            <w:r>
              <w:rPr>
                <w:rFonts w:hint="eastAsia" w:ascii="方正仿宋简体" w:hAnsi="方正仿宋简体" w:eastAsia="方正仿宋简体" w:cs="方正仿宋简体"/>
                <w:b/>
                <w:bCs/>
                <w:sz w:val="28"/>
                <w:szCs w:val="28"/>
              </w:rPr>
              <w:t>太平洋能源（济宁）燃气调峰发电</w:t>
            </w:r>
            <w:r>
              <w:rPr>
                <w:rFonts w:hint="eastAsia" w:ascii="方正仿宋简体" w:eastAsia="方正仿宋简体"/>
                <w:b/>
                <w:bCs/>
                <w:sz w:val="28"/>
                <w:szCs w:val="28"/>
              </w:rPr>
              <w:t>工程（4）绿能金乡县兴隆镇235兆瓦风电工程（5）绿能金乡县高堂村210兆瓦风电工程（6）中广核汶上205兆瓦风电工程（7）邹城市中部180兆瓦风电工程（8）山东时代新能源电池基地绿电直连项目（9）</w:t>
            </w:r>
            <w:bookmarkStart w:id="12" w:name="OLE_LINK23"/>
            <w:r>
              <w:rPr>
                <w:rFonts w:hint="eastAsia" w:ascii="方正仿宋简体" w:eastAsia="方正仿宋简体"/>
                <w:b/>
                <w:bCs/>
                <w:sz w:val="28"/>
                <w:szCs w:val="28"/>
              </w:rPr>
              <w:t>恒信可降解塑料一体化绿电直连项目（10）鱼台莱赛尔产业园绿电直连项目</w:t>
            </w:r>
            <w:bookmarkEnd w:id="12"/>
            <w:r>
              <w:rPr>
                <w:rFonts w:hint="eastAsia" w:ascii="方正仿宋简体" w:eastAsia="方正仿宋简体"/>
                <w:b/>
                <w:bCs/>
                <w:sz w:val="28"/>
                <w:szCs w:val="28"/>
              </w:rPr>
              <w:t>等。</w:t>
            </w:r>
          </w:p>
          <w:p>
            <w:pPr>
              <w:spacing w:line="440" w:lineRule="exact"/>
              <w:ind w:firstLine="561"/>
              <w:rPr>
                <w:bCs/>
                <w:sz w:val="24"/>
              </w:rPr>
            </w:pPr>
            <w:r>
              <w:rPr>
                <w:rFonts w:hint="eastAsia" w:ascii="方正黑体简体" w:eastAsia="方正黑体简体"/>
                <w:b/>
                <w:bCs/>
                <w:sz w:val="28"/>
                <w:szCs w:val="28"/>
              </w:rPr>
              <w:t>智能坚强电网建设工程。</w:t>
            </w:r>
            <w:r>
              <w:rPr>
                <w:rFonts w:hint="eastAsia" w:ascii="方正仿宋简体" w:eastAsia="方正仿宋简体"/>
                <w:b/>
                <w:bCs/>
                <w:sz w:val="28"/>
                <w:szCs w:val="28"/>
              </w:rPr>
              <w:t>超前开展大电网优化布局和500千伏输变电工程协同布点，深化220千伏电网分区规划研究，强化“源网荷储”和“主配微”协同，形成“东部四横两纵、目字布局，西部多点支撑、南北互济”的骨干网架结构。</w:t>
            </w:r>
          </w:p>
        </w:tc>
      </w:tr>
    </w:tbl>
    <w:p>
      <w:pPr>
        <w:spacing w:line="58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第四章  加大生态系统修复和保护力度</w:t>
      </w:r>
    </w:p>
    <w:p>
      <w:pPr>
        <w:spacing w:line="58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坚持重点攻坚和系统治理，加快沿黄生态廊道建设，协同推进矿山和塌陷地治理，构建全域美丽河湖生态体系，提升国土绿化水平，构建绿色生态安全体系。</w:t>
      </w:r>
    </w:p>
    <w:p>
      <w:pPr>
        <w:spacing w:line="58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筑牢生态安全屏障</w:t>
      </w:r>
    </w:p>
    <w:p>
      <w:pPr>
        <w:spacing w:line="54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多规合一”改革，完善国土空间规划体系，加强国土空间规划实施监督，提高空间开发整体效能。深入实施主体功能区战略，加强生态环境分区管控，落实“一核四轴、两带五区”的国土空间开发保护总体格局。严守耕地和永久基本农田、生态保护红线、城镇开发边界三条控制线，营造生产空间集约高效、生活空间宜居适度、生态空间山清水秀的美丽国土。到2030年，全市生态保护红线面积不低于1321平方公里。强化生态保护和底线约束，构建“两带、四区、六廊”生态空间格局，建设大运河、泗河两条生态带，南四湖生态区、黄河流域生态区、东部山林生态区和环城生态区四处重点生态区，白马河、</w:t>
      </w:r>
      <w:r>
        <w:rPr>
          <w:rFonts w:hint="eastAsia" w:ascii="宋体" w:hAnsi="宋体" w:cs="宋体"/>
          <w:b/>
          <w:color w:val="000000" w:themeColor="text1"/>
          <w:sz w:val="32"/>
          <w:szCs w:val="32"/>
          <w14:textFill>
            <w14:solidFill>
              <w14:schemeClr w14:val="tx1"/>
            </w14:solidFill>
          </w14:textFill>
        </w:rPr>
        <w:t>洸</w:t>
      </w:r>
      <w:r>
        <w:rPr>
          <w:rFonts w:hint="eastAsia" w:ascii="方正仿宋简体" w:hAnsi="方正仿宋简体" w:eastAsia="方正仿宋简体" w:cs="方正仿宋简体"/>
          <w:b/>
          <w:color w:val="000000" w:themeColor="text1"/>
          <w:sz w:val="32"/>
          <w:szCs w:val="32"/>
          <w14:textFill>
            <w14:solidFill>
              <w14:schemeClr w14:val="tx1"/>
            </w14:solidFill>
          </w14:textFill>
        </w:rPr>
        <w:t>府河、洙水河、新万福河、东鱼河、洙赵新河六条生态廊道，统筹推动重要生态系统保护修</w:t>
      </w:r>
      <w:r>
        <w:rPr>
          <w:rFonts w:hint="eastAsia" w:ascii="方正仿宋简体" w:hAnsi="文星仿宋" w:eastAsia="方正仿宋简体" w:cs="方正仿宋简体"/>
          <w:b/>
          <w:color w:val="000000" w:themeColor="text1"/>
          <w:sz w:val="32"/>
          <w:szCs w:val="32"/>
          <w14:textFill>
            <w14:solidFill>
              <w14:schemeClr w14:val="tx1"/>
            </w14:solidFill>
          </w14:textFill>
        </w:rPr>
        <w:t>复重大工程。</w:t>
      </w:r>
    </w:p>
    <w:p>
      <w:pPr>
        <w:spacing w:line="600" w:lineRule="exact"/>
        <w:ind w:firstLine="400" w:firstLineChars="200"/>
        <w:rPr>
          <w:rFonts w:ascii="方正仿宋简体" w:hAnsi="文星仿宋" w:eastAsia="方正仿宋简体" w:cs="方正仿宋简体"/>
          <w:b/>
          <w:color w:val="000000" w:themeColor="text1"/>
          <w:sz w:val="32"/>
          <w:szCs w:val="32"/>
          <w14:textFill>
            <w14:solidFill>
              <w14:schemeClr w14:val="tx1"/>
            </w14:solidFill>
          </w14:textFill>
        </w:rPr>
      </w:pPr>
      <w:r>
        <w:drawing>
          <wp:anchor distT="0" distB="0" distL="114300" distR="114300" simplePos="0" relativeHeight="251665408" behindDoc="0" locked="0" layoutInCell="1" allowOverlap="1">
            <wp:simplePos x="0" y="0"/>
            <wp:positionH relativeFrom="column">
              <wp:posOffset>48895</wp:posOffset>
            </wp:positionH>
            <wp:positionV relativeFrom="paragraph">
              <wp:posOffset>95885</wp:posOffset>
            </wp:positionV>
            <wp:extent cx="5610225" cy="5600700"/>
            <wp:effectExtent l="0" t="0" r="9525" b="0"/>
            <wp:wrapNone/>
            <wp:docPr id="7" name="图片 7" descr="C:\Users\Lenovo\Desktop\微信图片_20251212223457_74_1505.jpg微信图片_20251212223457_74_1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C:\Users\Lenovo\Desktop\微信图片_20251212223457_74_1505.jpg微信图片_20251212223457_74_1505"/>
                    <pic:cNvPicPr>
                      <a:picLocks noChangeAspect="1"/>
                    </pic:cNvPicPr>
                  </pic:nvPicPr>
                  <pic:blipFill>
                    <a:blip r:embed="rId8" cstate="print">
                      <a:extLst>
                        <a:ext uri="{28A0092B-C50C-407E-A947-70E740481C1C}">
                          <a14:useLocalDpi xmlns:a14="http://schemas.microsoft.com/office/drawing/2010/main" val="0"/>
                        </a:ext>
                      </a:extLst>
                    </a:blip>
                    <a:srcRect/>
                    <a:stretch>
                      <a:fillRect/>
                    </a:stretch>
                  </pic:blipFill>
                  <pic:spPr>
                    <a:xfrm>
                      <a:off x="0" y="0"/>
                      <a:ext cx="5612130" cy="5602602"/>
                    </a:xfrm>
                    <a:prstGeom prst="rect">
                      <a:avLst/>
                    </a:prstGeom>
                  </pic:spPr>
                </pic:pic>
              </a:graphicData>
            </a:graphic>
          </wp:anchor>
        </w:drawing>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400" w:lineRule="exact"/>
        <w:jc w:val="center"/>
        <w:rPr>
          <w:rFonts w:ascii="方正黑体简体" w:hAnsi="文星仿宋" w:eastAsia="方正黑体简体" w:cs="方正仿宋简体"/>
          <w:b/>
          <w:color w:val="000000" w:themeColor="text1"/>
          <w:sz w:val="28"/>
          <w:szCs w:val="28"/>
          <w14:textFill>
            <w14:solidFill>
              <w14:schemeClr w14:val="tx1"/>
            </w14:solidFill>
          </w14:textFill>
        </w:rPr>
      </w:pPr>
      <w:r>
        <w:rPr>
          <w:rFonts w:hint="eastAsia" w:ascii="方正黑体简体" w:hAnsi="文星仿宋" w:eastAsia="方正黑体简体" w:cs="方正仿宋简体"/>
          <w:b/>
          <w:color w:val="000000" w:themeColor="text1"/>
          <w:sz w:val="28"/>
          <w:szCs w:val="28"/>
          <w14:textFill>
            <w14:solidFill>
              <w14:schemeClr w14:val="tx1"/>
            </w14:solidFill>
          </w14:textFill>
        </w:rPr>
        <w:t>图13—1  济宁市国土空间开发保护总体格局示意图</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统筹推进山水林田湖草沙一体化保护治理</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化绿色矿山建设，因地制宜制定矿山生态修复方案，巩固历史遗留废弃矿山生态修复成效。持续优化采煤塌陷地综合治理，推进治理模式向系统化、精准化升级。推动南四湖生态保护和高质量发展，系统推进南四湖流域山水林田湖草沙系统综合治理，实施南四湖、大运河等重点生态区域保护修复工程。因地制宜推进水土流失综合防治，加强地下水超采区综合治理。以鱼台县、任城区、微山县为重点区域，全面推进自然保护地体系建设。科学推进国土绿化，广泛开展全民义务植树活动，推进道路、水系、村庄绿化和森林质量精准提升。落实湿地保护面积总量管控制度，实施湿地生态保护修复行动，湿地面积稳定在255万亩以上。强化全域生物多样性保护，建立健全林业和草原有害生物防控体系。健全完善生态产品价值实现和生态补偿机制，开展生态保护修复成效评估，加快落实以排污许可制为核心的固定污染源监管制度。</w:t>
      </w: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第十四篇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统筹发展和安全，</w:t>
      </w:r>
    </w:p>
    <w:p>
      <w:pPr>
        <w:spacing w:line="57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以高水平安全保障高质量发展</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深入贯彻总体国家安全观，坚持人民至上、生命至上，增强全社会安全意识，筑牢安全根基，把安全发展贯穿经济社会发展全过程各领域，以高水平安全护航高质量发展。</w:t>
      </w:r>
    </w:p>
    <w:p>
      <w:pPr>
        <w:spacing w:line="57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一体化推进法治济宁建设</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全面加强党对依法治市工作的集中统一领导，坚持依法治市，推进法治政府、法治社会建设，提升法治济宁建设水平。</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全面推进依法治市</w:t>
      </w:r>
    </w:p>
    <w:p>
      <w:pPr>
        <w:spacing w:line="57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科学立法、严格执法、公正司法、全民守法，纵深推进依法治市工作。全面落实党政主要负责人履行推进法治建设第一责任人职责清单，坚持运用法治思维和法治手段改善执政方式、提高执政能力，不断健全完善重大法治问题请示报告、重要法治决定方案备案、重要法治工作事项审批、法治建设情况年度报告、党政领导干部述法等制度。加强法治督察制度化、规范化、程序化建设，强化领导干部依法办事监督检查，完善综合性法治评价工作机制。强化检察监督，加强公益诉讼。</w:t>
      </w:r>
    </w:p>
    <w:p>
      <w:pPr>
        <w:spacing w:line="57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深入推进法治政府建设</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党委领导、人大主导、政府依托、各方参与的立法工作机制，加强重点领域、新兴领域立法，拓展公众参与立法渠道，提高地方立法水平。持续健全依法决策机制，切实履行重大行政决策、规范性文件法定程序，确保公众参与、专家论证、风险评估质效，合法性审查（核）率达到100%。发挥行政复议化解行政争议主渠道作用，推进行政复议工作提质增效。持续强化司法所职能作用，推进司法所工作全面提升。深化行政执法体制机制改革，健全公正执法司法机制，强化跨部门执法司法协同和监督，完善解决执行难制度机制，加强人权执法司法保障。</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全面加强法治社会建设</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实施公民法治素养提升行动，全面落实“谁执法谁普法”普法责任制，扎实开展法治宣传教育。完善覆盖城乡、便捷高效、均等普惠的现代公共法律服务体系，深化公证体制机制改革，推进仲裁工作高质量发展，优化涉外法律服务能力，构建层次清晰、</w:t>
      </w: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职能互补、协同高效的涉外法治工作机制，推动村（居）法律</w:t>
      </w:r>
      <w:r>
        <w:rPr>
          <w:rFonts w:hint="eastAsia" w:ascii="方正仿宋简体" w:hAnsi="文星仿宋" w:eastAsia="方正仿宋简体" w:cs="方正仿宋简体"/>
          <w:b/>
          <w:color w:val="000000" w:themeColor="text1"/>
          <w:sz w:val="32"/>
          <w:szCs w:val="32"/>
          <w14:textFill>
            <w14:solidFill>
              <w14:schemeClr w14:val="tx1"/>
            </w14:solidFill>
          </w14:textFill>
        </w:rPr>
        <w:t>顾问工作提档升级，加强和改进未成年人权益保护，加大法律援助力度。坚持男女平等基本国策，保障妇女儿童合法权益，保障妇女依法平等参与经济社会发展、平等行使民主权利、平等享有改革发展成果。</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统筹推进更高水平的平安济宁建设</w:t>
      </w:r>
    </w:p>
    <w:p>
      <w:pPr>
        <w:spacing w:line="600" w:lineRule="exact"/>
        <w:ind w:firstLine="618"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pacing w:val="-6"/>
          <w:sz w:val="32"/>
          <w:szCs w:val="32"/>
          <w14:textFill>
            <w14:solidFill>
              <w14:schemeClr w14:val="tx1"/>
            </w14:solidFill>
          </w14:textFill>
        </w:rPr>
        <w:t>聚焦责任落实，完善维护政治安全和社会稳定工作体系，</w:t>
      </w:r>
      <w:r>
        <w:rPr>
          <w:rFonts w:hint="eastAsia" w:ascii="方正仿宋简体" w:hAnsi="文星仿宋" w:eastAsia="方正仿宋简体" w:cs="方正仿宋简体"/>
          <w:b/>
          <w:color w:val="000000" w:themeColor="text1"/>
          <w:sz w:val="32"/>
          <w:szCs w:val="32"/>
          <w14:textFill>
            <w14:solidFill>
              <w14:schemeClr w14:val="tx1"/>
            </w14:solidFill>
          </w14:textFill>
        </w:rPr>
        <w:t>维护国家安全，提升社会治理水平，保护人民生命健康，防范化解经济风险，有效推进社会和谐。</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筑牢国家安全屏障</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将维护政治安全摆在首要位置，持续提升捍卫政权安全、制度安全和意识形态安全能力。严格落实党委（党组）国家安全责任制，推动国家安全重点领域和重要专项协调机制规范建设、高效运行。强化国家安全风险监测预警、危机管控等工作，构建运转高效的国家安全风险防控体系。完善应对外部冲击工作机制，加强海外利益保护。深化国家安全宣传教育提质扩面增效行动。加强国家安全人民防线建设。完善军民融合发展体制机制。推动国防动员建设准备和军民一体化应急应战体系建设。</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强化重点领域风险防范化解</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围绕房地产、地方政府债务、中小金融机构等领域，强化风险防范化解。建立“人、房、地、钱”要素联动机制，促进房地产市场供需平衡。推进现房销售制，规范预售资金监管，更好保障项目交付，维护购房人合法权益。完善全口径地方债务监测监管体系和防范化解隐性债务风险长效机制。有序推进融资平台公司及城投公司深化改革与转型发展。严格违规举债问题的监督问责。推动农商行改革转型，有序做好村镇银行改革重组，防范和打击非法集资等非法金融活动，持续推进高风险中小金融机构动态清零。增强粮食、能源等资源保障能力，加强产业链供应链安全风险评估和应对处置，强化网络、数据、人工智能、生物、生态、低空等新兴领域风险防控和安全保障。有效防范财政金融、国有资产等重点领域风险，高质量开展审计工作。</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全面提升社会治理水平</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系统治理、依法治理、综合治理、源头治理，健全社会工作体制机制，完善共建共治共享的社会治理制度。坚持和发展新时代“枫桥经验”，健全党组织领导的自治、法治、德治相结合的基层治理体系，推动优秀传统文化融入社会治理，擦亮“和为贵”社会治理品牌。注重专群结合、群防群治，深化拓展网格化服务管理。加强思想政治引领，抓好新经济组织、新社会组织、新就业群体党的建设，加强社会组织培育管理，推动行业协会商会改革发展。全面实施乡镇（街道）履行职责事项清单，健全村（社区）工作事项准入制度，加强基层服务管理力量配置，完善服务设施和经费保障机制，推进基层民主协商，拓宽社情民意收集渠道，构建社区治理共同体。推动志愿服务体系建设，加强志愿服务组织管理，打响“学而”志愿服务品牌，加强社会工作者队伍建设，提高专业化服务水平。推进信访工作法治化。以县级为重点，推动市县乡村四级综治中心规范化建设、实体化运转。加强人民调解、行政调解和行业性专业性调解工作。</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第四节  全链条保障人民生命健康安全</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全面提高公共安全保障能力，扎实推进“健康济宁”建设，健全完善公共卫生体系，提升疾控能力，加强传染病防控，推进疫苗安全工作和预防接种工作，提升重大疾病防控、救治和应急处置能力。深入推进“食安济宁”建设，加强食品安全全链条风险防控，统筹开展农村食品安全、校园食品安全、餐饮质量安全专项整治。持续保障药品安全，强化药品全生命周期监管。守牢重点工业品、特种设备安全底线。</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第五节  有力维护社会平安稳定</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从源头上防范化解重大安全风险，规范推进“一村（格）一警”建设，发挥警务助理“微触角”作用，常态化开展治安风险隐患排查，推动公共安全治理模式向事前预防转型。推进社会治安整体防控体系和能力现代化建设，强化道路交通安全综合治理，建设社会治安整体防控平台和市公安局执法办案中心，常态化开展社会稳定风险隐患排查化解。健全扫黑除恶常态化机制，加大预防和打击邪教、电信网络诈骗、毒品犯罪等力度，探索构建强制隔离戒毒、戒毒康复等分类安全管理体系，强化未成年人违法犯罪预防和帮教，做好社区矫正对象监督管理，坚决遏制重大群体性和恶性极端事件发生。完善公安特警集中战训基础建设，提升应急处突能力。推进山东省第二强制医疗所建设，抓实严重精神障碍患者管理救助，健全社会心理服务体系和危机干预机制。</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全面提升应急管理能力</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坚持人民至上、生命至上，以防为主、防抗救相结合，积极构建大安全大应急框架，深入推进应急管理体系和能力现代化，妥善应对处置各类灾害事故。</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第一节  筑牢安全生产底线</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强化党政领导干部安全生产责任，完善安全生产风险排查整治和责任倒查机制，持续提高本质安全水平。深化安全生产治本攻坚，加强重点行业领域安全监管，严格高危行业领域安全审查，推动矿山、危险化学品、道路交通、建筑施工、旅游、消防、燃气等重点行业领域和新兴业态风险隐患排查整治，动态清零重大事故隐患。推动高危企业“三化”改造升级，完善安全风险分级管控和隐患排查治理双重预防机制，推进安全治理模式向事前预防转型。实施素质固安“安全明白人”建设工程，进一步夯实企业安全生产基础。</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第二节  夯实灾害防治基础</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树牢“两个坚持、三个转变”防灾减灾救灾理念，加强气象、水文、水务、地震、自然资源等御灾工程体系和洪涝、干旱、地质等灾害风险监测、预警预报能力设施建设。编制完成应急避难场所规划，完善救灾物资储备体系、救灾物资调拨机制。加强全方位全要素协同联动，提升防灾减灾救灾工作合力。</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r>
        <w:rPr>
          <w:rFonts w:hint="eastAsia" w:ascii="方正楷体简体" w:hAnsi="文星仿宋" w:eastAsia="方正楷体简体" w:cs="方正仿宋简体"/>
          <w:b/>
          <w:color w:val="000000" w:themeColor="text1"/>
          <w:sz w:val="32"/>
          <w:szCs w:val="32"/>
          <w14:textFill>
            <w14:solidFill>
              <w14:schemeClr w14:val="tx1"/>
            </w14:solidFill>
          </w14:textFill>
        </w:rPr>
        <w:t>第三节  提升应急救援实力</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完善大安全大应急框架下应急指挥机制，加强基层应急管理能力建设，统筹推进乡镇（街道）“应消合一、队站一体”应急管理能力建设，推动达到“四有、三会、一联”标准。衔接各级各类综合、专项应急预案，优化基层简明实用应急预案。统筹加强综合救援力量和矿山、化工、洪涝、森林火灾等专业救援力量及社会救援力量，提升各级各类应急救援专业化、智能化、无人化水平。支持建设水域、航空、无人机等新质力量，强化联建联训、实战演练，构建“综合+专业+社会”应急救援力量体系。强化科技赋能，提升应急管理能力。</w:t>
      </w:r>
    </w:p>
    <w:p>
      <w:pPr>
        <w:spacing w:line="600" w:lineRule="exact"/>
        <w:rPr>
          <w:rFonts w:ascii="方正仿宋简体" w:hAnsi="文星仿宋" w:eastAsia="方正仿宋简体" w:cs="方正仿宋简体"/>
          <w:b/>
          <w:color w:val="000000" w:themeColor="text1"/>
          <w:sz w:val="32"/>
          <w:szCs w:val="32"/>
          <w14:textFill>
            <w14:solidFill>
              <w14:schemeClr w14:val="tx1"/>
            </w14:solidFill>
          </w14:textFill>
        </w:rPr>
      </w:pP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第十五篇</w:t>
      </w:r>
      <w:r>
        <w:rPr>
          <w:rFonts w:ascii="方正小标宋简体" w:hAnsi="文星仿宋" w:eastAsia="方正小标宋简体" w:cs="方正仿宋简体"/>
          <w:b/>
          <w:color w:val="000000" w:themeColor="text1"/>
          <w:sz w:val="36"/>
          <w:szCs w:val="36"/>
          <w14:textFill>
            <w14:solidFill>
              <w14:schemeClr w14:val="tx1"/>
            </w14:solidFill>
          </w14:textFill>
        </w:rPr>
        <w:t xml:space="preserve">  </w:t>
      </w:r>
      <w:r>
        <w:rPr>
          <w:rFonts w:hint="eastAsia" w:ascii="方正小标宋简体" w:hAnsi="文星仿宋" w:eastAsia="方正小标宋简体" w:cs="方正仿宋简体"/>
          <w:b/>
          <w:color w:val="000000" w:themeColor="text1"/>
          <w:sz w:val="36"/>
          <w:szCs w:val="36"/>
          <w14:textFill>
            <w14:solidFill>
              <w14:schemeClr w14:val="tx1"/>
            </w14:solidFill>
          </w14:textFill>
        </w:rPr>
        <w:t>坚持和加强党的全面领导，</w:t>
      </w:r>
    </w:p>
    <w:p>
      <w:pPr>
        <w:spacing w:line="600" w:lineRule="exact"/>
        <w:jc w:val="center"/>
        <w:rPr>
          <w:rFonts w:ascii="方正小标宋简体" w:hAnsi="文星仿宋" w:eastAsia="方正小标宋简体" w:cs="方正仿宋简体"/>
          <w:b/>
          <w:color w:val="000000" w:themeColor="text1"/>
          <w:sz w:val="36"/>
          <w:szCs w:val="36"/>
          <w14:textFill>
            <w14:solidFill>
              <w14:schemeClr w14:val="tx1"/>
            </w14:solidFill>
          </w14:textFill>
        </w:rPr>
      </w:pPr>
      <w:r>
        <w:rPr>
          <w:rFonts w:hint="eastAsia" w:ascii="方正小标宋简体" w:hAnsi="文星仿宋" w:eastAsia="方正小标宋简体" w:cs="方正仿宋简体"/>
          <w:b/>
          <w:color w:val="000000" w:themeColor="text1"/>
          <w:sz w:val="36"/>
          <w:szCs w:val="36"/>
          <w14:textFill>
            <w14:solidFill>
              <w14:schemeClr w14:val="tx1"/>
            </w14:solidFill>
          </w14:textFill>
        </w:rPr>
        <w:t>团结全市人民为实现“十五五”规划而奋斗</w:t>
      </w:r>
    </w:p>
    <w:p>
      <w:pPr>
        <w:spacing w:line="600" w:lineRule="exact"/>
        <w:ind w:firstLine="642" w:firstLineChars="200"/>
        <w:rPr>
          <w:rFonts w:ascii="方正楷体简体" w:hAnsi="文星仿宋" w:eastAsia="方正楷体简体" w:cs="方正仿宋简体"/>
          <w:b/>
          <w:color w:val="000000" w:themeColor="text1"/>
          <w:sz w:val="32"/>
          <w:szCs w:val="32"/>
          <w14:textFill>
            <w14:solidFill>
              <w14:schemeClr w14:val="tx1"/>
            </w14:solidFill>
          </w14:textFill>
        </w:rPr>
      </w:pP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第一章  提高党领导经济社会发展能力</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深入学习贯彻习近平新时代中国特色社会主义思想，深刻领悟“两个确立”的决定性意义，增强“四个意识”</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w:t>
      </w:r>
      <w:r>
        <w:rPr>
          <w:rFonts w:hint="eastAsia" w:ascii="方正仿宋简体" w:hAnsi="文星仿宋" w:eastAsia="方正仿宋简体" w:cs="方正仿宋简体"/>
          <w:b/>
          <w:color w:val="000000" w:themeColor="text1"/>
          <w:sz w:val="32"/>
          <w:szCs w:val="32"/>
          <w14:textFill>
            <w14:solidFill>
              <w14:schemeClr w14:val="tx1"/>
            </w14:solidFill>
          </w14:textFill>
        </w:rPr>
        <w:t>坚定“四个自信”</w:t>
      </w:r>
      <w:r>
        <w:rPr>
          <w:rFonts w:hint="eastAsia" w:ascii="方正仿宋简体" w:hAnsi="文星仿宋" w:eastAsia="方正仿宋简体" w:cs="方正仿宋简体"/>
          <w:b/>
          <w:color w:val="000000" w:themeColor="text1"/>
          <w:sz w:val="32"/>
          <w:szCs w:val="32"/>
          <w:lang w:eastAsia="zh-CN"/>
          <w14:textFill>
            <w14:solidFill>
              <w14:schemeClr w14:val="tx1"/>
            </w14:solidFill>
          </w14:textFill>
        </w:rPr>
        <w:t>、</w:t>
      </w:r>
      <w:r>
        <w:rPr>
          <w:rFonts w:hint="eastAsia" w:ascii="方正仿宋简体" w:hAnsi="文星仿宋" w:eastAsia="方正仿宋简体" w:cs="方正仿宋简体"/>
          <w:b/>
          <w:color w:val="000000" w:themeColor="text1"/>
          <w:sz w:val="32"/>
          <w:szCs w:val="32"/>
          <w14:textFill>
            <w14:solidFill>
              <w14:schemeClr w14:val="tx1"/>
            </w14:solidFill>
          </w14:textFill>
        </w:rPr>
        <w:t>做到“两个维护”。持之以恒推进全面从严治党，锲而不舍落实中央八项规定精神，坚持厉行节约、过紧日子，全面深化“清廉济宁”建设，营造风清气正的政治生态。强化政治监督，不断提高政治判断力、政治领悟力、政治执行力，确保党中央决策部署和省委工作要求在济宁不折不扣落地落实。引导树立正确政绩观，激发干部队伍内生动力和整体活力。完善党委研究经济社会发展战略、制定重大决策、推进任务落实的工作机制，完善重大事项集体决策和专家审议制度。全面深化事业单位改革。</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第二章  加强统一规划体系建设</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认真落实国家发展规划法，健全以发展规划为统领、空间规划为基础、专项规划和区域规划为支撑的统一规划体系。加强各级各类专项规划规范管理，建立完善目录清单、衔接审核、实施备案、监测评估等管理制度。依据全市发展规划同步部署、同步编制、同步实施一批市级重点专项规划，强化各类规划、年度计划等与发展规划衔接协调。构建发展规划、财政、金融等政策协调和工作协同机制，确保各类政策同向发力。</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第三章  建立重大项目支撑体系</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推动规划项目布局与要素保障、资源环境、基础设施条件相匹配，强化“项目跟着规划走”“要素跟着项目走”。健全分年度重点项目储备机制，科学谋划、滚动实施、梯次推进。对纳入规划的重大项目，统筹各类财政资金予以保障，充分保障土地、人才、环保、用能等资源要素。</w:t>
      </w:r>
    </w:p>
    <w:p>
      <w:pPr>
        <w:spacing w:line="600" w:lineRule="exact"/>
        <w:jc w:val="center"/>
        <w:rPr>
          <w:rFonts w:ascii="方正黑体简体" w:hAnsi="文星仿宋" w:eastAsia="方正黑体简体" w:cs="方正仿宋简体"/>
          <w:b/>
          <w:color w:val="000000" w:themeColor="text1"/>
          <w:sz w:val="32"/>
          <w:szCs w:val="32"/>
          <w14:textFill>
            <w14:solidFill>
              <w14:schemeClr w14:val="tx1"/>
            </w14:solidFill>
          </w14:textFill>
        </w:rPr>
      </w:pPr>
      <w:r>
        <w:rPr>
          <w:rFonts w:hint="eastAsia" w:ascii="方正黑体简体" w:hAnsi="文星仿宋" w:eastAsia="方正黑体简体" w:cs="方正仿宋简体"/>
          <w:b/>
          <w:color w:val="000000" w:themeColor="text1"/>
          <w:sz w:val="32"/>
          <w:szCs w:val="32"/>
          <w14:textFill>
            <w14:solidFill>
              <w14:schemeClr w14:val="tx1"/>
            </w14:solidFill>
          </w14:textFill>
        </w:rPr>
        <w:t>第四章  完善实施监测评估体系</w:t>
      </w:r>
    </w:p>
    <w:p>
      <w:pPr>
        <w:spacing w:line="600" w:lineRule="exact"/>
        <w:ind w:firstLine="642" w:firstLineChars="200"/>
        <w:rPr>
          <w:rFonts w:ascii="方正仿宋简体" w:hAnsi="文星仿宋" w:eastAsia="方正仿宋简体" w:cs="方正仿宋简体"/>
          <w:b/>
          <w:color w:val="000000" w:themeColor="text1"/>
          <w:sz w:val="32"/>
          <w:szCs w:val="32"/>
          <w14:textFill>
            <w14:solidFill>
              <w14:schemeClr w14:val="tx1"/>
            </w14:solidFill>
          </w14:textFill>
        </w:rPr>
      </w:pPr>
      <w:r>
        <w:rPr>
          <w:rFonts w:hint="eastAsia" w:ascii="方正仿宋简体" w:hAnsi="文星仿宋" w:eastAsia="方正仿宋简体" w:cs="方正仿宋简体"/>
          <w:b/>
          <w:color w:val="000000" w:themeColor="text1"/>
          <w:sz w:val="32"/>
          <w:szCs w:val="32"/>
          <w14:textFill>
            <w14:solidFill>
              <w14:schemeClr w14:val="tx1"/>
            </w14:solidFill>
          </w14:textFill>
        </w:rPr>
        <w:t>健全规划实施全周期推进机制，科学开展规划实施情况动态监测、中期评估和总结评估，根据监测评估情况及时提出加强和改进规划实施的政策举措。规划中期评估、总结评估和规划实施中的重大情况及时向市委请示报告。规划实施情况要依法接受全市人民代表大会及其常务委员会的监督，接受人民政协的民主监督，接受群众监督和舆论监督。</w:t>
      </w: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60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spacing w:line="240" w:lineRule="exact"/>
        <w:ind w:firstLine="642" w:firstLineChars="200"/>
        <w:rPr>
          <w:rFonts w:ascii="方正仿宋简体" w:hAnsi="文星仿宋" w:eastAsia="方正仿宋简体" w:cs="方正仿宋简体"/>
          <w:b/>
          <w:color w:val="FF0000"/>
          <w:sz w:val="32"/>
          <w:szCs w:val="32"/>
        </w:rPr>
      </w:pPr>
    </w:p>
    <w:p>
      <w:pPr>
        <w:rPr>
          <w:rFonts w:ascii="方正小标宋简体" w:hAnsi="文星黑体" w:eastAsia="方正小标宋简体" w:cs="方正小标宋简体"/>
          <w:b/>
          <w:color w:val="000000"/>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331470</wp:posOffset>
                </wp:positionV>
                <wp:extent cx="5544185" cy="0"/>
                <wp:effectExtent l="0" t="0" r="19050" b="19050"/>
                <wp:wrapNone/>
                <wp:docPr id="3" name="Line 7"/>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7" o:spid="_x0000_s1026" o:spt="20" style="position:absolute;left:0pt;margin-left:0pt;margin-top:26.1pt;height:0pt;width:436.55pt;z-index:251660288;mso-width-relative:page;mso-height-relative:page;" filled="f" stroked="t" coordsize="21600,21600" o:gfxdata="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Rh/g1dYA&#10;AAAGAQAADwAAAAAAAAABACAAAAA4AAAAZHJzL2Rvd25yZXYueG1sUEsBAhQAFAAAAAgAh07iQJLt&#10;yX/SAQAAzgMAAA4AAAAAAAAAAQAgAAAAOwEAAGRycy9lMm9Eb2MueG1sUEsFBgAAAAAGAAYAWQEA&#10;AH8FAAAAAA==&#10;">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color w:val="000000"/>
          <w:sz w:val="32"/>
          <w:szCs w:val="32"/>
          <w:lang w:bidi="ar"/>
        </w:rPr>
        <w:t xml:space="preserve"> </w:t>
      </w:r>
      <w:bookmarkStart w:id="13" w:name="主题词"/>
      <w:bookmarkEnd w:id="13"/>
    </w:p>
    <w:p>
      <w:pPr>
        <w:spacing w:line="440" w:lineRule="exact"/>
        <w:ind w:firstLine="275" w:firstLineChars="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文星仿宋" w:eastAsia="方正仿宋简体" w:cs="方正仿宋简体"/>
          <w:b/>
          <w:spacing w:val="-6"/>
          <w:sz w:val="28"/>
          <w:szCs w:val="28"/>
          <w:lang w:bidi="ar"/>
        </w:rPr>
        <w:t>市委各部门，市人大常委会办公室，市政协办公室，</w:t>
      </w:r>
      <w:r>
        <w:rPr>
          <w:rFonts w:hint="eastAsia" w:ascii="方正仿宋简体" w:hAnsi="方正仿宋简体" w:eastAsia="方正仿宋简体" w:cs="方正仿宋简体"/>
          <w:b/>
          <w:color w:val="000000"/>
          <w:spacing w:val="-6"/>
          <w:sz w:val="28"/>
          <w:szCs w:val="28"/>
          <w:lang w:bidi="ar"/>
        </w:rPr>
        <w:t>市</w:t>
      </w:r>
      <w:r>
        <w:rPr>
          <w:rFonts w:ascii="方正仿宋简体" w:hAnsi="方正仿宋简体" w:eastAsia="方正仿宋简体" w:cs="方正仿宋简体"/>
          <w:b/>
          <w:color w:val="000000"/>
          <w:spacing w:val="-6"/>
          <w:sz w:val="28"/>
          <w:szCs w:val="28"/>
          <w:lang w:bidi="ar"/>
        </w:rPr>
        <w:t>监委</w:t>
      </w:r>
      <w:r>
        <w:rPr>
          <w:rFonts w:hint="eastAsia" w:ascii="方正仿宋简体" w:hAnsi="方正仿宋简体" w:eastAsia="方正仿宋简体" w:cs="方正仿宋简体"/>
          <w:b/>
          <w:color w:val="000000"/>
          <w:spacing w:val="-6"/>
          <w:sz w:val="28"/>
          <w:szCs w:val="28"/>
          <w:lang w:bidi="ar"/>
        </w:rPr>
        <w:t>，</w:t>
      </w:r>
    </w:p>
    <w:p>
      <w:pPr>
        <w:spacing w:line="440" w:lineRule="exact"/>
        <w:ind w:firstLine="1134" w:firstLineChars="398"/>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pacing w:val="2"/>
          <w:sz w:val="28"/>
          <w:szCs w:val="28"/>
          <w:lang w:bidi="ar"/>
        </w:rPr>
        <w:t>市</w:t>
      </w:r>
      <w:r>
        <w:rPr>
          <w:rFonts w:hint="eastAsia" w:ascii="方正仿宋简体" w:hAnsi="文星仿宋" w:eastAsia="方正仿宋简体" w:cs="方正仿宋简体"/>
          <w:b/>
          <w:sz w:val="28"/>
          <w:szCs w:val="28"/>
          <w:lang w:bidi="ar"/>
        </w:rPr>
        <w:t>法院，市检察院，济宁军分区。</w:t>
      </w:r>
    </w:p>
    <w:p>
      <w:pPr>
        <w:spacing w:line="440" w:lineRule="exact"/>
        <w:ind w:firstLine="1152" w:firstLineChars="410"/>
        <w:rPr>
          <w:rFonts w:ascii="方正仿宋简体" w:hAnsi="文星仿宋" w:eastAsia="方正仿宋简体" w:cs="方正仿宋简体"/>
          <w:b/>
          <w:sz w:val="28"/>
          <w:szCs w:val="28"/>
          <w:lang w:bidi="ar"/>
        </w:rPr>
      </w:pPr>
      <w:r>
        <w:rPr>
          <w:rFonts w:hint="eastAsia" w:ascii="方正仿宋简体" w:hAnsi="文星仿宋" w:eastAsia="方正仿宋简体" w:cs="方正仿宋简体"/>
          <w:b/>
          <w:sz w:val="28"/>
          <w:szCs w:val="28"/>
          <w:lang w:bidi="ar"/>
        </w:rPr>
        <w:t>各民主党派市委会（总支部），市工商联。</w:t>
      </w:r>
    </w:p>
    <w:p>
      <w:pPr>
        <w:spacing w:line="740" w:lineRule="exact"/>
        <w:ind w:firstLine="314" w:firstLineChars="98"/>
        <w:rPr>
          <w:rFonts w:ascii="方正仿宋简体" w:hAnsi="文星仿宋" w:eastAsia="方正仿宋简体" w:cs="方正仿宋简体"/>
          <w:b/>
          <w:sz w:val="28"/>
          <w:szCs w:val="28"/>
        </w:rPr>
      </w:pPr>
      <w:r>
        <w:rPr>
          <w:rFonts w:ascii="方正仿宋简体" w:hAnsi="文星仿宋" w:eastAsia="方正仿宋简体" w:cs="方正仿宋简体"/>
          <w:b/>
          <w:color w:val="FF0000"/>
          <w:sz w:val="32"/>
          <w:szCs w:val="32"/>
        </w:rPr>
        <mc:AlternateContent>
          <mc:Choice Requires="wps">
            <w:drawing>
              <wp:anchor distT="0" distB="0" distL="114300" distR="114300" simplePos="0" relativeHeight="251666432" behindDoc="0" locked="0" layoutInCell="1" allowOverlap="1">
                <wp:simplePos x="0" y="0"/>
                <wp:positionH relativeFrom="column">
                  <wp:posOffset>0</wp:posOffset>
                </wp:positionH>
                <wp:positionV relativeFrom="paragraph">
                  <wp:posOffset>572770</wp:posOffset>
                </wp:positionV>
                <wp:extent cx="2374265" cy="1403985"/>
                <wp:effectExtent l="0" t="0" r="25400" b="15240"/>
                <wp:wrapNone/>
                <wp:docPr id="30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2374265" cy="1403985"/>
                        </a:xfrm>
                        <a:prstGeom prst="rect">
                          <a:avLst/>
                        </a:prstGeom>
                        <a:solidFill>
                          <a:srgbClr val="FFFFFF"/>
                        </a:solidFill>
                        <a:ln w="9525">
                          <a:solidFill>
                            <a:schemeClr val="bg1"/>
                          </a:solidFill>
                          <a:miter lim="800000"/>
                        </a:ln>
                      </wps:spPr>
                      <wps:txbx>
                        <w:txbxContent>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 id="文本框 2" o:spid="_x0000_s1026" o:spt="202" type="#_x0000_t202" style="position:absolute;left:0pt;margin-left:0pt;margin-top:45.1pt;height:110.55pt;width:186.95pt;z-index:251666432;mso-width-relative:margin;mso-height-relative:margin;mso-width-percent:400;mso-height-percent:200;" fillcolor="#FFFFFF" filled="t" stroked="t" coordsize="21600,21600" o:gfxdata="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">
                <v:fill on="t" focussize="0,0"/>
                <v:stroke color="#FFFFFF [3212]" miterlimit="8" joinstyle="miter"/>
                <v:imagedata o:title=""/>
                <o:lock v:ext="edit" aspectratio="f"/>
                <v:textbox style="mso-fit-shape-to-text:t;">
                  <w:txbxContent>
                    <w:p/>
                  </w:txbxContent>
                </v:textbox>
              </v:shape>
            </w:pict>
          </mc:Fallback>
        </mc:AlternateContent>
      </w: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518160</wp:posOffset>
                </wp:positionV>
                <wp:extent cx="5544185" cy="0"/>
                <wp:effectExtent l="0" t="0" r="19050" b="19050"/>
                <wp:wrapNone/>
                <wp:docPr id="4" name="Line 9"/>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9" o:spid="_x0000_s1026" o:spt="20" style="position:absolute;left:0pt;margin-left:0pt;margin-top:40.8pt;height:0pt;width:436.55pt;z-index:251662336;mso-width-relative:page;mso-height-relative:page;" filled="f" stroked="t" coordsize="21600,21600" o:gfxdata="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">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104775</wp:posOffset>
                </wp:positionV>
                <wp:extent cx="5544185" cy="0"/>
                <wp:effectExtent l="0" t="0" r="19050" b="19050"/>
                <wp:wrapNone/>
                <wp:docPr id="1" name="Line 8"/>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8" o:spid="_x0000_s1026" o:spt="20" style="position:absolute;left:0pt;margin-left:0pt;margin-top:8.25pt;height:0pt;width:436.55pt;z-index:251661312;mso-width-relative:page;mso-height-relative:page;" filled="f" stroked="t" coordsize="21600,21600" o:gfxdata="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">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济宁市人民政府办公室                  2026年5月14日印发</w:t>
      </w:r>
    </w:p>
    <w:sectPr>
      <w:footerReference r:id="rId3" w:type="default"/>
      <w:footerReference r:id="rId4" w:type="even"/>
      <w:pgSz w:w="11906" w:h="16838"/>
      <w:pgMar w:top="1814" w:right="1418" w:bottom="1191" w:left="1588" w:header="0" w:footer="1418" w:gutter="0"/>
      <w:pgNumType w:fmt="numberInDash"/>
      <w:cols w:space="425" w:num="1"/>
      <w:docGrid w:type="lines" w:linePitch="62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方正仿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文星标宋">
    <w:altName w:val="方正书宋_GBK"/>
    <w:panose1 w:val="00000000000000000000"/>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文星仿宋">
    <w:altName w:val="仿宋"/>
    <w:panose1 w:val="00000000000000000000"/>
    <w:charset w:val="86"/>
    <w:family w:val="modern"/>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方正黑体简体">
    <w:panose1 w:val="03000509000000000000"/>
    <w:charset w:val="86"/>
    <w:family w:val="script"/>
    <w:pitch w:val="default"/>
    <w:sig w:usb0="00000001" w:usb1="080E0000" w:usb2="00000000" w:usb3="00000000" w:csb0="00040000" w:csb1="00000000"/>
  </w:font>
  <w:font w:name="方正楷体简体">
    <w:panose1 w:val="03000509000000000000"/>
    <w:charset w:val="86"/>
    <w:family w:val="script"/>
    <w:pitch w:val="default"/>
    <w:sig w:usb0="00000001" w:usb1="080E0000" w:usb2="00000000" w:usb3="00000000" w:csb0="00040000" w:csb1="00000000"/>
  </w:font>
  <w:font w:name="MS Mincho">
    <w:altName w:val="Droid Sans Japanese"/>
    <w:panose1 w:val="02020609040205080304"/>
    <w:charset w:val="80"/>
    <w:family w:val="modern"/>
    <w:pitch w:val="default"/>
    <w:sig w:usb0="00000000" w:usb1="00000000" w:usb2="00000012" w:usb3="00000000" w:csb0="4002009F" w:csb1="DFD70000"/>
  </w:font>
  <w:font w:name="Droid Sans Japanese">
    <w:panose1 w:val="020B0502000000000001"/>
    <w:charset w:val="00"/>
    <w:family w:val="auto"/>
    <w:pitch w:val="default"/>
    <w:sig w:usb0="80000000" w:usb1="08070000" w:usb2="00000010" w:usb3="00000000" w:csb0="00000001" w:csb1="00000000"/>
  </w:font>
  <w:font w:name="文星黑体">
    <w:altName w:val="黑体"/>
    <w:panose1 w:val="00000000000000000000"/>
    <w:charset w:val="86"/>
    <w:family w:val="auto"/>
    <w:pitch w:val="default"/>
    <w:sig w:usb0="00000000" w:usb1="00000000" w:usb2="00000000" w:usb3="00000000" w:csb0="00040000" w:csb1="00000000"/>
  </w:font>
  <w:font w:name="Liberation Serif">
    <w:panose1 w:val="02020603050405020304"/>
    <w:charset w:val="00"/>
    <w:family w:val="auto"/>
    <w:pitch w:val="default"/>
    <w:sig w:usb0="A00002AF" w:usb1="500078FB" w:usb2="00000000" w:usb3="00000000" w:csb0="6000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90710568"/>
    </w:sdtPr>
    <w:sdtEndPr>
      <w:rPr>
        <w:rFonts w:asciiTheme="minorEastAsia" w:hAnsiTheme="minorEastAsia"/>
        <w:b/>
        <w:sz w:val="28"/>
        <w:szCs w:val="28"/>
      </w:rPr>
    </w:sdtEndPr>
    <w:sdtContent>
      <w:p>
        <w:pPr>
          <w:pStyle w:val="4"/>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119 -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sdtPr>
    <w:sdtEndPr>
      <w:rPr>
        <w:rFonts w:asciiTheme="minorEastAsia" w:hAnsiTheme="minorEastAsia"/>
        <w:b/>
        <w:sz w:val="28"/>
        <w:szCs w:val="28"/>
      </w:rPr>
    </w:sdtEndPr>
    <w:sdtContent>
      <w:p>
        <w:pPr>
          <w:pStyle w:val="4"/>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120 -</w:t>
        </w:r>
        <w:r>
          <w:rPr>
            <w:rFonts w:asciiTheme="minorEastAsia" w:hAnsiTheme="minorEastAsia"/>
            <w:b/>
            <w:sz w:val="28"/>
            <w:szCs w:val="28"/>
          </w:rPr>
          <w:fldChar w:fldCharType="end"/>
        </w:r>
      </w:p>
    </w:sdtContent>
  </w:sdt>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D680E47"/>
    <w:multiLevelType w:val="singleLevel"/>
    <w:tmpl w:val="CD680E47"/>
    <w:lvl w:ilvl="0" w:tentative="0">
      <w:start w:val="5"/>
      <w:numFmt w:val="decimal"/>
      <w:suff w:val="space"/>
      <w:lvlText w:val="%1."/>
      <w:lvlJc w:val="left"/>
    </w:lvl>
  </w:abstractNum>
  <w:abstractNum w:abstractNumId="1">
    <w:nsid w:val="D809ACAA"/>
    <w:multiLevelType w:val="singleLevel"/>
    <w:tmpl w:val="D809ACAA"/>
    <w:lvl w:ilvl="0" w:tentative="0">
      <w:start w:val="4"/>
      <w:numFmt w:val="decimal"/>
      <w:suff w:val="space"/>
      <w:lvlText w:val="%1."/>
      <w:lvlJc w:val="left"/>
    </w:lvl>
  </w:abstractNum>
  <w:abstractNum w:abstractNumId="2">
    <w:nsid w:val="5A75196B"/>
    <w:multiLevelType w:val="singleLevel"/>
    <w:tmpl w:val="5A75196B"/>
    <w:lvl w:ilvl="0" w:tentative="0">
      <w:start w:val="1"/>
      <w:numFmt w:val="decimal"/>
      <w:suff w:val="space"/>
      <w:lvlText w:val="%1."/>
      <w:lvlJc w:val="left"/>
    </w:lvl>
  </w:abstractNum>
  <w:abstractNum w:abstractNumId="3">
    <w:nsid w:val="6E0E244C"/>
    <w:multiLevelType w:val="singleLevel"/>
    <w:tmpl w:val="6E0E244C"/>
    <w:lvl w:ilvl="0" w:tentative="0">
      <w:start w:val="9"/>
      <w:numFmt w:val="decimal"/>
      <w:suff w:val="space"/>
      <w:lvlText w:val="%1."/>
      <w:lvlJc w:val="left"/>
    </w:lvl>
  </w:abstractNum>
  <w:num w:numId="1">
    <w:abstractNumId w:val="2"/>
  </w:num>
  <w:num w:numId="2">
    <w:abstractNumId w:val="1"/>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revisionView w:markup="0"/>
  <w:documentProtection w:enforcement="0"/>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85FDE"/>
    <w:rsid w:val="00046A16"/>
    <w:rsid w:val="000C76A3"/>
    <w:rsid w:val="00100D64"/>
    <w:rsid w:val="001E733E"/>
    <w:rsid w:val="002B63B9"/>
    <w:rsid w:val="002C2DD0"/>
    <w:rsid w:val="0034377A"/>
    <w:rsid w:val="003650D8"/>
    <w:rsid w:val="003C3C0B"/>
    <w:rsid w:val="003F5732"/>
    <w:rsid w:val="00407532"/>
    <w:rsid w:val="00427E6A"/>
    <w:rsid w:val="00433D6F"/>
    <w:rsid w:val="00477AA5"/>
    <w:rsid w:val="004A3098"/>
    <w:rsid w:val="004D201F"/>
    <w:rsid w:val="004E5E23"/>
    <w:rsid w:val="005648C1"/>
    <w:rsid w:val="005B647F"/>
    <w:rsid w:val="005D73D0"/>
    <w:rsid w:val="006114E3"/>
    <w:rsid w:val="006A4E81"/>
    <w:rsid w:val="00711F93"/>
    <w:rsid w:val="00735AE7"/>
    <w:rsid w:val="007738EC"/>
    <w:rsid w:val="00774CDD"/>
    <w:rsid w:val="007D1AF0"/>
    <w:rsid w:val="0085342D"/>
    <w:rsid w:val="008B29AB"/>
    <w:rsid w:val="009630DF"/>
    <w:rsid w:val="009D2AC3"/>
    <w:rsid w:val="00A13BCC"/>
    <w:rsid w:val="00A16746"/>
    <w:rsid w:val="00A813F9"/>
    <w:rsid w:val="00B63FAA"/>
    <w:rsid w:val="00B664C8"/>
    <w:rsid w:val="00B73BF5"/>
    <w:rsid w:val="00B87D81"/>
    <w:rsid w:val="00BA30A0"/>
    <w:rsid w:val="00BD533F"/>
    <w:rsid w:val="00C724C3"/>
    <w:rsid w:val="00CB3418"/>
    <w:rsid w:val="00D15811"/>
    <w:rsid w:val="00D4327D"/>
    <w:rsid w:val="00D85FDE"/>
    <w:rsid w:val="00E06F7C"/>
    <w:rsid w:val="00E64922"/>
    <w:rsid w:val="00E703C6"/>
    <w:rsid w:val="00EB221F"/>
    <w:rsid w:val="00F179FD"/>
    <w:rsid w:val="00F80DB7"/>
    <w:rsid w:val="023D1354"/>
    <w:rsid w:val="04181D1D"/>
    <w:rsid w:val="053A47B4"/>
    <w:rsid w:val="06977224"/>
    <w:rsid w:val="06DF9FB2"/>
    <w:rsid w:val="07664A42"/>
    <w:rsid w:val="078F2096"/>
    <w:rsid w:val="092D2AA1"/>
    <w:rsid w:val="0A7902A1"/>
    <w:rsid w:val="0CE91869"/>
    <w:rsid w:val="0F1E76EA"/>
    <w:rsid w:val="0FF94348"/>
    <w:rsid w:val="11FA0864"/>
    <w:rsid w:val="14AA313D"/>
    <w:rsid w:val="15182B7D"/>
    <w:rsid w:val="15C21C9A"/>
    <w:rsid w:val="17503094"/>
    <w:rsid w:val="1AC66268"/>
    <w:rsid w:val="1B0B6DBD"/>
    <w:rsid w:val="1B693D75"/>
    <w:rsid w:val="1BCB665E"/>
    <w:rsid w:val="1C057BEC"/>
    <w:rsid w:val="1D014709"/>
    <w:rsid w:val="1D4667C5"/>
    <w:rsid w:val="1D7E7017"/>
    <w:rsid w:val="212F5987"/>
    <w:rsid w:val="221B397C"/>
    <w:rsid w:val="230D1973"/>
    <w:rsid w:val="251A457C"/>
    <w:rsid w:val="25237084"/>
    <w:rsid w:val="256F3FEF"/>
    <w:rsid w:val="273C7801"/>
    <w:rsid w:val="27776C73"/>
    <w:rsid w:val="27A56E21"/>
    <w:rsid w:val="2A7965C8"/>
    <w:rsid w:val="2ABF0104"/>
    <w:rsid w:val="2CAF6EA3"/>
    <w:rsid w:val="2D3257FB"/>
    <w:rsid w:val="2D542487"/>
    <w:rsid w:val="2DED6D69"/>
    <w:rsid w:val="2E2015C6"/>
    <w:rsid w:val="3044466D"/>
    <w:rsid w:val="304B06E0"/>
    <w:rsid w:val="31F72FE4"/>
    <w:rsid w:val="32582B6C"/>
    <w:rsid w:val="32F417C1"/>
    <w:rsid w:val="33406AA3"/>
    <w:rsid w:val="336462BC"/>
    <w:rsid w:val="33F87529"/>
    <w:rsid w:val="34DE6C59"/>
    <w:rsid w:val="357560B7"/>
    <w:rsid w:val="399E2F28"/>
    <w:rsid w:val="3A5140C5"/>
    <w:rsid w:val="3AAD05B7"/>
    <w:rsid w:val="3DA511F0"/>
    <w:rsid w:val="3DCD2E66"/>
    <w:rsid w:val="3E87312F"/>
    <w:rsid w:val="3FBF0E45"/>
    <w:rsid w:val="400E3B72"/>
    <w:rsid w:val="401B7498"/>
    <w:rsid w:val="40B8540B"/>
    <w:rsid w:val="413B1D55"/>
    <w:rsid w:val="41717062"/>
    <w:rsid w:val="41AC484B"/>
    <w:rsid w:val="423068BD"/>
    <w:rsid w:val="446514BE"/>
    <w:rsid w:val="477F1AE1"/>
    <w:rsid w:val="494F3042"/>
    <w:rsid w:val="4A4D225E"/>
    <w:rsid w:val="4B802022"/>
    <w:rsid w:val="4EFC4B1F"/>
    <w:rsid w:val="4FD536EC"/>
    <w:rsid w:val="519D25A2"/>
    <w:rsid w:val="52290531"/>
    <w:rsid w:val="524337D1"/>
    <w:rsid w:val="53187E3D"/>
    <w:rsid w:val="53454D53"/>
    <w:rsid w:val="537D01AD"/>
    <w:rsid w:val="54D64779"/>
    <w:rsid w:val="5534529D"/>
    <w:rsid w:val="554021A9"/>
    <w:rsid w:val="56940EA6"/>
    <w:rsid w:val="57CF6BE7"/>
    <w:rsid w:val="58DF44D7"/>
    <w:rsid w:val="58FBA142"/>
    <w:rsid w:val="5CC370B9"/>
    <w:rsid w:val="5D36474E"/>
    <w:rsid w:val="5E663C82"/>
    <w:rsid w:val="5E8E5AC2"/>
    <w:rsid w:val="5F630DC4"/>
    <w:rsid w:val="5FFF5131"/>
    <w:rsid w:val="60ED2DAB"/>
    <w:rsid w:val="61E05567"/>
    <w:rsid w:val="62093251"/>
    <w:rsid w:val="62194F8A"/>
    <w:rsid w:val="62666DCD"/>
    <w:rsid w:val="62884A7A"/>
    <w:rsid w:val="62BB0E7F"/>
    <w:rsid w:val="64233978"/>
    <w:rsid w:val="652244AB"/>
    <w:rsid w:val="68724D31"/>
    <w:rsid w:val="693B7D5A"/>
    <w:rsid w:val="6A6F178B"/>
    <w:rsid w:val="6A731B83"/>
    <w:rsid w:val="6A893D4A"/>
    <w:rsid w:val="6BC81860"/>
    <w:rsid w:val="6C287B28"/>
    <w:rsid w:val="6C30655A"/>
    <w:rsid w:val="6DA74E75"/>
    <w:rsid w:val="6EDA7F14"/>
    <w:rsid w:val="6FE71B91"/>
    <w:rsid w:val="70607BCA"/>
    <w:rsid w:val="70E64943"/>
    <w:rsid w:val="71072FE7"/>
    <w:rsid w:val="71531B15"/>
    <w:rsid w:val="724F0A0A"/>
    <w:rsid w:val="735E6D3C"/>
    <w:rsid w:val="73CA71A7"/>
    <w:rsid w:val="74476BB8"/>
    <w:rsid w:val="75AE72C9"/>
    <w:rsid w:val="75CA6405"/>
    <w:rsid w:val="77E7CE80"/>
    <w:rsid w:val="780329CE"/>
    <w:rsid w:val="780A63F2"/>
    <w:rsid w:val="78F20036"/>
    <w:rsid w:val="78FA0100"/>
    <w:rsid w:val="799E32CF"/>
    <w:rsid w:val="7B080259"/>
    <w:rsid w:val="7B644BE0"/>
    <w:rsid w:val="7B86753A"/>
    <w:rsid w:val="7BEEE389"/>
    <w:rsid w:val="7C37EB90"/>
    <w:rsid w:val="7C96384E"/>
    <w:rsid w:val="7DD432CA"/>
    <w:rsid w:val="87FE5677"/>
    <w:rsid w:val="8FE95062"/>
    <w:rsid w:val="AFEBD0E5"/>
    <w:rsid w:val="B7FDCCE2"/>
    <w:rsid w:val="BBFF24A2"/>
    <w:rsid w:val="BFC7DDC8"/>
    <w:rsid w:val="CDE7636D"/>
    <w:rsid w:val="D2CE7C73"/>
    <w:rsid w:val="EFCFE2F1"/>
    <w:rsid w:val="FB7F4FA8"/>
    <w:rsid w:val="FCD5F09C"/>
    <w:rsid w:val="FCFFC0C8"/>
    <w:rsid w:val="FDF5CD75"/>
    <w:rsid w:val="FFFF5EF8"/>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18"/>
    <w:unhideWhenUsed/>
    <w:qFormat/>
    <w:uiPriority w:val="99"/>
    <w:pPr>
      <w:spacing w:after="120" w:line="600" w:lineRule="exact"/>
      <w:ind w:firstLine="640" w:firstLineChars="200"/>
    </w:pPr>
    <w:rPr>
      <w:rFonts w:eastAsia="方正仿宋简体" w:cstheme="minorBidi"/>
      <w:b/>
      <w:kern w:val="2"/>
      <w:sz w:val="32"/>
      <w:szCs w:val="24"/>
    </w:rPr>
  </w:style>
  <w:style w:type="paragraph" w:styleId="3">
    <w:name w:val="Balloon Text"/>
    <w:basedOn w:val="1"/>
    <w:link w:val="14"/>
    <w:qFormat/>
    <w:uiPriority w:val="0"/>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0"/>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toc 1"/>
    <w:basedOn w:val="1"/>
    <w:next w:val="1"/>
    <w:unhideWhenUsed/>
    <w:qFormat/>
    <w:uiPriority w:val="39"/>
    <w:pPr>
      <w:tabs>
        <w:tab w:val="right" w:leader="dot" w:pos="8296"/>
      </w:tabs>
      <w:spacing w:line="600" w:lineRule="exact"/>
      <w:ind w:firstLine="640" w:firstLineChars="200"/>
    </w:pPr>
    <w:rPr>
      <w:rFonts w:eastAsia="黑体" w:cstheme="minorBidi"/>
      <w:b/>
      <w:bCs/>
      <w:kern w:val="2"/>
      <w:sz w:val="32"/>
      <w:szCs w:val="28"/>
    </w:rPr>
  </w:style>
  <w:style w:type="table" w:styleId="8">
    <w:name w:val="Table Grid"/>
    <w:basedOn w:val="7"/>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0">
    <w:name w:val="页眉 Char1"/>
    <w:basedOn w:val="9"/>
    <w:link w:val="5"/>
    <w:qFormat/>
    <w:uiPriority w:val="0"/>
    <w:rPr>
      <w:rFonts w:hint="eastAsia" w:ascii="方正仿宋简体" w:hAnsi="方正仿宋简体" w:eastAsia="方正仿宋简体" w:cs="方正仿宋简体"/>
      <w:kern w:val="2"/>
      <w:sz w:val="18"/>
      <w:szCs w:val="18"/>
    </w:rPr>
  </w:style>
  <w:style w:type="character" w:customStyle="1" w:styleId="11">
    <w:name w:val="页脚 Char1"/>
    <w:basedOn w:val="9"/>
    <w:link w:val="4"/>
    <w:qFormat/>
    <w:uiPriority w:val="99"/>
    <w:rPr>
      <w:rFonts w:hint="eastAsia" w:ascii="方正仿宋简体" w:hAnsi="方正仿宋简体" w:eastAsia="方正仿宋简体" w:cs="方正仿宋简体"/>
      <w:kern w:val="2"/>
      <w:sz w:val="18"/>
      <w:szCs w:val="18"/>
    </w:rPr>
  </w:style>
  <w:style w:type="character" w:customStyle="1" w:styleId="12">
    <w:name w:val="页眉 Char"/>
    <w:basedOn w:val="9"/>
    <w:qFormat/>
    <w:uiPriority w:val="99"/>
    <w:rPr>
      <w:sz w:val="18"/>
      <w:szCs w:val="18"/>
    </w:rPr>
  </w:style>
  <w:style w:type="character" w:customStyle="1" w:styleId="13">
    <w:name w:val="页脚 Char"/>
    <w:basedOn w:val="9"/>
    <w:qFormat/>
    <w:uiPriority w:val="99"/>
    <w:rPr>
      <w:sz w:val="18"/>
      <w:szCs w:val="18"/>
    </w:rPr>
  </w:style>
  <w:style w:type="character" w:customStyle="1" w:styleId="14">
    <w:name w:val="批注框文本 Char"/>
    <w:basedOn w:val="9"/>
    <w:link w:val="3"/>
    <w:qFormat/>
    <w:uiPriority w:val="0"/>
    <w:rPr>
      <w:sz w:val="18"/>
      <w:szCs w:val="18"/>
    </w:rPr>
  </w:style>
  <w:style w:type="paragraph" w:styleId="15">
    <w:name w:val="List Paragraph"/>
    <w:basedOn w:val="1"/>
    <w:unhideWhenUsed/>
    <w:qFormat/>
    <w:uiPriority w:val="99"/>
    <w:pPr>
      <w:ind w:firstLine="420" w:firstLineChars="200"/>
    </w:pPr>
  </w:style>
  <w:style w:type="paragraph" w:customStyle="1" w:styleId="16">
    <w:name w:val="专栏内容"/>
    <w:basedOn w:val="1"/>
    <w:qFormat/>
    <w:uiPriority w:val="0"/>
    <w:pPr>
      <w:spacing w:line="400" w:lineRule="exact"/>
      <w:ind w:firstLine="482" w:firstLineChars="200"/>
    </w:pPr>
    <w:rPr>
      <w:rFonts w:eastAsia="楷体" w:cstheme="minorBidi"/>
      <w:b/>
      <w:sz w:val="24"/>
      <w:szCs w:val="24"/>
    </w:rPr>
  </w:style>
  <w:style w:type="paragraph" w:customStyle="1" w:styleId="17">
    <w:name w:val="专栏表头"/>
    <w:basedOn w:val="1"/>
    <w:qFormat/>
    <w:uiPriority w:val="0"/>
    <w:pPr>
      <w:jc w:val="center"/>
    </w:pPr>
    <w:rPr>
      <w:rFonts w:eastAsia="楷体" w:cstheme="minorBidi"/>
      <w:b/>
      <w:bCs/>
      <w:kern w:val="2"/>
      <w:sz w:val="32"/>
      <w:szCs w:val="24"/>
    </w:rPr>
  </w:style>
  <w:style w:type="character" w:customStyle="1" w:styleId="18">
    <w:name w:val="正文文本 Char"/>
    <w:basedOn w:val="9"/>
    <w:link w:val="2"/>
    <w:qFormat/>
    <w:uiPriority w:val="99"/>
    <w:rPr>
      <w:rFonts w:eastAsia="方正仿宋简体" w:cstheme="minorBidi"/>
      <w:b/>
      <w:kern w:val="2"/>
      <w:sz w:val="32"/>
      <w:szCs w:val="24"/>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3.jpeg"/><Relationship Id="rId7" Type="http://schemas.openxmlformats.org/officeDocument/2006/relationships/image" Target="media/image2.jpeg"/><Relationship Id="rId6" Type="http://schemas.openxmlformats.org/officeDocument/2006/relationships/image" Target="media/image1.jpeg"/><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120</Pages>
  <Words>10241</Words>
  <Characters>58378</Characters>
  <Lines>486</Lines>
  <Paragraphs>136</Paragraphs>
  <TotalTime>71</TotalTime>
  <ScaleCrop>false</ScaleCrop>
  <LinksUpToDate>false</LinksUpToDate>
  <CharactersWithSpaces>68483</CharactersWithSpaces>
  <Application>WPS Office_11.8.2.1130_F1E327BC-269C-435d-A152-05C5408002CA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2026-05-10T11:48:00Z</dcterms:created>
  <dc:creator>nizy</dc:creator>
  <cp:lastModifiedBy>user</cp:lastModifiedBy>
  <cp:lastPrinted>2026-05-28T23:13:00Z</cp:lastPrinted>
  <dcterms:modified xsi:type="dcterms:W3CDTF">2026-06-08T18:00:42Z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2052-11.8.2.1130</vt:lpwstr>
  </property>
  <property fmtid="{D5CDD505-2E9C-101B-9397-08002B2CF9AE}" pid="3" name="ICV">
    <vt:lpwstr>29D973D513FDD7F6CB48226A31703763_43</vt:lpwstr>
  </property>
  <property fmtid="{D5CDD505-2E9C-101B-9397-08002B2CF9AE}" pid="4" name="KSOTemplateDocerSaveRecord">
    <vt:lpwstr>eyJoZGlkIjoiZGQwM2IyYWUyNTA1ODJlNDMyNTBlNWVmNjU1NjQ1MGUiLCJ1c2VySWQiOiIyNjM0MTAxNDYifQ==</vt:lpwstr>
  </property>
</Properties>
</file>