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济宁市公路事业发展中心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2023年政府信息公开工作年度报告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本报告由济宁市公路事业发展中心按照《中华人民共和国政府信息公开条例》（以下简称《条例》）和《中华人民共和国政府信息公开工作年度报告格式》（国办公开办函〔2021〕30号）要求编制。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本报告所列数据的统计期限自202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年1月1日起至202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年12月31日止。本报告电子版可在“中国·济宁”政府门户网站（www.jining.gov.cn）查阅或下载。如对本报告有疑问，请与济宁市公路事业发展中心联系（地址：济宁市任城区吴泰闸路23号1103房间，联系电话：0537-2936994）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总体情况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2023年以来，我中心深入学习贯彻党的二十大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精神，深刻领悟“两个确立”的决定性意义，增强“四个意识”、坚定“四个自信”、高度做到“两个维护”，全面贯彻党的方针政策，将信息公开工作始终作为推进全市公路领域高质量发展的重要抓手，建立健全信息公开机制，全面提升公路工作水平，实现信息公开与我中心发展深度融合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eastAsia" w:ascii="楷体" w:hAnsi="楷体" w:eastAsia="楷体" w:cs="楷体"/>
          <w:color w:val="333333"/>
          <w:sz w:val="32"/>
          <w:szCs w:val="32"/>
        </w:rPr>
      </w:pPr>
      <w:r>
        <w:rPr>
          <w:rFonts w:hint="eastAsia" w:ascii="楷体" w:hAnsi="楷体" w:eastAsia="楷体" w:cs="楷体"/>
          <w:color w:val="333333"/>
          <w:sz w:val="32"/>
          <w:szCs w:val="32"/>
        </w:rPr>
        <w:t>主动公开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20" w:firstLineChars="20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</w:pP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主动</w:t>
      </w:r>
      <w:r>
        <w:rPr>
          <w:rFonts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t>发布我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中心</w:t>
      </w:r>
      <w:r>
        <w:rPr>
          <w:rFonts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t>工作动态、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主任办公会议、重点工作计划、部门</w:t>
      </w:r>
      <w:r>
        <w:rPr>
          <w:rFonts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t>公文、财政财务等多方面工作信息，积极回应群众关切，解读热点信息，保障公众知情权和监督权。按照“公开是常态，不公开是例外”的要求，除涉及国家秘密和个人隐私的事项外，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年度主动公开政府信息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257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条。其中，政务动态信息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47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条，财务信息（三公经费）6条，12345政务服务热线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98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条，网络问政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条，通过新媒体微信“济宁公路”公众号公开政务信息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71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drawing>
          <wp:inline distT="0" distB="0" distL="114300" distR="114300">
            <wp:extent cx="5095875" cy="3819525"/>
            <wp:effectExtent l="0" t="0" r="9525" b="952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left"/>
        <w:rPr>
          <w:rFonts w:hint="eastAsia" w:ascii="楷体" w:hAnsi="楷体" w:eastAsia="楷体" w:cs="楷体"/>
          <w:color w:val="333333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333333"/>
          <w:sz w:val="32"/>
          <w:szCs w:val="32"/>
          <w:lang w:eastAsia="zh-CN"/>
        </w:rPr>
        <w:drawing>
          <wp:inline distT="0" distB="0" distL="114300" distR="114300">
            <wp:extent cx="5095875" cy="3819525"/>
            <wp:effectExtent l="0" t="0" r="9525" b="9525"/>
            <wp:docPr id="3" name="图片 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eastAsia" w:ascii="楷体" w:hAnsi="楷体" w:eastAsia="楷体" w:cs="楷体"/>
          <w:color w:val="333333"/>
          <w:sz w:val="32"/>
          <w:szCs w:val="32"/>
        </w:rPr>
      </w:pPr>
      <w:r>
        <w:rPr>
          <w:rFonts w:hint="eastAsia" w:ascii="楷体" w:hAnsi="楷体" w:eastAsia="楷体" w:cs="楷体"/>
          <w:color w:val="333333"/>
          <w:sz w:val="32"/>
          <w:szCs w:val="32"/>
        </w:rPr>
        <w:t>（二）依申请公开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根据《条例》有关规定，督导中心所属各单位不断规范依申请公开办理工作流程，准确把握信息公开申请办理时限。202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年，受理依申请公开0件，收到以政府信息公开为由提起行政复议、行政诉讼的0件。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eastAsia" w:ascii="楷体" w:hAnsi="楷体" w:eastAsia="楷体" w:cs="楷体"/>
          <w:color w:val="333333"/>
          <w:sz w:val="32"/>
          <w:szCs w:val="32"/>
        </w:rPr>
      </w:pPr>
      <w:r>
        <w:rPr>
          <w:rFonts w:hint="eastAsia" w:ascii="楷体" w:hAnsi="楷体" w:eastAsia="楷体" w:cs="楷体"/>
          <w:color w:val="333333"/>
          <w:sz w:val="32"/>
          <w:szCs w:val="32"/>
        </w:rPr>
        <w:t>政府信息管理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center"/>
        <w:rPr>
          <w:rFonts w:hint="default" w:ascii="Calibri" w:hAnsi="Calibri" w:cs="Calibri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t>修订《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济宁市公路事业发展中心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t>信息公开工作指南》，调整完善《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济宁市公路事业发展中心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t>主动公开基本目录》，明确主动公开内容、主体和时限。严格网站和新媒体内容发布审核机制，严把政治关、法律关、保密关。202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3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t>年无违反规定和失泄密情况。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rPr>
          <w:rFonts w:hint="eastAsia" w:ascii="楷体" w:hAnsi="楷体" w:eastAsia="楷体" w:cs="楷体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rPr>
          <w:rFonts w:hint="eastAsia" w:ascii="楷体" w:hAnsi="楷体" w:eastAsia="楷体" w:cs="楷体"/>
          <w:color w:val="333333"/>
          <w:sz w:val="32"/>
          <w:szCs w:val="32"/>
        </w:rPr>
      </w:pPr>
      <w:r>
        <w:rPr>
          <w:rFonts w:hint="eastAsia" w:ascii="楷体" w:hAnsi="楷体" w:eastAsia="楷体" w:cs="楷体"/>
          <w:color w:val="333333"/>
          <w:sz w:val="32"/>
          <w:szCs w:val="32"/>
        </w:rPr>
        <w:t>（四）政府信息公开平台建设情况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center"/>
        <w:rPr>
          <w:rFonts w:hint="default" w:ascii="Calibri" w:hAnsi="Calibri" w:cs="Calibri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t>定期开展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中心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t>政务网站系统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后台密码更新，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t>全面提高安全防护水平。加强新媒体与网站协同联动、融合发展。202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3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t>年我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中心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t>政务网站和政务新媒体运行安全平稳。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eastAsia" w:ascii="楷体" w:hAnsi="楷体" w:eastAsia="楷体" w:cs="楷体"/>
          <w:color w:val="333333"/>
          <w:sz w:val="32"/>
          <w:szCs w:val="32"/>
        </w:rPr>
      </w:pPr>
      <w:r>
        <w:rPr>
          <w:rFonts w:hint="eastAsia" w:ascii="楷体" w:hAnsi="楷体" w:eastAsia="楷体" w:cs="楷体"/>
          <w:color w:val="333333"/>
          <w:sz w:val="32"/>
          <w:szCs w:val="32"/>
        </w:rPr>
        <w:t>（五）监督保障情况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center"/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强化组织领导，及时调整政务公开领导小组；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制定《202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年度济宁市公路事业发展中心政务公开工作业务培训计划》，共举办培训班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期，组织公路系统负责政务公开工作人员共6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人开展了专题培训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t>持续提升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政务公开工作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sz w:val="31"/>
          <w:szCs w:val="31"/>
          <w:shd w:val="clear" w:fill="FFFFFF"/>
        </w:rPr>
        <w:t>能力和水平。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center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二、主动公开政府信息情况</w:t>
      </w:r>
    </w:p>
    <w:tbl>
      <w:tblPr>
        <w:tblStyle w:val="6"/>
        <w:tblW w:w="8775" w:type="dxa"/>
        <w:tblCellSpacing w:w="0" w:type="dxa"/>
        <w:tblInd w:w="2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0"/>
        <w:gridCol w:w="2130"/>
        <w:gridCol w:w="2220"/>
        <w:gridCol w:w="199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87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信息内容</w:t>
            </w:r>
          </w:p>
        </w:tc>
        <w:tc>
          <w:tcPr>
            <w:tcW w:w="21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本年制发件数</w:t>
            </w:r>
          </w:p>
        </w:tc>
        <w:tc>
          <w:tcPr>
            <w:tcW w:w="22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本年废止件数</w:t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规章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行政规范性文件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行政许可</w:t>
            </w:r>
          </w:p>
        </w:tc>
        <w:tc>
          <w:tcPr>
            <w:tcW w:w="63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行政处罚</w:t>
            </w:r>
          </w:p>
        </w:tc>
        <w:tc>
          <w:tcPr>
            <w:tcW w:w="63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行政强制</w:t>
            </w:r>
          </w:p>
        </w:tc>
        <w:tc>
          <w:tcPr>
            <w:tcW w:w="63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行政事业性收费</w:t>
            </w:r>
          </w:p>
        </w:tc>
        <w:tc>
          <w:tcPr>
            <w:tcW w:w="63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rFonts w:hint="eastAsia" w:eastAsiaTheme="minorEastAsia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wordWrap w:val="0"/>
        <w:spacing w:before="300" w:beforeAutospacing="0" w:line="450" w:lineRule="atLeast"/>
        <w:ind w:left="255" w:firstLine="420"/>
        <w:jc w:val="left"/>
        <w:rPr>
          <w:color w:val="333333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wordWrap w:val="0"/>
        <w:spacing w:before="300" w:beforeAutospacing="0" w:line="450" w:lineRule="atLeast"/>
        <w:ind w:left="255" w:firstLine="420"/>
        <w:jc w:val="left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三、收到和处理政府信息公开申请情况</w:t>
      </w:r>
    </w:p>
    <w:tbl>
      <w:tblPr>
        <w:tblStyle w:val="6"/>
        <w:tblW w:w="8820" w:type="dxa"/>
        <w:tblCellSpacing w:w="0" w:type="dxa"/>
        <w:tblInd w:w="2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5"/>
        <w:gridCol w:w="945"/>
        <w:gridCol w:w="2880"/>
        <w:gridCol w:w="795"/>
        <w:gridCol w:w="600"/>
        <w:gridCol w:w="585"/>
        <w:gridCol w:w="600"/>
        <w:gridCol w:w="570"/>
        <w:gridCol w:w="555"/>
        <w:gridCol w:w="52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59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4230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59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自然人</w:t>
            </w:r>
          </w:p>
        </w:tc>
        <w:tc>
          <w:tcPr>
            <w:tcW w:w="291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法人或其他组织</w:t>
            </w:r>
          </w:p>
        </w:tc>
        <w:tc>
          <w:tcPr>
            <w:tcW w:w="52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59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商业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企业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科研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机构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社会公益组织</w:t>
            </w:r>
          </w:p>
        </w:tc>
        <w:tc>
          <w:tcPr>
            <w:tcW w:w="5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法律服务机构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其他</w:t>
            </w:r>
          </w:p>
        </w:tc>
        <w:tc>
          <w:tcPr>
            <w:tcW w:w="52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tblCellSpacing w:w="0" w:type="dxa"/>
        </w:trPr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tblCellSpacing w:w="0" w:type="dxa"/>
        </w:trPr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6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三、本年度办理结果</w:t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（一）予以公开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（三）不予公开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1.属于国家秘密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2.其他法律行政法规禁止公开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3.危及“三安全一稳定”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4.保护第三方合法权益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5.属于三类内部事务信息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6.属于四类过程性信息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7.属于行政执法案卷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8.属于行政查询事项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（四）无法提供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1.本机关不掌握相关政府信息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2.没有现成信息需要另行制作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3.补正后申请内容仍不明确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6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（五）不予处理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1.信访举报投诉类申请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2.重复申请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3.要求提供公开出版物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4.无正当理由大量反复申请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（六）其他处理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3.其他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（七）总计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四、结转下年度继续办理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wordWrap w:val="0"/>
        <w:spacing w:before="300" w:beforeAutospacing="0" w:line="450" w:lineRule="atLeast"/>
        <w:ind w:left="255" w:firstLine="420"/>
        <w:jc w:val="left"/>
        <w:rPr>
          <w:color w:val="333333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wordWrap w:val="0"/>
        <w:spacing w:before="300" w:beforeAutospacing="0" w:line="450" w:lineRule="atLeast"/>
        <w:ind w:left="255" w:firstLine="420"/>
        <w:jc w:val="left"/>
        <w:rPr>
          <w:color w:val="333333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wordWrap w:val="0"/>
        <w:spacing w:before="300" w:beforeAutospacing="0" w:line="450" w:lineRule="atLeast"/>
        <w:ind w:left="255" w:firstLine="420"/>
        <w:jc w:val="left"/>
        <w:rPr>
          <w:color w:val="333333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wordWrap w:val="0"/>
        <w:spacing w:before="300" w:beforeAutospacing="0" w:line="450" w:lineRule="atLeast"/>
        <w:ind w:left="255" w:firstLine="420"/>
        <w:jc w:val="left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四、政府信息公开行政复议、行政诉讼情况</w:t>
      </w:r>
    </w:p>
    <w:tbl>
      <w:tblPr>
        <w:tblStyle w:val="6"/>
        <w:tblW w:w="8805" w:type="dxa"/>
        <w:tblCellSpacing w:w="0" w:type="dxa"/>
        <w:tblInd w:w="2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0"/>
        <w:gridCol w:w="609"/>
        <w:gridCol w:w="595"/>
        <w:gridCol w:w="580"/>
        <w:gridCol w:w="479"/>
        <w:gridCol w:w="638"/>
        <w:gridCol w:w="638"/>
        <w:gridCol w:w="638"/>
        <w:gridCol w:w="623"/>
        <w:gridCol w:w="465"/>
        <w:gridCol w:w="638"/>
        <w:gridCol w:w="638"/>
        <w:gridCol w:w="638"/>
        <w:gridCol w:w="551"/>
        <w:gridCol w:w="46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</w:tblPrEx>
        <w:trPr>
          <w:tblCellSpacing w:w="0" w:type="dxa"/>
        </w:trPr>
        <w:tc>
          <w:tcPr>
            <w:tcW w:w="287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行政复议</w:t>
            </w:r>
          </w:p>
        </w:tc>
        <w:tc>
          <w:tcPr>
            <w:tcW w:w="5932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61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结果维持</w:t>
            </w:r>
          </w:p>
        </w:tc>
        <w:tc>
          <w:tcPr>
            <w:tcW w:w="60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结果纠正</w:t>
            </w:r>
          </w:p>
        </w:tc>
        <w:tc>
          <w:tcPr>
            <w:tcW w:w="59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其他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结果</w:t>
            </w:r>
          </w:p>
        </w:tc>
        <w:tc>
          <w:tcPr>
            <w:tcW w:w="58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尚未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审结</w:t>
            </w:r>
          </w:p>
        </w:tc>
        <w:tc>
          <w:tcPr>
            <w:tcW w:w="47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总计</w:t>
            </w:r>
          </w:p>
        </w:tc>
        <w:tc>
          <w:tcPr>
            <w:tcW w:w="3002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未经复议直接起诉</w:t>
            </w:r>
          </w:p>
        </w:tc>
        <w:tc>
          <w:tcPr>
            <w:tcW w:w="29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tblCellSpacing w:w="0" w:type="dxa"/>
        </w:trPr>
        <w:tc>
          <w:tcPr>
            <w:tcW w:w="61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结果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维持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结果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纠正</w:t>
            </w:r>
          </w:p>
        </w:tc>
        <w:tc>
          <w:tcPr>
            <w:tcW w:w="6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其他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结果</w:t>
            </w:r>
          </w:p>
        </w:tc>
        <w:tc>
          <w:tcPr>
            <w:tcW w:w="6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尚未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审结</w:t>
            </w:r>
          </w:p>
        </w:tc>
        <w:tc>
          <w:tcPr>
            <w:tcW w:w="4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总计</w:t>
            </w:r>
          </w:p>
        </w:tc>
        <w:tc>
          <w:tcPr>
            <w:tcW w:w="6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结果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维持</w:t>
            </w:r>
          </w:p>
        </w:tc>
        <w:tc>
          <w:tcPr>
            <w:tcW w:w="6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结果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纠正</w:t>
            </w:r>
          </w:p>
        </w:tc>
        <w:tc>
          <w:tcPr>
            <w:tcW w:w="6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其他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结果</w:t>
            </w:r>
          </w:p>
        </w:tc>
        <w:tc>
          <w:tcPr>
            <w:tcW w:w="5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尚未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审结</w:t>
            </w:r>
          </w:p>
        </w:tc>
        <w:tc>
          <w:tcPr>
            <w:tcW w:w="4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trHeight w:val="705" w:hRule="atLeast"/>
          <w:tblCellSpacing w:w="0" w:type="dxa"/>
        </w:trPr>
        <w:tc>
          <w:tcPr>
            <w:tcW w:w="6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五、存在的主要问题及改进情况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存在着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公开范围不够广泛、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公开形式不够灵活、公开内容不够丰富、解读回应方式较少等问题。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下一步，我中心将认真贯彻落实中央和省市的部署要求，坚持以公开为常态、以不公开为例外，继续推进政府信息公开，着力开展以下工作：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提高图文解读、数字化解读、新闻媒体解读的比例，综合运用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微信公众号“济宁公路”、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12345市长热线、网络问政平台等渠道，及时了解群众诉求、回应群众关切。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其他需要报告的事项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（一）202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年济宁市公路事业发展中心无收取信息处理费的情况;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（二）</w:t>
      </w:r>
      <w:r>
        <w:rPr>
          <w:color w:val="333333"/>
          <w:sz w:val="24"/>
          <w:szCs w:val="24"/>
        </w:rPr>
        <w:t> 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年公路公开工作按照省、市政务公开工作要求，紧紧围绕公路中心工作及群众关注关切，着力提升政务公开质量，加强政策解读和政务舆情回应，深化公路重点领域信息公开，完善政务公开制度规范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优化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中心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网站和公众号信息公开栏目设置，及时发布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中心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最新动态，全面反映我市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公路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领域的重点工作和工作亮点。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（三）人大代表建议和政协提案办理结果公开情况。202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年，市公路事业发展中心收到市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人大代表建议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1件，已完成办理并在市政府门户网站公开，办理信息规范命名为建议提案编号和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建议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内容，方便公众查阅。未收到省级、市级政协提案和省级人大代表建议。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（四）通过“济宁公路”微信公众号及时公开部门会议、专题会议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次，发布重大建设项目批复、设计、施工、竣工验收等政务信息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条。保障群众对政务工作的知情权、监督权。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544" w:firstLineChars="1420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济宁市公路事业发展中心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960" w:firstLineChars="1550"/>
        <w:rPr>
          <w:rFonts w:hint="default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2024年1月17日</w:t>
      </w:r>
    </w:p>
    <w:sectPr>
      <w:headerReference r:id="rId3" w:type="default"/>
      <w:footerReference r:id="rId4" w:type="default"/>
      <w:pgSz w:w="11906" w:h="16838"/>
      <w:pgMar w:top="2154" w:right="1474" w:bottom="204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612B9E"/>
    <w:multiLevelType w:val="singleLevel"/>
    <w:tmpl w:val="CF612B9E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591F9A6"/>
    <w:multiLevelType w:val="singleLevel"/>
    <w:tmpl w:val="D591F9A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B5B75BC"/>
    <w:multiLevelType w:val="singleLevel"/>
    <w:tmpl w:val="0B5B75B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752BDAD8"/>
    <w:multiLevelType w:val="singleLevel"/>
    <w:tmpl w:val="752BDAD8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2610F"/>
    <w:rsid w:val="01176D40"/>
    <w:rsid w:val="09A159ED"/>
    <w:rsid w:val="0C801FF0"/>
    <w:rsid w:val="1462610F"/>
    <w:rsid w:val="1D685243"/>
    <w:rsid w:val="27434745"/>
    <w:rsid w:val="296E41EE"/>
    <w:rsid w:val="2C264F02"/>
    <w:rsid w:val="41664B9E"/>
    <w:rsid w:val="416F5D9C"/>
    <w:rsid w:val="439E32F5"/>
    <w:rsid w:val="4DD87EF6"/>
    <w:rsid w:val="4F9A3407"/>
    <w:rsid w:val="5A0D5673"/>
    <w:rsid w:val="5D3755FB"/>
    <w:rsid w:val="640C6F4F"/>
    <w:rsid w:val="646111DA"/>
    <w:rsid w:val="65243E2F"/>
    <w:rsid w:val="658B1F1A"/>
    <w:rsid w:val="69742FD7"/>
    <w:rsid w:val="6A933A09"/>
    <w:rsid w:val="6AE21B86"/>
    <w:rsid w:val="6DCD2F4D"/>
    <w:rsid w:val="70FF5D8E"/>
    <w:rsid w:val="7DD1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2455</Words>
  <Characters>2567</Characters>
  <Lines>0</Lines>
  <Paragraphs>0</Paragraphs>
  <TotalTime>2</TotalTime>
  <ScaleCrop>false</ScaleCrop>
  <LinksUpToDate>false</LinksUpToDate>
  <CharactersWithSpaces>2568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2023-04-21T06:42:00Z</dcterms:created>
  <dc:creator>Administrator</dc:creator>
  <cp:lastModifiedBy>Administrator</cp:lastModifiedBy>
  <dcterms:modified xsi:type="dcterms:W3CDTF">2024-04-01T09:41:47Z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