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24" w:rightChars="440"/>
        <w:rPr>
          <w:spacing w:val="20"/>
          <w:sz w:val="32"/>
        </w:rPr>
      </w:pPr>
    </w:p>
    <w:p>
      <w:pPr>
        <w:ind w:right="924" w:rightChars="440"/>
        <w:rPr>
          <w:spacing w:val="20"/>
          <w:sz w:val="32"/>
        </w:rPr>
      </w:pPr>
    </w:p>
    <w:p>
      <w:pPr>
        <w:ind w:right="924" w:rightChars="440"/>
        <w:rPr>
          <w:rFonts w:eastAsia="方正小标宋简体"/>
          <w:color w:val="FF0000"/>
          <w:sz w:val="96"/>
          <w:szCs w:val="96"/>
        </w:rPr>
      </w:pPr>
      <w:r>
        <w:rPr>
          <w:rFonts w:eastAsia="方正小标宋简体"/>
          <w:color w:val="FF0000"/>
          <w:spacing w:val="-20"/>
          <w:sz w:val="96"/>
          <w:szCs w:val="96"/>
        </w:rPr>
        <mc:AlternateContent>
          <mc:Choice Requires="wps">
            <w:drawing>
              <wp:anchor distT="0" distB="0" distL="114300" distR="114300" simplePos="0" relativeHeight="251662336" behindDoc="0" locked="1" layoutInCell="1" allowOverlap="1">
                <wp:simplePos x="0" y="0"/>
                <wp:positionH relativeFrom="margin">
                  <wp:posOffset>-76200</wp:posOffset>
                </wp:positionH>
                <wp:positionV relativeFrom="paragraph">
                  <wp:posOffset>0</wp:posOffset>
                </wp:positionV>
                <wp:extent cx="4733925" cy="2620010"/>
                <wp:effectExtent l="0" t="0" r="0" b="0"/>
                <wp:wrapNone/>
                <wp:docPr id="3" name="矩形 4"/>
                <wp:cNvGraphicFramePr/>
                <a:graphic xmlns:a="http://schemas.openxmlformats.org/drawingml/2006/main">
                  <a:graphicData uri="http://schemas.microsoft.com/office/word/2010/wordprocessingShape">
                    <wps:wsp>
                      <wps:cNvSpPr/>
                      <wps:spPr>
                        <a:xfrm>
                          <a:off x="0" y="0"/>
                          <a:ext cx="4733925" cy="2620010"/>
                        </a:xfrm>
                        <a:prstGeom prst="rect">
                          <a:avLst/>
                        </a:prstGeom>
                        <a:noFill/>
                        <a:ln>
                          <a:noFill/>
                        </a:ln>
                      </wps:spPr>
                      <wps:txbx>
                        <w:txbxContent>
                          <w:p>
                            <w:pPr>
                              <w:spacing w:line="1200" w:lineRule="exact"/>
                              <w:jc w:val="distribute"/>
                              <w:rPr>
                                <w:rFonts w:ascii="长城大标宋体" w:hAnsi="长城大标宋体" w:eastAsia="长城大标宋体" w:cs="长城大标宋体"/>
                                <w:color w:val="FF0000"/>
                                <w:w w:val="66"/>
                                <w:sz w:val="60"/>
                                <w:szCs w:val="60"/>
                              </w:rPr>
                            </w:pPr>
                            <w:r>
                              <w:rPr>
                                <w:rFonts w:hint="eastAsia" w:ascii="长城大标宋体" w:hAnsi="长城大标宋体" w:eastAsia="长城大标宋体" w:cs="长城大标宋体"/>
                                <w:color w:val="FF0000"/>
                                <w:w w:val="66"/>
                                <w:sz w:val="60"/>
                                <w:szCs w:val="60"/>
                              </w:rPr>
                              <w:t>济宁市人民政府国有资产监督管理委员会</w:t>
                            </w:r>
                          </w:p>
                          <w:p>
                            <w:pPr>
                              <w:spacing w:line="1200" w:lineRule="exact"/>
                              <w:jc w:val="distribute"/>
                              <w:rPr>
                                <w:rFonts w:ascii="长城大标宋体" w:hAnsi="长城大标宋体" w:eastAsia="长城大标宋体" w:cs="长城大标宋体"/>
                                <w:color w:val="FF0000"/>
                                <w:w w:val="66"/>
                                <w:sz w:val="72"/>
                                <w:szCs w:val="72"/>
                              </w:rPr>
                            </w:pPr>
                            <w:r>
                              <w:rPr>
                                <w:rFonts w:hint="eastAsia" w:ascii="长城大标宋体" w:hAnsi="长城大标宋体" w:eastAsia="长城大标宋体" w:cs="长城大标宋体"/>
                                <w:color w:val="FF0000"/>
                                <w:w w:val="66"/>
                                <w:sz w:val="72"/>
                                <w:szCs w:val="72"/>
                              </w:rPr>
                              <w:t>济宁市财政局</w:t>
                            </w:r>
                          </w:p>
                          <w:p>
                            <w:pPr>
                              <w:jc w:val="distribute"/>
                              <w:rPr>
                                <w:rFonts w:ascii="长城大标宋体" w:hAnsi="长城大标宋体" w:eastAsia="长城大标宋体" w:cs="长城大标宋体"/>
                                <w:color w:val="FF0000"/>
                                <w:sz w:val="72"/>
                                <w:szCs w:val="72"/>
                              </w:rPr>
                            </w:pPr>
                            <w:r>
                              <w:rPr>
                                <w:rFonts w:hint="eastAsia" w:ascii="长城大标宋体" w:hAnsi="长城大标宋体" w:eastAsia="长城大标宋体" w:cs="长城大标宋体"/>
                                <w:color w:val="FF0000"/>
                                <w:w w:val="66"/>
                                <w:sz w:val="72"/>
                                <w:szCs w:val="72"/>
                              </w:rPr>
                              <w:t>济宁市审计局</w:t>
                            </w:r>
                          </w:p>
                        </w:txbxContent>
                      </wps:txbx>
                      <wps:bodyPr upright="1"/>
                    </wps:wsp>
                  </a:graphicData>
                </a:graphic>
              </wp:anchor>
            </w:drawing>
          </mc:Choice>
          <mc:Fallback>
            <w:pict>
              <v:rect id="矩形 4" o:spid="_x0000_s1026" o:spt="1" style="position:absolute;left:0pt;margin-left:-6pt;margin-top:0pt;height:206.3pt;width:372.75pt;mso-position-horizontal-relative:margin;z-index:251662336;mso-width-relative:page;mso-height-relative:page;" filled="f" stroked="f" coordsize="21600,21600" o:gfxdata="UEsDBAoAAAAAAIdO4kAAAAAAAAAAAAAAAAAEAAAAZHJzL1BLAwQUAAAACACHTuJA4xyGRNoAAAAI&#10;AQAADwAAAGRycy9kb3ducmV2LnhtbE2PQUvDQBCF74L/YRnBi7SbpFolZtJDQSwiFFPteZuMSTA7&#10;m2a3Sf33jie9PBje8N73stXZdmqkwbeOEeJ5BIq4dFXLNcL77mn2AMoHw5XpHBPCN3lY5ZcXmUkr&#10;N/EbjUWolYSwTw1CE0Kfau3Lhqzxc9cTi/fpBmuCnEOtq8FMEm47nUTRUlvTsjQ0pqd1Q+VXcbII&#10;U7kd97vXZ7292W8cHzfHdfHxgnh9FUePoAKdw98z/OILOuTCdHAnrrzqEGZxIlsCgqjY94vFHagD&#10;wm2cLEHnmf4/IP8BUEsDBBQAAAAIAIdO4kAsmiWtowEAAEIDAAAOAAAAZHJzL2Uyb0RvYy54bWyt&#10;UkuOEzEQ3SNxB8t74nyGAVrpzCYaNghGGuYAjttOW/JPVU66cxokdhyC4yCuQdlpMjBsZsHGXVV+&#10;/areK69vRu/YUQPaGFq+mM0500HFzoZ9yx8+3756yxlmGTrpYtAtP2nkN5uXL9ZDavQy9tF1GhiR&#10;BGyG1PI+59QIgarXXuIsJh3o0kTwMlMKe9GBHIjdO7Gcz6/FEKFLEJVGpOr2fMknRngOYTTGKr2N&#10;6uB1yGdW0E5mkoS9Tcg3dVpjtMqfjEGdmWs5Kc31pCYU78opNmvZ7EGm3qppBPmcEZ5o8tIGanqh&#10;2sos2QHsP1TeKogYTZ6p6MVZSHWEVCzmT7y572XSVQtZjeliOv4/WvXxeAfMdi1fcRakp4X//PLt&#10;x/ev7Kp4MyRsCHKf7mDKkMIidDTgy5cksLH6ebr4qcfMFBWv3qxW75avOVN0t7ym7S+q4+Lx9wSY&#10;3+voWQlaDrSw6qM8fsBMLQn6G1K6hXhrnatLc+GvAgFLRZSJzzOWKI+7cRp8F7sTST0ksPueWi2K&#10;vgona2uj6RmU3f2ZV9Tj09/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MchkTaAAAACAEAAA8A&#10;AAAAAAAAAQAgAAAAIgAAAGRycy9kb3ducmV2LnhtbFBLAQIUABQAAAAIAIdO4kAsmiWtowEAAEID&#10;AAAOAAAAAAAAAAEAIAAAACkBAABkcnMvZTJvRG9jLnhtbFBLBQYAAAAABgAGAFkBAAA+BQAAAAA=&#10;">
                <v:fill on="f" focussize="0,0"/>
                <v:stroke on="f"/>
                <v:imagedata o:title=""/>
                <o:lock v:ext="edit" aspectratio="f"/>
                <v:textbox>
                  <w:txbxContent>
                    <w:p>
                      <w:pPr>
                        <w:spacing w:line="1200" w:lineRule="exact"/>
                        <w:jc w:val="distribute"/>
                        <w:rPr>
                          <w:rFonts w:ascii="长城大标宋体" w:hAnsi="长城大标宋体" w:eastAsia="长城大标宋体" w:cs="长城大标宋体"/>
                          <w:color w:val="FF0000"/>
                          <w:w w:val="66"/>
                          <w:sz w:val="60"/>
                          <w:szCs w:val="60"/>
                        </w:rPr>
                      </w:pPr>
                      <w:r>
                        <w:rPr>
                          <w:rFonts w:hint="eastAsia" w:ascii="长城大标宋体" w:hAnsi="长城大标宋体" w:eastAsia="长城大标宋体" w:cs="长城大标宋体"/>
                          <w:color w:val="FF0000"/>
                          <w:w w:val="66"/>
                          <w:sz w:val="60"/>
                          <w:szCs w:val="60"/>
                        </w:rPr>
                        <w:t>济宁市人民政府国有资产监督管理委员会</w:t>
                      </w:r>
                    </w:p>
                    <w:p>
                      <w:pPr>
                        <w:spacing w:line="1200" w:lineRule="exact"/>
                        <w:jc w:val="distribute"/>
                        <w:rPr>
                          <w:rFonts w:ascii="长城大标宋体" w:hAnsi="长城大标宋体" w:eastAsia="长城大标宋体" w:cs="长城大标宋体"/>
                          <w:color w:val="FF0000"/>
                          <w:w w:val="66"/>
                          <w:sz w:val="72"/>
                          <w:szCs w:val="72"/>
                        </w:rPr>
                      </w:pPr>
                      <w:r>
                        <w:rPr>
                          <w:rFonts w:hint="eastAsia" w:ascii="长城大标宋体" w:hAnsi="长城大标宋体" w:eastAsia="长城大标宋体" w:cs="长城大标宋体"/>
                          <w:color w:val="FF0000"/>
                          <w:w w:val="66"/>
                          <w:sz w:val="72"/>
                          <w:szCs w:val="72"/>
                        </w:rPr>
                        <w:t>济宁市财政局</w:t>
                      </w:r>
                    </w:p>
                    <w:p>
                      <w:pPr>
                        <w:jc w:val="distribute"/>
                        <w:rPr>
                          <w:rFonts w:ascii="长城大标宋体" w:hAnsi="长城大标宋体" w:eastAsia="长城大标宋体" w:cs="长城大标宋体"/>
                          <w:color w:val="FF0000"/>
                          <w:sz w:val="72"/>
                          <w:szCs w:val="72"/>
                        </w:rPr>
                      </w:pPr>
                      <w:r>
                        <w:rPr>
                          <w:rFonts w:hint="eastAsia" w:ascii="长城大标宋体" w:hAnsi="长城大标宋体" w:eastAsia="长城大标宋体" w:cs="长城大标宋体"/>
                          <w:color w:val="FF0000"/>
                          <w:w w:val="66"/>
                          <w:sz w:val="72"/>
                          <w:szCs w:val="72"/>
                        </w:rPr>
                        <w:t>济宁市审计局</w:t>
                      </w:r>
                    </w:p>
                  </w:txbxContent>
                </v:textbox>
                <w10:anchorlock/>
              </v:rect>
            </w:pict>
          </mc:Fallback>
        </mc:AlternateContent>
      </w:r>
      <w:r>
        <w:rPr>
          <w:rFonts w:eastAsia="方正小标宋简体"/>
          <w:color w:val="FF0000"/>
          <w:spacing w:val="-20"/>
          <w:sz w:val="96"/>
          <w:szCs w:val="96"/>
        </w:rPr>
        <mc:AlternateContent>
          <mc:Choice Requires="wps">
            <w:drawing>
              <wp:anchor distT="0" distB="0" distL="114300" distR="114300" simplePos="0" relativeHeight="251661312" behindDoc="0" locked="1" layoutInCell="1" allowOverlap="1">
                <wp:simplePos x="0" y="0"/>
                <wp:positionH relativeFrom="margin">
                  <wp:posOffset>4542790</wp:posOffset>
                </wp:positionH>
                <wp:positionV relativeFrom="paragraph">
                  <wp:posOffset>788035</wp:posOffset>
                </wp:positionV>
                <wp:extent cx="1158875" cy="891540"/>
                <wp:effectExtent l="0" t="0" r="0" b="0"/>
                <wp:wrapNone/>
                <wp:docPr id="2" name="矩形 3"/>
                <wp:cNvGraphicFramePr/>
                <a:graphic xmlns:a="http://schemas.openxmlformats.org/drawingml/2006/main">
                  <a:graphicData uri="http://schemas.microsoft.com/office/word/2010/wordprocessingShape">
                    <wps:wsp>
                      <wps:cNvSpPr/>
                      <wps:spPr>
                        <a:xfrm>
                          <a:off x="0" y="0"/>
                          <a:ext cx="1158875" cy="891540"/>
                        </a:xfrm>
                        <a:prstGeom prst="rect">
                          <a:avLst/>
                        </a:prstGeom>
                        <a:noFill/>
                        <a:ln>
                          <a:noFill/>
                        </a:ln>
                      </wps:spPr>
                      <wps:txbx>
                        <w:txbxContent>
                          <w:p>
                            <w:pPr>
                              <w:spacing w:line="1200" w:lineRule="exact"/>
                              <w:jc w:val="center"/>
                              <w:rPr>
                                <w:rFonts w:ascii="长城大标宋体" w:hAnsi="长城大标宋体" w:eastAsia="长城大标宋体" w:cs="长城大标宋体"/>
                                <w:color w:val="FF0000"/>
                                <w:sz w:val="96"/>
                                <w:szCs w:val="96"/>
                              </w:rPr>
                            </w:pPr>
                            <w:r>
                              <w:rPr>
                                <w:rFonts w:hint="eastAsia" w:ascii="长城大标宋体" w:hAnsi="长城大标宋体" w:eastAsia="长城大标宋体" w:cs="长城大标宋体"/>
                                <w:color w:val="FF0000"/>
                                <w:w w:val="66"/>
                                <w:sz w:val="96"/>
                                <w:szCs w:val="96"/>
                              </w:rPr>
                              <w:t>文件</w:t>
                            </w:r>
                          </w:p>
                        </w:txbxContent>
                      </wps:txbx>
                      <wps:bodyPr upright="1"/>
                    </wps:wsp>
                  </a:graphicData>
                </a:graphic>
              </wp:anchor>
            </w:drawing>
          </mc:Choice>
          <mc:Fallback>
            <w:pict>
              <v:rect id="矩形 3" o:spid="_x0000_s1026" o:spt="1" style="position:absolute;left:0pt;margin-left:357.7pt;margin-top:62.05pt;height:70.2pt;width:91.25pt;mso-position-horizontal-relative:margin;z-index:251661312;mso-width-relative:page;mso-height-relative:page;" filled="f" stroked="f" coordsize="21600,21600" o:gfxdata="UEsDBAoAAAAAAIdO4kAAAAAAAAAAAAAAAAAEAAAAZHJzL1BLAwQUAAAACACHTuJAiEWxAdwAAAAL&#10;AQAADwAAAGRycy9kb3ducmV2LnhtbE2PTUvDQBCG74L/YRnBi9hNQvqVZtNDQSwiFFPb8zYZk2B2&#10;Ns1uk/rvnZ70OLwP7/tMur6aVgzYu8aSgnASgEAqbNlQpeBz//K8AOG8plK3llDBDzpYZ/d3qU5K&#10;O9IHDrmvBJeQS7SC2vsukdIVNRrtJrZD4uzL9kZ7PvtKlr0eudy0MgqCmTS6IV6odYebGovv/GIU&#10;jMVuOO7fX+Xu6bi1dN6eN/nhTanHhzBYgfB49X8w3PRZHTJ2OtkLlU60CubhNGaUgygOQTCxWM6X&#10;IE4Kolk8BZml8v8P2S9QSwMEFAAAAAgAh07iQMikk2yjAQAAQQMAAA4AAABkcnMvZTJvRG9jLnht&#10;bK1SS27bMBDdF+gdCO5rWW7cuoLlbIxkU6QB0h6ApkiLAH+YoS35NAWy6yF6nKLX6JBWnTbdZNEN&#10;NTN8ejPvDdfXo7PsqABN8C2vZ3POlJehM37f8i+fb96sOMMkfCds8KrlJ4X8evP61XqIjVqEPthO&#10;ASMSj80QW96nFJuqQtkrJ3AWovJ0qQM4kSiFfdWBGIjd2Woxn7+rhgBdhCAVIlW350s+McJLCIPW&#10;RqptkAenfDqzgrIikSTsTUS+KdNqrWT6pDWqxGzLSWkqJzWheJfParMWzR5E7I2cRhAvGeGZJieM&#10;p6YXqq1Igh3A/EPljISAQaeZDK46CymOkIp6/sybh15EVbSQ1RgvpuP/o5V3x3tgpmv5gjMvHC38&#10;59dvP74/srfZmyFiQ5CHeA9ThhRmoaMGl78kgY3Fz9PFTzUmJqlY18vV6v2SM0l3qw/18qoYXj39&#10;HQHTrQqO5aDlQPsqNorjR0zUkaC/IbmZDzfG2rIz6/8qEDBXqjzwecQcpXE3TnPvQncipYcIZt9T&#10;qzrLK3BytjSaXkFe3Z95QT29/M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EWxAdwAAAALAQAA&#10;DwAAAAAAAAABACAAAAAiAAAAZHJzL2Rvd25yZXYueG1sUEsBAhQAFAAAAAgAh07iQMikk2yjAQAA&#10;QQMAAA4AAAAAAAAAAQAgAAAAKwEAAGRycy9lMm9Eb2MueG1sUEsFBgAAAAAGAAYAWQEAAEAFAAAA&#10;AA==&#10;">
                <v:fill on="f" focussize="0,0"/>
                <v:stroke on="f"/>
                <v:imagedata o:title=""/>
                <o:lock v:ext="edit" aspectratio="f"/>
                <v:textbox>
                  <w:txbxContent>
                    <w:p>
                      <w:pPr>
                        <w:spacing w:line="1200" w:lineRule="exact"/>
                        <w:jc w:val="center"/>
                        <w:rPr>
                          <w:rFonts w:ascii="长城大标宋体" w:hAnsi="长城大标宋体" w:eastAsia="长城大标宋体" w:cs="长城大标宋体"/>
                          <w:color w:val="FF0000"/>
                          <w:sz w:val="96"/>
                          <w:szCs w:val="96"/>
                        </w:rPr>
                      </w:pPr>
                      <w:r>
                        <w:rPr>
                          <w:rFonts w:hint="eastAsia" w:ascii="长城大标宋体" w:hAnsi="长城大标宋体" w:eastAsia="长城大标宋体" w:cs="长城大标宋体"/>
                          <w:color w:val="FF0000"/>
                          <w:w w:val="66"/>
                          <w:sz w:val="96"/>
                          <w:szCs w:val="96"/>
                        </w:rPr>
                        <w:t>文件</w:t>
                      </w:r>
                    </w:p>
                  </w:txbxContent>
                </v:textbox>
                <w10:anchorlock/>
              </v:rect>
            </w:pict>
          </mc:Fallback>
        </mc:AlternateContent>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spacing w:line="600" w:lineRule="exact"/>
        <w:rPr>
          <w:rFonts w:eastAsia="仿宋_GB2312"/>
          <w:color w:val="000000"/>
          <w:sz w:val="32"/>
        </w:rPr>
      </w:pPr>
    </w:p>
    <w:p>
      <w:pPr>
        <w:spacing w:line="600" w:lineRule="exact"/>
        <w:jc w:val="center"/>
        <w:rPr>
          <w:rFonts w:hint="eastAsia" w:ascii="仿宋_GB2312" w:eastAsia="仿宋_GB2312"/>
          <w:color w:val="000000"/>
          <w:sz w:val="32"/>
        </w:rPr>
      </w:pPr>
      <w:r>
        <w:rPr>
          <w:rFonts w:hint="eastAsia" w:ascii="仿宋_GB2312" w:eastAsia="仿宋_GB2312"/>
          <w:color w:val="000000"/>
          <w:sz w:val="32"/>
        </w:rPr>
        <w:t>济国资〔2022〕68号</w:t>
      </w:r>
    </w:p>
    <w:p>
      <w:pPr>
        <w:spacing w:line="600" w:lineRule="exact"/>
        <w:jc w:val="center"/>
        <w:rPr>
          <w:rFonts w:eastAsia="仿宋_GB2312"/>
          <w:sz w:val="32"/>
        </w:rPr>
      </w:pPr>
      <w:r>
        <w:rPr>
          <w:rFonts w:eastAsia="仿宋_GB2312"/>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117475</wp:posOffset>
                </wp:positionV>
                <wp:extent cx="5734050" cy="0"/>
                <wp:effectExtent l="0" t="9525" r="0" b="9525"/>
                <wp:wrapNone/>
                <wp:docPr id="1" name="直线 2"/>
                <wp:cNvGraphicFramePr/>
                <a:graphic xmlns:a="http://schemas.openxmlformats.org/drawingml/2006/main">
                  <a:graphicData uri="http://schemas.microsoft.com/office/word/2010/wordprocessingShape">
                    <wps:wsp>
                      <wps:cNvSpPr/>
                      <wps:spPr>
                        <a:xfrm>
                          <a:off x="0" y="0"/>
                          <a:ext cx="57340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9.25pt;height:0pt;width:451.5pt;z-index:251660288;mso-width-relative:page;mso-height-relative:page;" filled="f" stroked="t" coordsize="21600,21600" o:gfxdata="UEsDBAoAAAAAAIdO4kAAAAAAAAAAAAAAAAAEAAAAZHJzL1BLAwQUAAAACACHTuJAvD67p9QAAAAG&#10;AQAADwAAAGRycy9kb3ducmV2LnhtbE2PwU7DMAyG70i8Q2QkbiwpiDJK0x0qoXFAmlY4wC1rTFuR&#10;OFWTreXtMeIAR3+/9ftzuVm8Eyec4hBIQ7ZSIJDaYAfqNLy+PF6tQcRkyBoXCDV8YYRNdX5WmsKG&#10;mfZ4alInuIRiYTT0KY2FlLHt0Zu4CiMSZx9h8ibxOHXSTmbmcu/ktVK59GYgvtCbEese28/m6DW8&#10;7ba78bmu8/D0vp2XLs+a/Z3T+vIiUw8gEi7pbxl+9FkdKnY6hCPZKJwGfiQxXd+C4PRe3TA4/AJZ&#10;lfK/fvUNUEsDBBQAAAAIAIdO4kDS/6i46AEAANwDAAAOAAAAZHJzL2Uyb0RvYy54bWytU0uS0zAQ&#10;3VPFHVTaEzuBAcYVZxaEsKFgqgYO0JFkW1X6lVqJk7NwDVZsOM5cg5acyTDDJgu8kFvq1ut+r1vL&#10;m4M1bK8iau9aPp/VnCknvNSub/n3b5tX7znDBE6C8U61/KiQ36xevliOoVELP3gjVWQE4rAZQ8uH&#10;lEJTVSgGZQFnPihHzs5HC4m2sa9khJHQrakWdf22Gn2UIXqhEOl0PTn5CTFeAui7Tgu19mJnlUsT&#10;alQGElHCQQfkq1Jt1ymRvnYdqsRMy4lpKislIXub12q1hKaPEAYtTiXAJSU842RBO0p6hlpDAraL&#10;+h8oq0X06Ls0E95WE5GiCLGY18+0uRsgqMKFpMZwFh3/H6z4sr+NTEuaBM4cWGr4/Y+f979+s0XW&#10;ZgzYUMhduI2nHZKZiR66aPOfKLBD0fN41lMdEhN0ePXu9Zv6iqQWD77q8WKImD4pb1k2Wm60y1Sh&#10;gf1nTJSMQh9C8rFxbKQiryc8oMHrqOEEbQMVj64vl9EbLTfamHwFY7/9YCLbAzV/s6npy5wI+ElY&#10;zrIGHKa44prGYlAgPzrJ0jGQLI5eA881WCU5M4oeT7YIEJoE2lwSSamNowqyrJOQ2dp6eaQm7ELU&#10;/UBSzEuV2UNNL/WeBjRP1d/7gvT4K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w+u6fUAAAA&#10;BgEAAA8AAAAAAAAAAQAgAAAAIgAAAGRycy9kb3ducmV2LnhtbFBLAQIUABQAAAAIAIdO4kDS/6i4&#10;6AEAANwDAAAOAAAAAAAAAAEAIAAAACMBAABkcnMvZTJvRG9jLnhtbFBLBQYAAAAABgAGAFkBAAB9&#10;BQAAAAA=&#10;">
                <v:fill on="f" focussize="0,0"/>
                <v:stroke weight="1.5pt" color="#FF0000" joinstyle="round"/>
                <v:imagedata o:title=""/>
                <o:lock v:ext="edit" aspectratio="f"/>
              </v:line>
            </w:pict>
          </mc:Fallback>
        </mc:AlternateContent>
      </w:r>
    </w:p>
    <w:p>
      <w:pPr>
        <w:spacing w:line="600" w:lineRule="exact"/>
        <w:jc w:val="center"/>
        <w:rPr>
          <w:sz w:val="32"/>
        </w:rPr>
      </w:pPr>
    </w:p>
    <w:p>
      <w:pPr>
        <w:spacing w:line="600" w:lineRule="exact"/>
        <w:jc w:val="center"/>
        <w:rPr>
          <w:rFonts w:eastAsia="方正小标宋简体"/>
          <w:bCs/>
          <w:color w:val="000000"/>
          <w:sz w:val="44"/>
        </w:rPr>
      </w:pPr>
      <w:r>
        <w:rPr>
          <w:rFonts w:eastAsia="方正小标宋简体"/>
          <w:bCs/>
          <w:color w:val="000000"/>
          <w:sz w:val="44"/>
        </w:rPr>
        <w:t>关于印发《济宁市市属企业高风险业务管控暂行办法》的通知</w:t>
      </w:r>
    </w:p>
    <w:p>
      <w:pPr>
        <w:spacing w:line="600" w:lineRule="exact"/>
        <w:jc w:val="center"/>
        <w:rPr>
          <w:sz w:val="32"/>
        </w:rPr>
      </w:pPr>
    </w:p>
    <w:p>
      <w:pPr>
        <w:spacing w:line="640" w:lineRule="exact"/>
        <w:rPr>
          <w:rFonts w:eastAsia="仿宋_GB2312"/>
          <w:sz w:val="32"/>
          <w:szCs w:val="32"/>
        </w:rPr>
      </w:pPr>
      <w:r>
        <w:rPr>
          <w:rFonts w:eastAsia="仿宋_GB2312"/>
          <w:sz w:val="32"/>
          <w:szCs w:val="32"/>
        </w:rPr>
        <w:t>各县（市、区）国资</w:t>
      </w:r>
      <w:r>
        <w:rPr>
          <w:rFonts w:hint="eastAsia" w:eastAsia="仿宋_GB2312"/>
          <w:sz w:val="32"/>
          <w:szCs w:val="32"/>
        </w:rPr>
        <w:t>监管机构、</w:t>
      </w:r>
      <w:r>
        <w:rPr>
          <w:rFonts w:eastAsia="仿宋_GB2312"/>
          <w:sz w:val="32"/>
          <w:szCs w:val="32"/>
        </w:rPr>
        <w:t>财政局</w:t>
      </w:r>
      <w:r>
        <w:rPr>
          <w:rFonts w:hint="eastAsia" w:eastAsia="仿宋_GB2312"/>
          <w:sz w:val="32"/>
          <w:szCs w:val="32"/>
        </w:rPr>
        <w:t>、</w:t>
      </w:r>
      <w:r>
        <w:rPr>
          <w:rFonts w:eastAsia="仿宋_GB2312"/>
          <w:sz w:val="32"/>
          <w:szCs w:val="32"/>
        </w:rPr>
        <w:t>审计局，各市属国有企业：</w:t>
      </w:r>
    </w:p>
    <w:p>
      <w:pPr>
        <w:spacing w:line="640" w:lineRule="exact"/>
        <w:ind w:firstLine="640" w:firstLineChars="200"/>
        <w:rPr>
          <w:rFonts w:eastAsia="仿宋_GB2312"/>
          <w:sz w:val="32"/>
          <w:szCs w:val="32"/>
        </w:rPr>
      </w:pPr>
      <w:r>
        <w:rPr>
          <w:rFonts w:eastAsia="仿宋_GB2312"/>
          <w:sz w:val="32"/>
          <w:szCs w:val="32"/>
        </w:rPr>
        <w:t>为加强</w:t>
      </w:r>
      <w:r>
        <w:rPr>
          <w:rFonts w:hint="eastAsia" w:eastAsia="仿宋_GB2312"/>
          <w:sz w:val="32"/>
          <w:szCs w:val="32"/>
        </w:rPr>
        <w:t>对市属企业</w:t>
      </w:r>
      <w:r>
        <w:rPr>
          <w:rFonts w:eastAsia="仿宋_GB2312"/>
          <w:sz w:val="32"/>
          <w:szCs w:val="32"/>
        </w:rPr>
        <w:t>高风险业务</w:t>
      </w:r>
      <w:r>
        <w:rPr>
          <w:rFonts w:hint="eastAsia" w:eastAsia="仿宋_GB2312"/>
          <w:sz w:val="32"/>
          <w:szCs w:val="32"/>
        </w:rPr>
        <w:t>的</w:t>
      </w:r>
      <w:r>
        <w:rPr>
          <w:rFonts w:eastAsia="仿宋_GB2312"/>
          <w:sz w:val="32"/>
          <w:szCs w:val="32"/>
        </w:rPr>
        <w:t>监督管理</w:t>
      </w:r>
      <w:r>
        <w:rPr>
          <w:rFonts w:hint="eastAsia" w:eastAsia="仿宋_GB2312"/>
          <w:sz w:val="32"/>
          <w:szCs w:val="32"/>
        </w:rPr>
        <w:t>，</w:t>
      </w:r>
      <w:r>
        <w:rPr>
          <w:rFonts w:eastAsia="仿宋_GB2312"/>
          <w:sz w:val="32"/>
          <w:szCs w:val="32"/>
        </w:rPr>
        <w:t>防范财务风险，防止国有资产损失，</w:t>
      </w:r>
      <w:r>
        <w:rPr>
          <w:rFonts w:hint="eastAsia" w:eastAsia="仿宋_GB2312"/>
          <w:sz w:val="32"/>
          <w:szCs w:val="32"/>
        </w:rPr>
        <w:t>根据</w:t>
      </w:r>
      <w:r>
        <w:rPr>
          <w:rFonts w:eastAsia="仿宋_GB2312"/>
          <w:sz w:val="32"/>
          <w:szCs w:val="32"/>
        </w:rPr>
        <w:t>《中华人民共和国企业国有资产法》《企业国有资产监督管理暂行条例》</w:t>
      </w:r>
      <w:r>
        <w:rPr>
          <w:rFonts w:hint="eastAsia" w:eastAsia="仿宋_GB2312"/>
          <w:sz w:val="32"/>
          <w:szCs w:val="32"/>
        </w:rPr>
        <w:t>等相关法律、法规、规定，</w:t>
      </w:r>
      <w:r>
        <w:rPr>
          <w:rFonts w:eastAsia="仿宋_GB2312"/>
          <w:sz w:val="32"/>
          <w:szCs w:val="32"/>
        </w:rPr>
        <w:t>结合市属企业实际</w:t>
      </w:r>
      <w:r>
        <w:rPr>
          <w:rFonts w:hint="eastAsia" w:eastAsia="仿宋_GB2312"/>
          <w:sz w:val="32"/>
          <w:szCs w:val="32"/>
        </w:rPr>
        <w:t>，市国资委、市财政局和市审计局制定了</w:t>
      </w:r>
      <w:r>
        <w:rPr>
          <w:rFonts w:eastAsia="仿宋_GB2312"/>
          <w:sz w:val="32"/>
          <w:szCs w:val="32"/>
        </w:rPr>
        <w:t>《济宁市市属企业高风险业务管控暂行办法》</w:t>
      </w:r>
      <w:r>
        <w:rPr>
          <w:rFonts w:hint="eastAsia" w:eastAsia="仿宋_GB2312"/>
          <w:sz w:val="32"/>
          <w:szCs w:val="32"/>
        </w:rPr>
        <w:t>。现</w:t>
      </w:r>
      <w:r>
        <w:rPr>
          <w:rFonts w:eastAsia="仿宋_GB2312"/>
          <w:sz w:val="32"/>
          <w:szCs w:val="32"/>
        </w:rPr>
        <w:t>印发给你们，请结合实际，认真贯彻执行。</w:t>
      </w:r>
    </w:p>
    <w:p>
      <w:pPr>
        <w:spacing w:line="640" w:lineRule="exact"/>
        <w:ind w:firstLine="640" w:firstLineChars="200"/>
        <w:rPr>
          <w:rFonts w:eastAsia="仿宋_GB2312"/>
          <w:sz w:val="32"/>
          <w:szCs w:val="32"/>
        </w:rPr>
      </w:pPr>
    </w:p>
    <w:p>
      <w:pPr>
        <w:spacing w:line="360" w:lineRule="auto"/>
        <w:ind w:right="640"/>
        <w:rPr>
          <w:rFonts w:eastAsia="仿宋_GB2312"/>
          <w:sz w:val="32"/>
        </w:rPr>
      </w:pPr>
    </w:p>
    <w:p>
      <w:pPr>
        <w:spacing w:line="640" w:lineRule="exact"/>
        <w:rPr>
          <w:rFonts w:eastAsia="仿宋_GB2312"/>
          <w:sz w:val="32"/>
          <w:szCs w:val="32"/>
        </w:rPr>
      </w:pPr>
      <w:r>
        <w:rPr>
          <w:rFonts w:eastAsia="仿宋_GB2312"/>
          <w:sz w:val="32"/>
          <w:szCs w:val="32"/>
        </w:rPr>
        <w:t>济宁市人民政府国有资产监督管理委员会   济宁市财政局</w:t>
      </w:r>
    </w:p>
    <w:p>
      <w:pPr>
        <w:spacing w:line="640" w:lineRule="exact"/>
        <w:ind w:firstLine="640" w:firstLineChars="200"/>
        <w:rPr>
          <w:rFonts w:eastAsia="仿宋_GB2312"/>
          <w:sz w:val="32"/>
          <w:szCs w:val="32"/>
        </w:rPr>
      </w:pPr>
    </w:p>
    <w:p>
      <w:pPr>
        <w:spacing w:line="640" w:lineRule="exact"/>
        <w:ind w:firstLine="640" w:firstLineChars="200"/>
        <w:rPr>
          <w:rFonts w:eastAsia="仿宋_GB2312"/>
          <w:sz w:val="32"/>
          <w:szCs w:val="32"/>
        </w:rPr>
      </w:pPr>
    </w:p>
    <w:p>
      <w:pPr>
        <w:spacing w:line="640" w:lineRule="exact"/>
        <w:ind w:firstLine="640" w:firstLineChars="200"/>
        <w:rPr>
          <w:rFonts w:eastAsia="仿宋_GB2312"/>
          <w:sz w:val="32"/>
          <w:szCs w:val="32"/>
        </w:rPr>
      </w:pPr>
      <w:r>
        <w:rPr>
          <w:rFonts w:eastAsia="仿宋_GB2312"/>
          <w:sz w:val="32"/>
          <w:szCs w:val="32"/>
        </w:rPr>
        <w:t>济宁市审计局</w:t>
      </w:r>
    </w:p>
    <w:p>
      <w:pPr>
        <w:spacing w:line="640" w:lineRule="exact"/>
        <w:ind w:firstLine="640" w:firstLineChars="200"/>
        <w:rPr>
          <w:rFonts w:eastAsia="仿宋_GB2312"/>
          <w:sz w:val="32"/>
          <w:szCs w:val="32"/>
        </w:rPr>
      </w:pPr>
    </w:p>
    <w:p>
      <w:pPr>
        <w:spacing w:line="640" w:lineRule="exact"/>
        <w:ind w:firstLine="640" w:firstLineChars="200"/>
        <w:rPr>
          <w:rFonts w:eastAsia="仿宋_GB2312"/>
          <w:sz w:val="32"/>
          <w:szCs w:val="32"/>
        </w:rPr>
      </w:pPr>
    </w:p>
    <w:p>
      <w:pPr>
        <w:spacing w:line="600" w:lineRule="exact"/>
        <w:ind w:right="840" w:rightChars="400"/>
        <w:jc w:val="right"/>
        <w:rPr>
          <w:rFonts w:eastAsia="仿宋_GB2312"/>
          <w:sz w:val="32"/>
          <w:szCs w:val="32"/>
        </w:rPr>
      </w:pPr>
      <w:r>
        <w:rPr>
          <w:rFonts w:eastAsia="仿宋_GB2312"/>
          <w:sz w:val="32"/>
          <w:szCs w:val="32"/>
        </w:rPr>
        <w:t>2022年7月29日</w:t>
      </w:r>
    </w:p>
    <w:p>
      <w:pPr>
        <w:spacing w:line="360" w:lineRule="auto"/>
        <w:ind w:right="640"/>
        <w:rPr>
          <w:rFonts w:hint="default" w:eastAsia="仿宋_GB2312"/>
          <w:sz w:val="32"/>
          <w:lang w:val="en-US" w:eastAsia="zh-CN"/>
        </w:rPr>
      </w:pPr>
      <w:r>
        <w:rPr>
          <w:rFonts w:hint="eastAsia" w:eastAsia="仿宋_GB2312"/>
          <w:sz w:val="32"/>
          <w:lang w:val="en-US" w:eastAsia="zh-CN"/>
        </w:rPr>
        <w:t xml:space="preserve">    （此件公开发布）</w:t>
      </w: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bookmarkStart w:id="0" w:name="_GoBack"/>
      <w:bookmarkEnd w:id="0"/>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640" w:lineRule="exact"/>
        <w:jc w:val="center"/>
        <w:rPr>
          <w:rFonts w:eastAsia="方正小标宋简体"/>
          <w:bCs/>
          <w:kern w:val="0"/>
          <w:sz w:val="44"/>
          <w:szCs w:val="44"/>
        </w:rPr>
      </w:pPr>
      <w:r>
        <w:rPr>
          <w:rFonts w:eastAsia="方正小标宋简体"/>
          <w:bCs/>
          <w:kern w:val="0"/>
          <w:sz w:val="44"/>
          <w:szCs w:val="44"/>
        </w:rPr>
        <w:t>济宁市市属企业高风险业务管控暂行办法</w:t>
      </w:r>
    </w:p>
    <w:p>
      <w:pPr>
        <w:spacing w:line="640" w:lineRule="exact"/>
        <w:jc w:val="center"/>
        <w:rPr>
          <w:rFonts w:eastAsia="仿宋_GB2312"/>
          <w:kern w:val="0"/>
          <w:sz w:val="30"/>
          <w:szCs w:val="30"/>
        </w:rPr>
      </w:pPr>
    </w:p>
    <w:p>
      <w:pPr>
        <w:spacing w:line="600" w:lineRule="exact"/>
        <w:ind w:firstLine="600" w:firstLineChars="200"/>
        <w:rPr>
          <w:rFonts w:eastAsia="仿宋_GB2312"/>
          <w:sz w:val="32"/>
          <w:szCs w:val="32"/>
        </w:rPr>
      </w:pPr>
      <w:r>
        <w:rPr>
          <w:rFonts w:eastAsia="黑体"/>
          <w:bCs/>
          <w:kern w:val="0"/>
          <w:sz w:val="30"/>
          <w:szCs w:val="30"/>
        </w:rPr>
        <w:t>第一条</w:t>
      </w:r>
      <w:r>
        <w:rPr>
          <w:rFonts w:eastAsia="仿宋_GB2312"/>
          <w:sz w:val="32"/>
          <w:szCs w:val="32"/>
        </w:rPr>
        <w:t>为加强高风险业务监督管理</w:t>
      </w:r>
      <w:r>
        <w:rPr>
          <w:rFonts w:hint="eastAsia" w:eastAsia="仿宋_GB2312"/>
          <w:sz w:val="32"/>
          <w:szCs w:val="32"/>
        </w:rPr>
        <w:t>，</w:t>
      </w:r>
      <w:r>
        <w:rPr>
          <w:rFonts w:eastAsia="仿宋_GB2312"/>
          <w:sz w:val="32"/>
          <w:szCs w:val="32"/>
        </w:rPr>
        <w:t>防范财务风险，防止国有资产损失，根据《中华人民共和国企业国有资产法》《企业国有资产监督管理暂行条例》《山东省企业国有资产监督管理条例》《山东省省属企业高风险业务管控暂行办法》等相关法律、法规、规定，结合市属企业实际</w:t>
      </w:r>
      <w:r>
        <w:rPr>
          <w:rFonts w:hint="eastAsia" w:eastAsia="仿宋_GB2312"/>
          <w:sz w:val="32"/>
          <w:szCs w:val="32"/>
        </w:rPr>
        <w:t>，</w:t>
      </w:r>
      <w:r>
        <w:rPr>
          <w:rFonts w:eastAsia="仿宋_GB2312"/>
          <w:sz w:val="32"/>
          <w:szCs w:val="32"/>
        </w:rPr>
        <w:t>制定本办法。</w:t>
      </w:r>
    </w:p>
    <w:p>
      <w:pPr>
        <w:spacing w:line="600" w:lineRule="exact"/>
        <w:ind w:firstLine="600" w:firstLineChars="200"/>
        <w:rPr>
          <w:rFonts w:eastAsia="仿宋_GB2312"/>
          <w:sz w:val="32"/>
          <w:szCs w:val="32"/>
        </w:rPr>
      </w:pPr>
      <w:r>
        <w:rPr>
          <w:rFonts w:eastAsia="黑体"/>
          <w:bCs/>
          <w:kern w:val="0"/>
          <w:sz w:val="30"/>
          <w:szCs w:val="30"/>
        </w:rPr>
        <w:t>第二条</w:t>
      </w:r>
      <w:r>
        <w:rPr>
          <w:rFonts w:eastAsia="仿宋_GB2312"/>
          <w:sz w:val="32"/>
          <w:szCs w:val="32"/>
        </w:rPr>
        <w:t xml:space="preserve">  本办法适用于济宁市市属国有企业及其权属各级全资、控股、控制企业。</w:t>
      </w:r>
    </w:p>
    <w:p>
      <w:pPr>
        <w:spacing w:line="600" w:lineRule="exact"/>
        <w:ind w:firstLine="600" w:firstLineChars="200"/>
        <w:rPr>
          <w:rFonts w:eastAsia="仿宋_GB2312"/>
          <w:sz w:val="32"/>
          <w:szCs w:val="32"/>
        </w:rPr>
      </w:pPr>
      <w:r>
        <w:rPr>
          <w:rFonts w:eastAsia="黑体"/>
          <w:bCs/>
          <w:kern w:val="0"/>
          <w:sz w:val="30"/>
          <w:szCs w:val="30"/>
        </w:rPr>
        <w:t>第三条</w:t>
      </w:r>
      <w:r>
        <w:rPr>
          <w:rFonts w:eastAsia="仿宋_GB2312"/>
          <w:sz w:val="32"/>
          <w:szCs w:val="32"/>
        </w:rPr>
        <w:t xml:space="preserve">  本办法所称高风险业务包括：股票</w:t>
      </w:r>
      <w:r>
        <w:rPr>
          <w:rFonts w:hint="eastAsia" w:eastAsia="仿宋_GB2312"/>
          <w:sz w:val="32"/>
          <w:szCs w:val="32"/>
        </w:rPr>
        <w:t>（</w:t>
      </w:r>
      <w:r>
        <w:rPr>
          <w:rFonts w:eastAsia="仿宋_GB2312"/>
          <w:sz w:val="32"/>
          <w:szCs w:val="32"/>
        </w:rPr>
        <w:t>短期持有且以赚取二级市场股票差价为目的</w:t>
      </w:r>
      <w:r>
        <w:rPr>
          <w:rFonts w:hint="eastAsia" w:eastAsia="仿宋_GB2312"/>
          <w:sz w:val="32"/>
          <w:szCs w:val="32"/>
        </w:rPr>
        <w:t>）</w:t>
      </w:r>
      <w:r>
        <w:rPr>
          <w:rFonts w:eastAsia="仿宋_GB2312"/>
          <w:sz w:val="32"/>
          <w:szCs w:val="32"/>
        </w:rPr>
        <w:t>、基金</w:t>
      </w:r>
      <w:r>
        <w:rPr>
          <w:rFonts w:hint="eastAsia" w:eastAsia="仿宋_GB2312"/>
          <w:sz w:val="32"/>
          <w:szCs w:val="32"/>
        </w:rPr>
        <w:t>（</w:t>
      </w:r>
      <w:r>
        <w:rPr>
          <w:rFonts w:eastAsia="仿宋_GB2312"/>
          <w:sz w:val="32"/>
          <w:szCs w:val="32"/>
        </w:rPr>
        <w:t>短期持有且以赚取二级市场基金差价为目的</w:t>
      </w:r>
      <w:r>
        <w:rPr>
          <w:rFonts w:hint="eastAsia" w:eastAsia="仿宋_GB2312"/>
          <w:sz w:val="32"/>
          <w:szCs w:val="32"/>
        </w:rPr>
        <w:t>），</w:t>
      </w:r>
      <w:r>
        <w:rPr>
          <w:rFonts w:eastAsia="仿宋_GB2312"/>
          <w:sz w:val="32"/>
          <w:szCs w:val="32"/>
        </w:rPr>
        <w:t>委托理财、委托贷</w:t>
      </w:r>
      <w:r>
        <w:rPr>
          <w:rFonts w:hint="eastAsia" w:eastAsia="仿宋_GB2312"/>
          <w:sz w:val="32"/>
          <w:szCs w:val="32"/>
        </w:rPr>
        <w:t>（</w:t>
      </w:r>
      <w:r>
        <w:rPr>
          <w:rFonts w:eastAsia="仿宋_GB2312"/>
          <w:sz w:val="32"/>
          <w:szCs w:val="32"/>
        </w:rPr>
        <w:t>借</w:t>
      </w:r>
      <w:r>
        <w:rPr>
          <w:rFonts w:hint="eastAsia" w:eastAsia="仿宋_GB2312"/>
          <w:sz w:val="32"/>
          <w:szCs w:val="32"/>
        </w:rPr>
        <w:t>）</w:t>
      </w:r>
      <w:r>
        <w:rPr>
          <w:rFonts w:eastAsia="仿宋_GB2312"/>
          <w:sz w:val="32"/>
          <w:szCs w:val="32"/>
        </w:rPr>
        <w:t>款（出借资金）、债券投资（国债及政府债券除外），金融衍生业务（包括商品类、货币类衍生业务），大宗贸易，出租方的售后回购（租）业务。</w:t>
      </w:r>
    </w:p>
    <w:p>
      <w:pPr>
        <w:spacing w:line="600" w:lineRule="exact"/>
        <w:ind w:firstLine="600" w:firstLineChars="200"/>
        <w:rPr>
          <w:rFonts w:eastAsia="仿宋_GB2312"/>
          <w:sz w:val="32"/>
          <w:szCs w:val="32"/>
        </w:rPr>
      </w:pPr>
      <w:r>
        <w:rPr>
          <w:rFonts w:eastAsia="黑体"/>
          <w:bCs/>
          <w:kern w:val="0"/>
          <w:sz w:val="30"/>
          <w:szCs w:val="30"/>
        </w:rPr>
        <w:t>第四条</w:t>
      </w:r>
      <w:r>
        <w:rPr>
          <w:rFonts w:eastAsia="仿宋_GB2312"/>
          <w:sz w:val="32"/>
          <w:szCs w:val="32"/>
        </w:rPr>
        <w:t xml:space="preserve">  市属企业开展高风险业务，必须守住不发生系统性风险的底线，坚持“聚焦主业、分类管控、程序规范、风险可控、效益并重”的原则。</w:t>
      </w:r>
    </w:p>
    <w:p>
      <w:pPr>
        <w:spacing w:line="600" w:lineRule="exact"/>
        <w:ind w:firstLine="640" w:firstLineChars="200"/>
        <w:rPr>
          <w:rFonts w:eastAsia="仿宋_GB2312"/>
          <w:sz w:val="32"/>
          <w:szCs w:val="32"/>
        </w:rPr>
      </w:pPr>
      <w:r>
        <w:rPr>
          <w:rFonts w:eastAsia="黑体"/>
          <w:sz w:val="32"/>
          <w:szCs w:val="32"/>
        </w:rPr>
        <w:t>第五条</w:t>
      </w:r>
      <w:r>
        <w:rPr>
          <w:rFonts w:eastAsia="仿宋_GB2312"/>
          <w:sz w:val="32"/>
          <w:szCs w:val="32"/>
        </w:rPr>
        <w:t xml:space="preserve">  市属企业开展高风险业务实行分类管控。</w:t>
      </w:r>
    </w:p>
    <w:p>
      <w:pPr>
        <w:spacing w:line="600" w:lineRule="exact"/>
        <w:ind w:firstLine="640" w:firstLineChars="200"/>
        <w:rPr>
          <w:rFonts w:eastAsia="仿宋_GB2312"/>
          <w:sz w:val="32"/>
          <w:szCs w:val="32"/>
        </w:rPr>
      </w:pPr>
      <w:r>
        <w:rPr>
          <w:rFonts w:eastAsia="仿宋_GB2312"/>
          <w:sz w:val="32"/>
          <w:szCs w:val="32"/>
        </w:rPr>
        <w:t>（一）市属企业及其子企业中的金融机构（包括商业银行、证券公司、基金管理公司、期货公司、保险公司、信托公司、财务公司等）以及其他类金融机构（包括融资租赁公司、小额贷款公司、担保公司、保理公司等），按照所属行业金融监管部门的要求，在监管部门核准的业务许可范围内开展高风险业务。</w:t>
      </w:r>
    </w:p>
    <w:p>
      <w:pPr>
        <w:spacing w:line="600" w:lineRule="exact"/>
        <w:ind w:firstLine="640" w:firstLineChars="200"/>
        <w:rPr>
          <w:rFonts w:eastAsia="仿宋_GB2312"/>
          <w:sz w:val="32"/>
          <w:szCs w:val="32"/>
        </w:rPr>
      </w:pPr>
      <w:r>
        <w:rPr>
          <w:rFonts w:eastAsia="仿宋_GB2312"/>
          <w:sz w:val="32"/>
          <w:szCs w:val="32"/>
        </w:rPr>
        <w:t>（二）市属企业以投资与资产管理为主业的，在主业范围内按国家有关规定开展高风险业务。</w:t>
      </w:r>
    </w:p>
    <w:p>
      <w:pPr>
        <w:spacing w:line="600" w:lineRule="exact"/>
        <w:ind w:firstLine="640" w:firstLineChars="200"/>
        <w:rPr>
          <w:rFonts w:eastAsia="仿宋_GB2312"/>
          <w:sz w:val="32"/>
          <w:szCs w:val="32"/>
        </w:rPr>
      </w:pPr>
      <w:r>
        <w:rPr>
          <w:rFonts w:eastAsia="仿宋_GB2312"/>
          <w:sz w:val="32"/>
          <w:szCs w:val="32"/>
        </w:rPr>
        <w:t>（三）其他市属企业及其子企业开展高风险业务实行严格管控。</w:t>
      </w:r>
    </w:p>
    <w:p>
      <w:pPr>
        <w:spacing w:line="600" w:lineRule="exact"/>
        <w:ind w:firstLine="640" w:firstLineChars="200"/>
        <w:rPr>
          <w:rFonts w:eastAsia="仿宋_GB2312"/>
          <w:sz w:val="32"/>
          <w:szCs w:val="32"/>
        </w:rPr>
      </w:pPr>
      <w:r>
        <w:rPr>
          <w:rFonts w:eastAsia="仿宋_GB2312"/>
          <w:sz w:val="32"/>
          <w:szCs w:val="32"/>
        </w:rPr>
        <w:t>1.股票、基金：市属企业及其子企业增持所属上市公司股份、股份回购或减持、配股、参与国有或战略投资控股上市公司定向增发股份业务</w:t>
      </w:r>
      <w:r>
        <w:rPr>
          <w:rFonts w:hint="eastAsia" w:eastAsia="仿宋_GB2312"/>
          <w:sz w:val="32"/>
          <w:szCs w:val="32"/>
        </w:rPr>
        <w:t>，</w:t>
      </w:r>
      <w:r>
        <w:rPr>
          <w:rFonts w:eastAsia="仿宋_GB2312"/>
          <w:sz w:val="32"/>
          <w:szCs w:val="32"/>
        </w:rPr>
        <w:t>以及根据企业发展战略及规划参与与本企业主业有关且业务协同的上市公司增发股权及并购其他上市公司股票（借壳上市）等股权类股票投资业务按国家有关规定和济宁市市属企业投资管理相关政策规定进行。原则上不得从事以赚取二级市场差价为目的的非股权投资性质的股票、基金投资及交易业务。原则上不再设立或参股与主业无关的基金，参与省委、省政府、市委、市政府改革专项工作设立的基金除外。</w:t>
      </w:r>
    </w:p>
    <w:p>
      <w:pPr>
        <w:spacing w:line="600" w:lineRule="exact"/>
        <w:ind w:firstLine="640" w:firstLineChars="200"/>
        <w:rPr>
          <w:rFonts w:eastAsia="仿宋_GB2312"/>
          <w:sz w:val="32"/>
          <w:szCs w:val="32"/>
        </w:rPr>
      </w:pPr>
      <w:r>
        <w:rPr>
          <w:rFonts w:eastAsia="仿宋_GB2312"/>
          <w:sz w:val="32"/>
          <w:szCs w:val="32"/>
        </w:rPr>
        <w:t>2.委托理财、委托贷</w:t>
      </w:r>
      <w:r>
        <w:rPr>
          <w:rFonts w:hint="eastAsia" w:eastAsia="仿宋_GB2312"/>
          <w:sz w:val="32"/>
          <w:szCs w:val="32"/>
        </w:rPr>
        <w:t>（</w:t>
      </w:r>
      <w:r>
        <w:rPr>
          <w:rFonts w:eastAsia="仿宋_GB2312"/>
          <w:sz w:val="32"/>
          <w:szCs w:val="32"/>
        </w:rPr>
        <w:t>借</w:t>
      </w:r>
      <w:r>
        <w:rPr>
          <w:rFonts w:hint="eastAsia" w:eastAsia="仿宋_GB2312"/>
          <w:sz w:val="32"/>
          <w:szCs w:val="32"/>
        </w:rPr>
        <w:t>）</w:t>
      </w:r>
      <w:r>
        <w:rPr>
          <w:rFonts w:eastAsia="仿宋_GB2312"/>
          <w:sz w:val="32"/>
          <w:szCs w:val="32"/>
        </w:rPr>
        <w:t>款、债券：市属企业及其子企业的临时闲置资金可以购置本金保本型存款和固定收益凭证，可以按同股、同权、同责和市场化原则通过财务公司、集团共享中心、结算中心等向所属全资、控股、控制企业委托贷</w:t>
      </w:r>
      <w:r>
        <w:rPr>
          <w:rFonts w:hint="eastAsia" w:eastAsia="仿宋_GB2312"/>
          <w:sz w:val="32"/>
          <w:szCs w:val="32"/>
        </w:rPr>
        <w:t>（</w:t>
      </w:r>
      <w:r>
        <w:rPr>
          <w:rFonts w:eastAsia="仿宋_GB2312"/>
          <w:sz w:val="32"/>
          <w:szCs w:val="32"/>
        </w:rPr>
        <w:t>借</w:t>
      </w:r>
      <w:r>
        <w:rPr>
          <w:rFonts w:hint="eastAsia" w:eastAsia="仿宋_GB2312"/>
          <w:sz w:val="32"/>
          <w:szCs w:val="32"/>
        </w:rPr>
        <w:t>）</w:t>
      </w:r>
      <w:r>
        <w:rPr>
          <w:rFonts w:eastAsia="仿宋_GB2312"/>
          <w:sz w:val="32"/>
          <w:szCs w:val="32"/>
        </w:rPr>
        <w:t>款（出借资金），并履行内部审批和担保等程序。原则上不得从事委托理财、购买债券</w:t>
      </w:r>
      <w:r>
        <w:rPr>
          <w:rFonts w:hint="eastAsia" w:eastAsia="仿宋_GB2312"/>
          <w:sz w:val="32"/>
          <w:szCs w:val="32"/>
        </w:rPr>
        <w:t>（</w:t>
      </w:r>
      <w:r>
        <w:rPr>
          <w:rFonts w:eastAsia="仿宋_GB2312"/>
          <w:sz w:val="32"/>
          <w:szCs w:val="32"/>
        </w:rPr>
        <w:t>国债、政府债券除外</w:t>
      </w:r>
      <w:r>
        <w:rPr>
          <w:rFonts w:hint="eastAsia" w:eastAsia="仿宋_GB2312"/>
          <w:sz w:val="32"/>
          <w:szCs w:val="32"/>
        </w:rPr>
        <w:t>）</w:t>
      </w:r>
      <w:r>
        <w:rPr>
          <w:rFonts w:eastAsia="仿宋_GB2312"/>
          <w:sz w:val="32"/>
          <w:szCs w:val="32"/>
        </w:rPr>
        <w:t>等业务。不得以质押、担保、信托以及固定收益等方式变相向金融类的子企业、非控制企业（未纳入合并范围的参股企业，包括混改后的非控制企业）以及无股权关系企业贷</w:t>
      </w:r>
      <w:r>
        <w:rPr>
          <w:rFonts w:hint="eastAsia" w:eastAsia="仿宋_GB2312"/>
          <w:sz w:val="32"/>
          <w:szCs w:val="32"/>
        </w:rPr>
        <w:t>（</w:t>
      </w:r>
      <w:r>
        <w:rPr>
          <w:rFonts w:eastAsia="仿宋_GB2312"/>
          <w:sz w:val="32"/>
          <w:szCs w:val="32"/>
        </w:rPr>
        <w:t>借</w:t>
      </w:r>
      <w:r>
        <w:rPr>
          <w:rFonts w:hint="eastAsia" w:eastAsia="仿宋_GB2312"/>
          <w:sz w:val="32"/>
          <w:szCs w:val="32"/>
        </w:rPr>
        <w:t>）</w:t>
      </w:r>
      <w:r>
        <w:rPr>
          <w:rFonts w:eastAsia="仿宋_GB2312"/>
          <w:sz w:val="32"/>
          <w:szCs w:val="32"/>
        </w:rPr>
        <w:t>款。</w:t>
      </w:r>
    </w:p>
    <w:p>
      <w:pPr>
        <w:spacing w:line="600" w:lineRule="exact"/>
        <w:ind w:firstLine="640" w:firstLineChars="200"/>
        <w:rPr>
          <w:rFonts w:eastAsia="仿宋_GB2312"/>
          <w:sz w:val="32"/>
          <w:szCs w:val="32"/>
        </w:rPr>
      </w:pPr>
      <w:r>
        <w:rPr>
          <w:rFonts w:eastAsia="仿宋_GB2312"/>
          <w:sz w:val="32"/>
          <w:szCs w:val="32"/>
        </w:rPr>
        <w:t>3.金融衍生业务包括商品类衍生业务（以商品为标的资产的金融衍生业务，如大宗商品期货、期权等）和货币类衍生业务（以货币和利率为标的资产的金融衍生业务，如期货、期权、远期合约、掉期等）：市属企业及其子企业可以开展与主业经营相关、以对冲现货市场风险为目的的套期保值业务，开展套期保值交易的品种、额度、方向、期限要与现货相匹配，合理控制金融衍生产品风险敞口，不得盲目从事长期业务或展期。不得开展或变相开展投机性金融衍生品业务和套利交易。</w:t>
      </w:r>
    </w:p>
    <w:p>
      <w:pPr>
        <w:spacing w:line="600" w:lineRule="exact"/>
        <w:ind w:firstLine="640" w:firstLineChars="200"/>
        <w:rPr>
          <w:rFonts w:eastAsia="仿宋_GB2312"/>
          <w:sz w:val="32"/>
          <w:szCs w:val="32"/>
        </w:rPr>
      </w:pPr>
      <w:r>
        <w:rPr>
          <w:rFonts w:eastAsia="仿宋_GB2312"/>
          <w:sz w:val="32"/>
          <w:szCs w:val="32"/>
        </w:rPr>
        <w:t>4.大宗贸易：市属企业及其子企业可以从事与主业有关产品、原材料的大宗贸易，原则上不得开展与主业无关的大宗商品贸易；不得开展无真实货物交易，无商品实物、无货权流转或原地转库的“空转”贸易，以及名为贸易实为对外提供资金的融资性贸易业务。</w:t>
      </w:r>
    </w:p>
    <w:p>
      <w:pPr>
        <w:spacing w:line="600" w:lineRule="exact"/>
        <w:ind w:firstLine="640" w:firstLineChars="200"/>
        <w:rPr>
          <w:rFonts w:eastAsia="仿宋_GB2312"/>
          <w:sz w:val="32"/>
          <w:szCs w:val="32"/>
        </w:rPr>
      </w:pPr>
      <w:r>
        <w:rPr>
          <w:rFonts w:eastAsia="仿宋_GB2312"/>
          <w:sz w:val="32"/>
          <w:szCs w:val="32"/>
        </w:rPr>
        <w:t>5.市属企业及其子企业不得开展高于同期银行贷款利率的内部有偿集资（包括职工信托融资项目）等融资业务，审慎开展债转股、“永续债”、基金定投、信托计划、明股实债等融资业务，审慎开展出租方产品售后回购（租）业务。</w:t>
      </w:r>
    </w:p>
    <w:p>
      <w:pPr>
        <w:spacing w:line="600" w:lineRule="exact"/>
        <w:ind w:firstLine="640" w:firstLineChars="200"/>
        <w:rPr>
          <w:rFonts w:eastAsia="仿宋_GB2312"/>
          <w:sz w:val="32"/>
          <w:szCs w:val="32"/>
        </w:rPr>
      </w:pPr>
      <w:r>
        <w:rPr>
          <w:rFonts w:eastAsia="黑体"/>
          <w:sz w:val="32"/>
          <w:szCs w:val="32"/>
        </w:rPr>
        <w:t>第六条</w:t>
      </w:r>
      <w:r>
        <w:rPr>
          <w:rFonts w:eastAsia="仿宋_GB2312"/>
          <w:sz w:val="32"/>
          <w:szCs w:val="32"/>
        </w:rPr>
        <w:t xml:space="preserve">  市属企业董事会对本企业及子企业的高风险业务管理承担主体责任，履行以下管理职责：</w:t>
      </w:r>
    </w:p>
    <w:p>
      <w:pPr>
        <w:spacing w:line="600" w:lineRule="exact"/>
        <w:ind w:firstLine="640" w:firstLineChars="200"/>
        <w:rPr>
          <w:rFonts w:eastAsia="仿宋_GB2312"/>
          <w:sz w:val="32"/>
          <w:szCs w:val="32"/>
        </w:rPr>
      </w:pPr>
      <w:r>
        <w:rPr>
          <w:rFonts w:eastAsia="仿宋_GB2312"/>
          <w:sz w:val="32"/>
          <w:szCs w:val="32"/>
        </w:rPr>
        <w:t>（一）建立本企业高风险业务管理制度，明确高风险业务的管理部门和风险控制部门，明确高风险业务决策程序、决策机构及其职责，并根据各类高风险业务的特点，制定高风险事项应急处理预案；</w:t>
      </w:r>
    </w:p>
    <w:p>
      <w:pPr>
        <w:spacing w:line="600" w:lineRule="exact"/>
        <w:ind w:firstLine="640" w:firstLineChars="200"/>
        <w:rPr>
          <w:rFonts w:eastAsia="仿宋_GB2312"/>
          <w:sz w:val="32"/>
          <w:szCs w:val="32"/>
        </w:rPr>
      </w:pPr>
      <w:r>
        <w:rPr>
          <w:rFonts w:eastAsia="仿宋_GB2312"/>
          <w:sz w:val="32"/>
          <w:szCs w:val="32"/>
        </w:rPr>
        <w:t>（二）对所属子企业的高风险业务负有日常监督责任，督促完善决策程序及授权机制，明确业务风险管控、财务资金监测、法律风险评估等责任主体，加强纪检、审计日常监督检查力度，及时发现并排除风险隐患；</w:t>
      </w:r>
    </w:p>
    <w:p>
      <w:pPr>
        <w:spacing w:line="600" w:lineRule="exact"/>
        <w:ind w:firstLine="640" w:firstLineChars="200"/>
        <w:rPr>
          <w:rFonts w:eastAsia="仿宋_GB2312"/>
          <w:sz w:val="32"/>
          <w:szCs w:val="32"/>
        </w:rPr>
      </w:pPr>
      <w:r>
        <w:rPr>
          <w:rFonts w:eastAsia="仿宋_GB2312"/>
          <w:sz w:val="32"/>
          <w:szCs w:val="32"/>
        </w:rPr>
        <w:t>（三）建立高风险业务内部报告制度，风险控制部门会同财务部门、投资管理部门等涉及高风险业务的相关部门按季梳理高风险业务情况并形成报告，及时向企业负责人报告交易、结算、资金使用及浮动盈亏等情况。</w:t>
      </w:r>
    </w:p>
    <w:p>
      <w:pPr>
        <w:spacing w:line="600" w:lineRule="exact"/>
        <w:ind w:firstLine="640" w:firstLineChars="200"/>
        <w:rPr>
          <w:rFonts w:eastAsia="仿宋_GB2312"/>
          <w:sz w:val="32"/>
          <w:szCs w:val="32"/>
        </w:rPr>
      </w:pPr>
      <w:r>
        <w:rPr>
          <w:rFonts w:eastAsia="仿宋_GB2312"/>
          <w:sz w:val="32"/>
          <w:szCs w:val="32"/>
        </w:rPr>
        <w:t>（四）其他按有关规定应履行的管理职责。</w:t>
      </w:r>
    </w:p>
    <w:p>
      <w:pPr>
        <w:spacing w:line="600" w:lineRule="exact"/>
        <w:ind w:firstLine="640" w:firstLineChars="200"/>
        <w:rPr>
          <w:rFonts w:eastAsia="仿宋_GB2312"/>
          <w:sz w:val="32"/>
          <w:szCs w:val="32"/>
        </w:rPr>
      </w:pPr>
      <w:r>
        <w:rPr>
          <w:rFonts w:eastAsia="黑体"/>
          <w:sz w:val="32"/>
          <w:szCs w:val="32"/>
        </w:rPr>
        <w:t>第七条</w:t>
      </w:r>
      <w:r>
        <w:rPr>
          <w:rFonts w:eastAsia="仿宋_GB2312"/>
          <w:sz w:val="32"/>
          <w:szCs w:val="32"/>
        </w:rPr>
        <w:t xml:space="preserve">  市属企业应在年度终了2个月内，随同财务决算填报高风险业务情况统计表，并对全年高风险业务开展情况和风险管理制度执行情况进行总结</w:t>
      </w:r>
      <w:r>
        <w:rPr>
          <w:rFonts w:hint="eastAsia" w:eastAsia="仿宋_GB2312"/>
          <w:sz w:val="32"/>
          <w:szCs w:val="32"/>
        </w:rPr>
        <w:t>，</w:t>
      </w:r>
      <w:r>
        <w:rPr>
          <w:rFonts w:eastAsia="仿宋_GB2312"/>
          <w:sz w:val="32"/>
          <w:szCs w:val="32"/>
        </w:rPr>
        <w:t>并形成详实的报告报履行出资人职责的机构、部门（以下简称履行出资人职责的机构）。报告的主要内容有：高风险业务开展情况、业务类型、投资（投入）成本、当年浮盈</w:t>
      </w:r>
      <w:r>
        <w:rPr>
          <w:rFonts w:hint="eastAsia" w:eastAsia="仿宋_GB2312"/>
          <w:sz w:val="32"/>
          <w:szCs w:val="32"/>
        </w:rPr>
        <w:t>（</w:t>
      </w:r>
      <w:r>
        <w:rPr>
          <w:rFonts w:eastAsia="仿宋_GB2312"/>
          <w:sz w:val="32"/>
          <w:szCs w:val="32"/>
        </w:rPr>
        <w:t>浮亏</w:t>
      </w:r>
      <w:r>
        <w:rPr>
          <w:rFonts w:hint="eastAsia" w:eastAsia="仿宋_GB2312"/>
          <w:sz w:val="32"/>
          <w:szCs w:val="32"/>
        </w:rPr>
        <w:t>）</w:t>
      </w:r>
      <w:r>
        <w:rPr>
          <w:rFonts w:eastAsia="仿宋_GB2312"/>
          <w:sz w:val="32"/>
          <w:szCs w:val="32"/>
        </w:rPr>
        <w:t>或确认收益、实际收到分红或投资收益、投资收益水平、日常检查发现的问题及整改情况、其他重大事项等情况。</w:t>
      </w:r>
    </w:p>
    <w:p>
      <w:pPr>
        <w:spacing w:line="600" w:lineRule="exact"/>
        <w:ind w:firstLine="640" w:firstLineChars="200"/>
        <w:rPr>
          <w:rFonts w:eastAsia="仿宋_GB2312"/>
          <w:sz w:val="32"/>
          <w:szCs w:val="32"/>
        </w:rPr>
      </w:pPr>
      <w:r>
        <w:rPr>
          <w:rFonts w:eastAsia="黑体"/>
          <w:sz w:val="32"/>
          <w:szCs w:val="32"/>
        </w:rPr>
        <w:t xml:space="preserve">第八条 </w:t>
      </w:r>
      <w:r>
        <w:rPr>
          <w:rFonts w:eastAsia="仿宋_GB2312"/>
          <w:sz w:val="32"/>
          <w:szCs w:val="32"/>
        </w:rPr>
        <w:t xml:space="preserve"> 市属企业及其子企业从事股票等高风险业务的，每年1月31日前，列出本年度拟开展高风险业务企业名单和高风险业务范围（包括品种及资金占用规模等），本年度高风险业务规划及有关事项的说明，连同董事会决议、财务总监或财务负责人出具的书面意见、其它有关资料报送履行出资人职责的机构。</w:t>
      </w:r>
    </w:p>
    <w:p>
      <w:pPr>
        <w:spacing w:line="600" w:lineRule="exact"/>
        <w:ind w:firstLine="640" w:firstLineChars="200"/>
        <w:rPr>
          <w:rFonts w:eastAsia="仿宋_GB2312"/>
          <w:sz w:val="32"/>
          <w:szCs w:val="32"/>
        </w:rPr>
      </w:pPr>
      <w:r>
        <w:rPr>
          <w:rFonts w:eastAsia="黑体"/>
          <w:sz w:val="32"/>
          <w:szCs w:val="32"/>
        </w:rPr>
        <w:t>第九条</w:t>
      </w:r>
      <w:r>
        <w:rPr>
          <w:rFonts w:eastAsia="仿宋_GB2312"/>
          <w:sz w:val="32"/>
          <w:szCs w:val="32"/>
        </w:rPr>
        <w:t xml:space="preserve">  履行出资人职责的机构对市属企业高风险业务履行以下管理职责：</w:t>
      </w:r>
    </w:p>
    <w:p>
      <w:pPr>
        <w:spacing w:line="600" w:lineRule="exact"/>
        <w:ind w:firstLine="640" w:firstLineChars="200"/>
        <w:rPr>
          <w:rFonts w:eastAsia="仿宋_GB2312"/>
          <w:sz w:val="32"/>
          <w:szCs w:val="32"/>
        </w:rPr>
      </w:pPr>
      <w:r>
        <w:rPr>
          <w:rFonts w:eastAsia="仿宋_GB2312"/>
          <w:sz w:val="32"/>
          <w:szCs w:val="32"/>
        </w:rPr>
        <w:t>（一）按照国家有关法律、法规、规章等规定，制定市属企业高风险业务管理办法；</w:t>
      </w:r>
    </w:p>
    <w:p>
      <w:pPr>
        <w:spacing w:line="600" w:lineRule="exact"/>
        <w:ind w:firstLine="640" w:firstLineChars="200"/>
        <w:rPr>
          <w:rFonts w:eastAsia="仿宋_GB2312"/>
          <w:sz w:val="32"/>
          <w:szCs w:val="32"/>
        </w:rPr>
      </w:pPr>
      <w:r>
        <w:rPr>
          <w:rFonts w:eastAsia="仿宋_GB2312"/>
          <w:sz w:val="32"/>
          <w:szCs w:val="32"/>
        </w:rPr>
        <w:t>（二）指导市属企业建立健全高风险业务管理制度；</w:t>
      </w:r>
    </w:p>
    <w:p>
      <w:pPr>
        <w:spacing w:line="600" w:lineRule="exact"/>
        <w:ind w:firstLine="640" w:firstLineChars="200"/>
        <w:rPr>
          <w:rFonts w:eastAsia="仿宋_GB2312"/>
          <w:sz w:val="32"/>
          <w:szCs w:val="32"/>
        </w:rPr>
      </w:pPr>
      <w:r>
        <w:rPr>
          <w:rFonts w:eastAsia="仿宋_GB2312"/>
          <w:sz w:val="32"/>
          <w:szCs w:val="32"/>
        </w:rPr>
        <w:t>（三）建立市属企业高风险业务年度报告管理制度；</w:t>
      </w:r>
    </w:p>
    <w:p>
      <w:pPr>
        <w:spacing w:line="600" w:lineRule="exact"/>
        <w:ind w:firstLine="640" w:firstLineChars="200"/>
        <w:rPr>
          <w:rFonts w:eastAsia="仿宋_GB2312"/>
          <w:sz w:val="32"/>
          <w:szCs w:val="32"/>
        </w:rPr>
      </w:pPr>
      <w:r>
        <w:rPr>
          <w:rFonts w:eastAsia="仿宋_GB2312"/>
          <w:sz w:val="32"/>
          <w:szCs w:val="32"/>
        </w:rPr>
        <w:t>（四）组织开展对市属企业高风险业务的监督检查；</w:t>
      </w:r>
    </w:p>
    <w:p>
      <w:pPr>
        <w:spacing w:line="600" w:lineRule="exact"/>
        <w:ind w:firstLine="640" w:firstLineChars="200"/>
        <w:rPr>
          <w:rFonts w:eastAsia="仿宋_GB2312"/>
          <w:sz w:val="32"/>
          <w:szCs w:val="32"/>
        </w:rPr>
      </w:pPr>
      <w:r>
        <w:rPr>
          <w:rFonts w:eastAsia="仿宋_GB2312"/>
          <w:sz w:val="32"/>
          <w:szCs w:val="32"/>
        </w:rPr>
        <w:t>（五）指导市属企业完善相关风险防范措施；</w:t>
      </w:r>
    </w:p>
    <w:p>
      <w:pPr>
        <w:spacing w:line="600" w:lineRule="exact"/>
        <w:ind w:firstLine="640" w:firstLineChars="200"/>
        <w:rPr>
          <w:rFonts w:eastAsia="仿宋_GB2312"/>
          <w:sz w:val="32"/>
          <w:szCs w:val="32"/>
        </w:rPr>
      </w:pPr>
      <w:r>
        <w:rPr>
          <w:rFonts w:eastAsia="仿宋_GB2312"/>
          <w:sz w:val="32"/>
          <w:szCs w:val="32"/>
        </w:rPr>
        <w:t>（六）其他按国家法律、法规和规章应履行的管理职责。</w:t>
      </w:r>
    </w:p>
    <w:p>
      <w:pPr>
        <w:spacing w:line="600" w:lineRule="exact"/>
        <w:ind w:firstLine="640" w:firstLineChars="200"/>
        <w:rPr>
          <w:rFonts w:eastAsia="仿宋_GB2312"/>
          <w:sz w:val="32"/>
          <w:szCs w:val="32"/>
        </w:rPr>
      </w:pPr>
      <w:r>
        <w:rPr>
          <w:rFonts w:eastAsia="黑体"/>
          <w:sz w:val="32"/>
          <w:szCs w:val="32"/>
        </w:rPr>
        <w:t xml:space="preserve">第十条 </w:t>
      </w:r>
      <w:r>
        <w:rPr>
          <w:rFonts w:eastAsia="仿宋_GB2312"/>
          <w:sz w:val="32"/>
          <w:szCs w:val="32"/>
        </w:rPr>
        <w:t xml:space="preserve"> 建立履行出资人职责的机构对高风险业务的监督检查全覆盖制度。履行出资人职责的机构通过定期专项检查、随机抽查和年度财务决算审核等方式，对市属企业开展高风险业务的情况进行监督检查。重点检查高风险业务前期研究、决策程序、风险防控措施以及对财务状况的影响等。市审计局对市属企业高风险业务进行审计监督。对审计、检查发现的问题，市属企业应及时整改问责，直至隐患消除。</w:t>
      </w:r>
    </w:p>
    <w:p>
      <w:pPr>
        <w:spacing w:line="600" w:lineRule="exact"/>
        <w:ind w:firstLine="640" w:firstLineChars="200"/>
        <w:rPr>
          <w:rFonts w:eastAsia="仿宋_GB2312"/>
          <w:sz w:val="32"/>
          <w:szCs w:val="32"/>
        </w:rPr>
      </w:pPr>
      <w:r>
        <w:rPr>
          <w:rFonts w:eastAsia="黑体"/>
          <w:sz w:val="32"/>
          <w:szCs w:val="32"/>
        </w:rPr>
        <w:t xml:space="preserve">第十一条 </w:t>
      </w:r>
      <w:r>
        <w:rPr>
          <w:rFonts w:eastAsia="仿宋_GB2312"/>
          <w:sz w:val="32"/>
          <w:szCs w:val="32"/>
        </w:rPr>
        <w:t xml:space="preserve"> 市属企业违反法律法规和本办法规定从事高风险业务并造成资产损失或其他严重不良后果的</w:t>
      </w:r>
      <w:r>
        <w:rPr>
          <w:rFonts w:hint="eastAsia" w:eastAsia="仿宋_GB2312"/>
          <w:sz w:val="32"/>
          <w:szCs w:val="32"/>
        </w:rPr>
        <w:t>，</w:t>
      </w:r>
      <w:r>
        <w:rPr>
          <w:rFonts w:eastAsia="仿宋_GB2312"/>
          <w:sz w:val="32"/>
          <w:szCs w:val="32"/>
        </w:rPr>
        <w:t>按照相关规定，追究相关人员责任。</w:t>
      </w:r>
    </w:p>
    <w:p>
      <w:pPr>
        <w:spacing w:line="600" w:lineRule="exact"/>
        <w:ind w:firstLine="640" w:firstLineChars="200"/>
        <w:rPr>
          <w:rFonts w:eastAsia="仿宋_GB2312"/>
          <w:sz w:val="32"/>
          <w:szCs w:val="32"/>
        </w:rPr>
      </w:pPr>
      <w:r>
        <w:rPr>
          <w:rFonts w:eastAsia="黑体"/>
          <w:sz w:val="32"/>
          <w:szCs w:val="32"/>
        </w:rPr>
        <w:t xml:space="preserve">第十二条 </w:t>
      </w:r>
      <w:r>
        <w:rPr>
          <w:rFonts w:eastAsia="仿宋_GB2312"/>
          <w:sz w:val="32"/>
          <w:szCs w:val="32"/>
        </w:rPr>
        <w:t xml:space="preserve"> 本办法由济宁市国资委、济宁市财政局、济宁市审计局负责解释。</w:t>
      </w:r>
    </w:p>
    <w:p>
      <w:pPr>
        <w:spacing w:line="600" w:lineRule="exact"/>
        <w:ind w:firstLine="640" w:firstLineChars="200"/>
        <w:rPr>
          <w:rFonts w:eastAsia="仿宋_GB2312"/>
          <w:sz w:val="32"/>
          <w:szCs w:val="32"/>
        </w:rPr>
      </w:pPr>
      <w:r>
        <w:rPr>
          <w:rFonts w:eastAsia="黑体"/>
          <w:sz w:val="32"/>
          <w:szCs w:val="32"/>
        </w:rPr>
        <w:t xml:space="preserve">第十三条  </w:t>
      </w:r>
      <w:r>
        <w:rPr>
          <w:rFonts w:eastAsia="仿宋_GB2312"/>
          <w:sz w:val="32"/>
          <w:szCs w:val="32"/>
        </w:rPr>
        <w:t>县（市、区）属企业高风险业务管理可参照本办法执行。</w:t>
      </w:r>
    </w:p>
    <w:p>
      <w:pPr>
        <w:spacing w:line="600" w:lineRule="exact"/>
        <w:ind w:firstLine="640" w:firstLineChars="200"/>
        <w:rPr>
          <w:rFonts w:eastAsia="仿宋_GB2312"/>
          <w:sz w:val="28"/>
          <w:szCs w:val="28"/>
        </w:rPr>
      </w:pPr>
      <w:r>
        <w:rPr>
          <w:rFonts w:eastAsia="黑体"/>
          <w:sz w:val="32"/>
          <w:szCs w:val="32"/>
        </w:rPr>
        <w:t xml:space="preserve">第十四条  </w:t>
      </w:r>
      <w:r>
        <w:rPr>
          <w:rFonts w:eastAsia="仿宋_GB2312"/>
          <w:sz w:val="32"/>
          <w:szCs w:val="32"/>
        </w:rPr>
        <w:t>本办法自发布之日起施行，现行企业高风险业务管理规定与本办法不一致的，按照本办法执行。上级履行出资人职责的机构对高风险业务有新要求的，从其规定。</w:t>
      </w: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eastAsia="仿宋_GB2312"/>
          <w:sz w:val="28"/>
          <w:szCs w:val="28"/>
        </w:rPr>
      </w:pPr>
    </w:p>
    <w:p>
      <w:pPr>
        <w:spacing w:line="360" w:lineRule="auto"/>
        <w:ind w:right="640"/>
        <w:rPr>
          <w:rFonts w:hint="eastAsia" w:eastAsia="仿宋_GB2312"/>
          <w:sz w:val="28"/>
          <w:szCs w:val="28"/>
        </w:rPr>
      </w:pPr>
    </w:p>
    <w:p>
      <w:pPr>
        <w:spacing w:line="360" w:lineRule="auto"/>
        <w:ind w:right="640"/>
        <w:rPr>
          <w:rFonts w:eastAsia="仿宋_GB2312"/>
          <w:sz w:val="28"/>
          <w:szCs w:val="28"/>
        </w:rPr>
      </w:pPr>
    </w:p>
    <w:p>
      <w:pPr>
        <w:pBdr>
          <w:top w:val="single" w:color="auto" w:sz="4" w:space="1"/>
          <w:bottom w:val="single" w:color="auto" w:sz="4" w:space="1"/>
        </w:pBdr>
        <w:spacing w:line="600" w:lineRule="exact"/>
        <w:ind w:firstLine="280" w:firstLineChars="100"/>
        <w:rPr>
          <w:rFonts w:eastAsia="仿宋_GB2312"/>
          <w:sz w:val="28"/>
          <w:szCs w:val="28"/>
        </w:rPr>
      </w:pPr>
      <w:r>
        <w:rPr>
          <w:rFonts w:eastAsia="仿宋_GB2312"/>
          <w:sz w:val="28"/>
          <w:szCs w:val="28"/>
        </w:rPr>
        <w:t>济宁市</w:t>
      </w:r>
      <w:r>
        <w:rPr>
          <w:rFonts w:hint="eastAsia" w:eastAsia="仿宋_GB2312"/>
          <w:sz w:val="28"/>
          <w:szCs w:val="28"/>
        </w:rPr>
        <w:t>国资委</w:t>
      </w:r>
      <w:r>
        <w:rPr>
          <w:rFonts w:eastAsia="仿宋_GB2312"/>
          <w:sz w:val="28"/>
          <w:szCs w:val="28"/>
        </w:rPr>
        <w:t xml:space="preserve">办公室     </w:t>
      </w:r>
      <w:r>
        <w:rPr>
          <w:rFonts w:hint="eastAsia" w:eastAsia="仿宋_GB2312"/>
          <w:sz w:val="28"/>
          <w:szCs w:val="28"/>
        </w:rPr>
        <w:t xml:space="preserve">             </w:t>
      </w:r>
      <w:r>
        <w:rPr>
          <w:rFonts w:eastAsia="仿宋_GB2312"/>
          <w:sz w:val="28"/>
          <w:szCs w:val="28"/>
        </w:rPr>
        <w:t xml:space="preserve">2022年7月29日印发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长城大标宋体">
    <w:altName w:val="宋体"/>
    <w:panose1 w:val="00000000000000000000"/>
    <w:charset w:val="80"/>
    <w:family w:val="auto"/>
    <w:pitch w:val="default"/>
    <w:sig w:usb0="00000000" w:usb1="00000000" w:usb2="00000012" w:usb3="00000000" w:csb0="0002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TllM2NlMDYwYTAwOGU4MGIzMmIyNGIxNDBiM2IifQ=="/>
  </w:docVars>
  <w:rsids>
    <w:rsidRoot w:val="009A7463"/>
    <w:rsid w:val="002A0FEF"/>
    <w:rsid w:val="002A2AD9"/>
    <w:rsid w:val="006B06EB"/>
    <w:rsid w:val="007A1033"/>
    <w:rsid w:val="007A7CCA"/>
    <w:rsid w:val="009A7463"/>
    <w:rsid w:val="00A022A0"/>
    <w:rsid w:val="00BD5857"/>
    <w:rsid w:val="00D55F17"/>
    <w:rsid w:val="00DC4855"/>
    <w:rsid w:val="00DD160B"/>
    <w:rsid w:val="00F921E9"/>
    <w:rsid w:val="00FE4176"/>
    <w:rsid w:val="01541EA9"/>
    <w:rsid w:val="01BB7833"/>
    <w:rsid w:val="02670127"/>
    <w:rsid w:val="05D23E7D"/>
    <w:rsid w:val="05E3067C"/>
    <w:rsid w:val="0C105729"/>
    <w:rsid w:val="0C9D7A87"/>
    <w:rsid w:val="0D576499"/>
    <w:rsid w:val="0DF95B46"/>
    <w:rsid w:val="0E250204"/>
    <w:rsid w:val="0E4B1576"/>
    <w:rsid w:val="0F1401B8"/>
    <w:rsid w:val="0F225395"/>
    <w:rsid w:val="0F3A17D8"/>
    <w:rsid w:val="11D54941"/>
    <w:rsid w:val="165B50EA"/>
    <w:rsid w:val="16B05453"/>
    <w:rsid w:val="173F2323"/>
    <w:rsid w:val="189443DA"/>
    <w:rsid w:val="19094ED0"/>
    <w:rsid w:val="19FF69FF"/>
    <w:rsid w:val="1A3C7213"/>
    <w:rsid w:val="1A7D1266"/>
    <w:rsid w:val="1AB313CB"/>
    <w:rsid w:val="1AE454FD"/>
    <w:rsid w:val="1BDE43F2"/>
    <w:rsid w:val="1D48246B"/>
    <w:rsid w:val="227B299A"/>
    <w:rsid w:val="270E2766"/>
    <w:rsid w:val="28F65DC6"/>
    <w:rsid w:val="2936586D"/>
    <w:rsid w:val="294D4EF6"/>
    <w:rsid w:val="2A2562E5"/>
    <w:rsid w:val="2BAC38A0"/>
    <w:rsid w:val="2C435FC9"/>
    <w:rsid w:val="2FA853AB"/>
    <w:rsid w:val="323E0A8E"/>
    <w:rsid w:val="326C0551"/>
    <w:rsid w:val="32C64902"/>
    <w:rsid w:val="33D267D7"/>
    <w:rsid w:val="34741569"/>
    <w:rsid w:val="35D06064"/>
    <w:rsid w:val="35E14DB3"/>
    <w:rsid w:val="361446A5"/>
    <w:rsid w:val="375B6998"/>
    <w:rsid w:val="37E1553E"/>
    <w:rsid w:val="3A5820E6"/>
    <w:rsid w:val="3AE74C19"/>
    <w:rsid w:val="3CBE5C74"/>
    <w:rsid w:val="3D830794"/>
    <w:rsid w:val="3D9B7F3D"/>
    <w:rsid w:val="41546430"/>
    <w:rsid w:val="41EA4FEF"/>
    <w:rsid w:val="44024872"/>
    <w:rsid w:val="445666A3"/>
    <w:rsid w:val="44C16912"/>
    <w:rsid w:val="46BF4C9C"/>
    <w:rsid w:val="47C730F4"/>
    <w:rsid w:val="487B2E45"/>
    <w:rsid w:val="4BE33DD6"/>
    <w:rsid w:val="4CC42B93"/>
    <w:rsid w:val="4D9A561E"/>
    <w:rsid w:val="4F555643"/>
    <w:rsid w:val="515A3F3F"/>
    <w:rsid w:val="51907133"/>
    <w:rsid w:val="53C86B4E"/>
    <w:rsid w:val="577943F2"/>
    <w:rsid w:val="5E3557FA"/>
    <w:rsid w:val="602C4480"/>
    <w:rsid w:val="61137C66"/>
    <w:rsid w:val="62706CDC"/>
    <w:rsid w:val="62F53E6B"/>
    <w:rsid w:val="634A36E8"/>
    <w:rsid w:val="64412D3D"/>
    <w:rsid w:val="644F4FF4"/>
    <w:rsid w:val="66AB175B"/>
    <w:rsid w:val="6B782BF2"/>
    <w:rsid w:val="6D710991"/>
    <w:rsid w:val="6E486E1A"/>
    <w:rsid w:val="6FBE3493"/>
    <w:rsid w:val="701970C5"/>
    <w:rsid w:val="71B24E1A"/>
    <w:rsid w:val="72440D8F"/>
    <w:rsid w:val="73337CF4"/>
    <w:rsid w:val="743F1B6A"/>
    <w:rsid w:val="74E044A9"/>
    <w:rsid w:val="76DF5E92"/>
    <w:rsid w:val="797C62EB"/>
    <w:rsid w:val="7AAD16E9"/>
    <w:rsid w:val="7C3A5825"/>
    <w:rsid w:val="7CDC13DD"/>
    <w:rsid w:val="7DD25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6" w:lineRule="auto"/>
      <w:outlineLvl w:val="0"/>
    </w:pPr>
    <w:rPr>
      <w:rFonts w:ascii="Calibri" w:hAnsi="Calibri"/>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1 Char"/>
    <w:basedOn w:val="6"/>
    <w:link w:val="2"/>
    <w:qFormat/>
    <w:uiPriority w:val="0"/>
    <w:rPr>
      <w:b/>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3017</Words>
  <Characters>3035</Characters>
  <Lines>22</Lines>
  <Paragraphs>6</Paragraphs>
  <TotalTime>0</TotalTime>
  <ScaleCrop>false</ScaleCrop>
  <LinksUpToDate>false</LinksUpToDate>
  <CharactersWithSpaces>3083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2022-07-29T08:35:00Z</dcterms:created>
  <dc:creator>PC</dc:creator>
  <cp:lastModifiedBy>修改栏</cp:lastModifiedBy>
  <cp:lastPrinted>2022-07-29T09:12:00Z</cp:lastPrinted>
  <dcterms:modified xsi:type="dcterms:W3CDTF">2023-01-18T01:23:27Z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DA09683DE5274F01BE91B975B997D0CB</vt:lpwstr>
  </property>
</Properties>
</file>