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right="-100" w:rightChars="-50"/>
        <w:jc w:val="center"/>
        <w:rPr>
          <w:rFonts w:hint="eastAsia" w:ascii="方正小标宋简体" w:eastAsia="方正小标宋简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90" w:lineRule="exact"/>
        <w:ind w:right="-100" w:rightChars="-50"/>
        <w:jc w:val="center"/>
        <w:rPr>
          <w:rFonts w:hint="default" w:ascii="Times New Roman" w:hAnsi="Times New Roman" w:eastAsia="方正小标宋简体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济宁市地方金融监督管理局</w:t>
      </w:r>
      <w:r>
        <w:rPr>
          <w:rFonts w:hint="default" w:ascii="Times New Roman" w:hAnsi="Times New Roman" w:eastAsia="方正小标宋简体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eastAsia="方正小标宋简体" w:cs="Times New Roman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小标宋简体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年政府信息</w:t>
      </w:r>
    </w:p>
    <w:p>
      <w:pPr>
        <w:spacing w:line="590" w:lineRule="exact"/>
        <w:ind w:right="-100" w:rightChars="-50"/>
        <w:jc w:val="center"/>
        <w:rPr>
          <w:rFonts w:hint="default" w:ascii="Times New Roman" w:hAnsi="Times New Roman" w:eastAsia="方正小标宋简体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公开工作年度报告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本报告根据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《中华人民共和国政府信息公开条例》（以下简称《条例》）和《中华人民共和国政府信息公开工作年度报告格式》（国办公开办函〔2021〕30号）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及省、市政府信息公开工作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要求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编制。报告由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总体情况、主动公开政府信息情况、收到和处理政府信息公开申请情况、政府信息公开行政复议和行政诉讼情况、存在的主要问题及改进情况、其他需要报告的事项六部分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组成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。本报告所列数据的统计期限自202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年1月1日起至202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年12月31日止。本报告电子版可在“中国·济宁”政府门户网站（http://www.jining.gov.cn/）查阅或下载。如对本报告有疑问，请与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济宁市地方金融监督管理局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联系（地址：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山东省济宁市太白湖新区省运会指挥中心A-0565室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，联系电话：0537-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2967171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一、总体情况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2022年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地方金融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监督管理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局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严格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按照《条例》和省、市政务公开工作要点的要求，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围绕金融服务高质量发展，坚持以公开为常态、不公开为例外，以公开促规范、促落实、促服务。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（一）完善政府信息</w:t>
      </w: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主动</w:t>
      </w: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公开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紧紧围绕中心工作，突出重点，积极推进政务公开。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2年，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共印发规范性文件1件，并配有</w:t>
      </w:r>
      <w:r>
        <w:rPr>
          <w:rFonts w:hint="eastAsia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图文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解读、</w:t>
      </w:r>
      <w:r>
        <w:rPr>
          <w:rFonts w:hint="eastAsia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媒体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解读等多种形式解读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；更新领导班子成员及工作分工、机构设置及联系方式；按要求公开2021年决算及2022年预算情况。以局门户网站、“济宁地方金融监管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”微信公众号为主阵地发布政务信息，解读金融政策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宣传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防范非法集资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知识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不断提高政策知晓率及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社会公众风险防范意识和识别能力。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全年门户网站发布信息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548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条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其中概况类信息483条，政务动态信息79条，信息公开目录信息65条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；“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济宁地方金融监管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”微信公众号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共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发布信息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137条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0" w:rightChars="-50"/>
        <w:jc w:val="center"/>
        <w:textAlignment w:val="auto"/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76875" cy="3562350"/>
            <wp:effectExtent l="0" t="0" r="9525" b="0"/>
            <wp:docPr id="1" name="图片 1" descr="167499416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49941648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依法规范依申请公开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完善依申请公开办理流程，明确办理规则，提高答复效率。畅通线上、线下申请渠道，完善申请登记、审核、办理、答复归档等办理制度，严格按照规定格式规范答复文书予以书面答复。2022年，市地方金融监管局通过山东政务服务网收到1件依申请公开，与去年数量相比持平，已按要求进行答复，无上年度结转办件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398780</wp:posOffset>
            </wp:positionH>
            <wp:positionV relativeFrom="page">
              <wp:posOffset>2491740</wp:posOffset>
            </wp:positionV>
            <wp:extent cx="4591050" cy="2800350"/>
            <wp:effectExtent l="0" t="0" r="0" b="0"/>
            <wp:wrapTopAndBottom/>
            <wp:docPr id="4" name="图片 4" descr="167499477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4994771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</w:t>
      </w: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深入推进政府信息规范化管理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健全政府信息发布审查机</w:t>
      </w:r>
      <w:r>
        <w:rPr>
          <w:rFonts w:hint="default" w:ascii="Times New Roman" w:hAnsi="Times New Roman" w:eastAsia="仿宋" w:cs="Times New Roman"/>
          <w:b/>
          <w:sz w:val="32"/>
          <w:szCs w:val="32"/>
          <w:lang w:val="en-US" w:eastAsia="zh-CN"/>
        </w:rPr>
        <w:t>制，严格落实三审制，信息均由处室负责人、分管领导、主要领导逐级审核后对外发布。严格落实信息公开保密审查，做到“上网不涉密，涉密不上网”，做好信息保密审查单留存管理。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开展规范性文件清理工作，</w:t>
      </w: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截至2022年12月31日，市地方金融监管局共2件规范性文件，均在有效期内。</w:t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16530" cy="3863975"/>
            <wp:effectExtent l="0" t="0" r="7620" b="3175"/>
            <wp:docPr id="140" name="图片 140" descr="167273779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6727377950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Style w:val="8"/>
          <w:rFonts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31"/>
          <w:szCs w:val="31"/>
        </w:rPr>
        <w:drawing>
          <wp:inline distT="0" distB="0" distL="114300" distR="114300">
            <wp:extent cx="2713990" cy="3863340"/>
            <wp:effectExtent l="0" t="0" r="1016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</w:t>
      </w: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加强政府信息公开平台建设</w:t>
      </w:r>
    </w:p>
    <w:p>
      <w:pPr>
        <w:spacing w:line="590" w:lineRule="exact"/>
        <w:ind w:right="-100" w:rightChars="-50" w:firstLine="643" w:firstLineChars="200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设置金融支持实体经济政策专栏，借力主流媒体平台，积极宣传金融惠企政策，不断优化金融服务，对群众和企业关切的惠企纾困、“六稳”“六保”、防范非法集资等热点议题，采用创意图解等形式发布解读、回应关切，主动快速实现正面引导。充分发挥政府网站政府信息公开工作主平台、主窗口作用，并定时定期维护平台内容，强化责任管理，做好网络安全自查自评工作，不断提高网站管理服务水平，完善网站安全保障机制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</w:t>
      </w:r>
      <w:r>
        <w:rPr>
          <w:rFonts w:hint="default" w:ascii="Times New Roman" w:hAnsi="Times New Roman" w:eastAsia="方正楷体简体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强化政府信息公开教育及监督保障</w:t>
      </w:r>
    </w:p>
    <w:p>
      <w:pPr>
        <w:spacing w:line="590" w:lineRule="exact"/>
        <w:ind w:right="-100" w:rightChars="-50" w:firstLine="643" w:firstLineChars="200"/>
        <w:rPr>
          <w:rFonts w:hint="default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人负责做好市政府门户网站信息公开平台内容保障，以内容建设为立足点，增强政府信息公开的规范性、准确性、时效性。严格执行《济宁市地方金融管理局信息报道和信息公开管理制度》，加强与市政府办等部门的沟通协调，及时完成交办任务，抓实抓细问题整改，定期督查执行情况，有序推进各项信息公开工作。组织召开政务公开专题工作推进会暨培训会议，围绕政府信息公开网站、公开程序、规范应用等进行深入探讨，进一步提高了信息公开工作人员的业务水平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简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二、主动公开政府信息情况</w:t>
      </w:r>
    </w:p>
    <w:tbl>
      <w:tblPr>
        <w:tblStyle w:val="6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本年制发件数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规章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eastAsia="zh-CN"/>
              </w:rPr>
            </w:pPr>
            <w:r>
              <w:rPr>
                <w:rFonts w:hint="eastAsia" w:eastAsia="方正仿宋简体" w:cs="Times New Roman"/>
                <w:b/>
                <w:sz w:val="24"/>
                <w:szCs w:val="24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spacing w:before="62" w:beforeLines="10" w:after="62" w:afterLines="10" w:line="600" w:lineRule="exact"/>
        <w:ind w:firstLine="643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三、收到和处理政府信息公开申请情况</w:t>
      </w:r>
    </w:p>
    <w:tbl>
      <w:tblPr>
        <w:tblStyle w:val="6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自然人</w:t>
            </w:r>
          </w:p>
        </w:tc>
        <w:tc>
          <w:tcPr>
            <w:tcW w:w="2917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法人或其他组织</w:t>
            </w:r>
          </w:p>
        </w:tc>
        <w:tc>
          <w:tcPr>
            <w:tcW w:w="52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企业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机构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社会公益组织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法律服务机构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其他</w:t>
            </w:r>
          </w:p>
        </w:tc>
        <w:tc>
          <w:tcPr>
            <w:tcW w:w="52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一、本年新收政府信息公开申请数量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二、上年结转政府信息公开申请数量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三、本年度办理结果</w:t>
            </w: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（一）予以公开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（二）部分公开（区分处理的，只计这一情形，不计其他情形）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（三）不予公开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1.属于国家秘密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2.其他法律行政法规禁止公开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3.危及“三安全一稳定”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4.保护第三方合法权益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5.属于三类内部事务信息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6.属于四类过程性信息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7.属于行政执法案卷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8.属于行政查询事项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（四）无法提供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1.本机关不掌握相关政府信息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2.没有现成信息需要另行制作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3.补正后申请内容仍不明确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（五）不予处理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1.信访举报投诉类申请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2.重复申请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3.要求提供公开出版物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4.无正当理由大量反复申请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5.要求行政机关确认或重新出具已获取信息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（六）其他处理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3.其他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（七）总计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left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bidi="ar"/>
              </w:rPr>
              <w:t>四、结转下年度继续办理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0" w:rightChars="-50"/>
        <w:jc w:val="center"/>
        <w:textAlignment w:val="auto"/>
        <w:rPr>
          <w:rFonts w:hint="default" w:ascii="Times New Roman" w:hAnsi="Times New Roman" w:eastAsia="方正黑体简体" w:cs="Times New Roman"/>
          <w:b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0" w:rightChars="-50"/>
        <w:jc w:val="center"/>
        <w:textAlignment w:val="auto"/>
        <w:rPr>
          <w:rFonts w:hint="default" w:ascii="Times New Roman" w:hAnsi="Times New Roman" w:eastAsia="方正黑体简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  <w:lang w:eastAsia="zh-CN"/>
        </w:rPr>
        <w:drawing>
          <wp:inline distT="0" distB="0" distL="114300" distR="114300">
            <wp:extent cx="4552950" cy="2752725"/>
            <wp:effectExtent l="0" t="0" r="0" b="9525"/>
            <wp:docPr id="7" name="图片 7" descr="167499539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49953936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四、政府信息公开行政复议、行政诉讼情况</w:t>
      </w:r>
    </w:p>
    <w:tbl>
      <w:tblPr>
        <w:tblStyle w:val="6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</w:p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40" w:leftChars="-20" w:right="-40" w:rightChars="-20"/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五、存在的主要问题及改进情况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市地方金融监管局政务公开存在的主要问题如下：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（一）工作人员专业水平有待提高；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（二）公开形式还不够丰富，公开内容需进一步深化；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（三）部门网站和政务新媒体建设的规范管理还需进一步加强。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针对存在的问题，将采取以下工作措施加以改进：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一是持续加强信息公开队伍建设。采取集中培训、定期培训和按需培训相结合等方式，加大培训力度，提升政务公开工作人员业务能力和素质；二是持续深入推进政务公开标准化规范化工作，统筹组织各科室拓展政府信息公开层面，进一步加强政府信息主动公开工作，优化政府信息公开渠道，丰富政府信息主动公开的内容，加大政策解读力度，不断提升主动公开政府信息的质量；三是加强政务微信公众号等新媒体平台建设，丰富完善媒体内容，多渠道推进信息公开，及时督促各科室按要求维护责任栏目并及时整改发现的各类问题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黑体简体" w:cs="Times New Roman"/>
          <w:b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sz w:val="32"/>
          <w:szCs w:val="32"/>
        </w:rPr>
        <w:t>六、其他需要报告的事项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（一）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市地方金融监管局无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收取信息处理费的情况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eastAsia="zh-CN"/>
        </w:rPr>
        <w:t>。</w:t>
      </w:r>
    </w:p>
    <w:p>
      <w:pPr>
        <w:spacing w:line="590" w:lineRule="exact"/>
        <w:ind w:right="-100" w:rightChars="-50" w:firstLine="643" w:firstLineChars="200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（二）</w:t>
      </w:r>
      <w:r>
        <w:rPr>
          <w:rFonts w:hint="eastAsia" w:eastAsia="方正仿宋简体" w:cs="Times New Roman"/>
          <w:b/>
          <w:sz w:val="32"/>
          <w:szCs w:val="32"/>
          <w:lang w:eastAsia="zh-CN"/>
        </w:rPr>
        <w:t>市地方金融监管局严格落实政务公开分解表中的各项任务，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  <w:t>成立政务公开工作领导小组，明确责任领导和责任科室，安排专职人员负责政务公开工作，确保政务公开责任到人。及时更新政府信息公开指南相关要素，细化信息公开栏目，丰富政府信息公开内容，加快信息更新速度，确保信息及时、准确和连贯。</w:t>
      </w:r>
    </w:p>
    <w:p>
      <w:pPr>
        <w:spacing w:line="590" w:lineRule="exact"/>
        <w:ind w:right="-100" w:rightChars="-50" w:firstLine="643" w:firstLineChars="200"/>
        <w:rPr>
          <w:rFonts w:hint="default" w:ascii="Times New Roman" w:hAnsi="Times New Roman" w:eastAsia="方正仿宋简体" w:cs="Times New Roman"/>
          <w:b/>
          <w:sz w:val="32"/>
          <w:szCs w:val="32"/>
          <w:lang w:eastAsia="zh-CN"/>
        </w:rPr>
      </w:pPr>
      <w:r>
        <w:rPr>
          <w:rFonts w:hint="eastAsia" w:eastAsia="方正仿宋简体" w:cs="Times New Roman"/>
          <w:b/>
          <w:sz w:val="32"/>
          <w:szCs w:val="32"/>
          <w:lang w:eastAsia="zh-CN"/>
        </w:rPr>
        <w:t>（三）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202</w:t>
      </w:r>
      <w:r>
        <w:rPr>
          <w:rFonts w:hint="eastAsia" w:ascii="Times New Roman" w:hAnsi="Times New Roman" w:eastAsia="方正仿宋简体" w:cs="Times New Roman"/>
          <w:b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年，</w:t>
      </w:r>
      <w:r>
        <w:rPr>
          <w:rFonts w:hint="default" w:ascii="Times New Roman" w:hAnsi="Times New Roman" w:eastAsia="方正仿宋简体" w:cs="Times New Roman"/>
          <w:b/>
          <w:sz w:val="32"/>
          <w:szCs w:val="32"/>
          <w:lang w:val="en-US" w:eastAsia="zh-CN"/>
        </w:rPr>
        <w:t>市地方金融监管局共承办市级人大代表建议、政协提案15件，其中建议4件、提案11件，目前已所提问题均已解决，代表委员满意率均为100%。提案建议内容涉及金融支持实体经济、助推企业对接资本市场、缓解企业融资难融资贵等方面，所提意见建议已吸收采纳并运用至业务工作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0" w:rightChars="-50"/>
        <w:jc w:val="center"/>
        <w:textAlignment w:val="auto"/>
        <w:rPr>
          <w:rFonts w:hint="default" w:ascii="Times New Roman" w:hAnsi="Times New Roman" w:eastAsia="方正仿宋简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  <w:lang w:eastAsia="zh-CN"/>
        </w:rPr>
        <w:drawing>
          <wp:inline distT="0" distB="0" distL="114300" distR="114300">
            <wp:extent cx="4552950" cy="2686050"/>
            <wp:effectExtent l="0" t="0" r="0" b="0"/>
            <wp:docPr id="8" name="图片 8" descr="167499740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49974015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right="-100" w:rightChars="-50" w:firstLine="643" w:firstLineChars="200"/>
        <w:rPr>
          <w:rFonts w:hint="default"/>
        </w:rPr>
      </w:pP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（</w:t>
      </w:r>
      <w:r>
        <w:rPr>
          <w:rFonts w:hint="eastAsia" w:eastAsia="方正仿宋简体" w:cs="Times New Roman"/>
          <w:b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方正仿宋简体" w:cs="Times New Roman"/>
          <w:b/>
          <w:sz w:val="32"/>
          <w:szCs w:val="32"/>
        </w:rPr>
        <w:t>）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highlight w:val="none"/>
          <w:lang w:eastAsia="zh-CN"/>
        </w:rPr>
        <w:t>积极开展“金融服务进万企”活动，推动“政金企”精准高效对接，提升金融服务实体经济能力，为企业高质量发展提供坚实金融保障。认真贯彻落实济宁市委、市政府助企攀登工作部署，加力实施中央、省、市各级金融惠企政策，集中优质金融资源增信贷、优服务、强保障，为推进济宁市制造强市突破战略奠定坚实金融基础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D988AFA7-A106-4178-8E6A-710C7B4EB796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141748AC-7DFD-4BA6-BE34-970CB5CD8630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0B76E738-34BA-4D1D-B8AA-F3A722A0B052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C9F7B992-36FB-4DAF-9B1A-81438543A73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3D7090C-5CD3-4A58-8A2B-01A9C225AF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2449195</wp:posOffset>
              </wp:positionH>
              <wp:positionV relativeFrom="paragraph">
                <wp:posOffset>-243840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2.85pt;margin-top:-19.2pt;height:144pt;width:144pt;mso-position-horizontal-relative:margin;mso-wrap-style:none;z-index:251660288;mso-width-relative:page;mso-height-relative:page;" filled="f" stroked="f" coordsize="21600,21600" o:gfxdata="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VuO1PZAAAACwEAAA8AAAAAAAAAAQAgAAAAIgAAAGRycy9kb3ducmV2Lnht&#10;bFBLAQIUABQAAAAIAIdO4kAwiRJeMQIAAGEEAAAOAAAAAAAAAAEAIAAAACg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lODgyZjgwNzBhYzIzMjk3ZWQzMjIyNzVhYTU2ZTUifQ=="/>
  </w:docVars>
  <w:rsids>
    <w:rsidRoot w:val="00000000"/>
    <w:rsid w:val="01E220AF"/>
    <w:rsid w:val="03321D76"/>
    <w:rsid w:val="0956560F"/>
    <w:rsid w:val="09777320"/>
    <w:rsid w:val="0C5D50AB"/>
    <w:rsid w:val="0D8407A6"/>
    <w:rsid w:val="159F4940"/>
    <w:rsid w:val="186F79EE"/>
    <w:rsid w:val="1A4563DB"/>
    <w:rsid w:val="1D0600A4"/>
    <w:rsid w:val="204D5A76"/>
    <w:rsid w:val="20840E5E"/>
    <w:rsid w:val="20B52042"/>
    <w:rsid w:val="330C07F2"/>
    <w:rsid w:val="341E492E"/>
    <w:rsid w:val="35265A58"/>
    <w:rsid w:val="3E86299B"/>
    <w:rsid w:val="3EBC016B"/>
    <w:rsid w:val="41A53138"/>
    <w:rsid w:val="438A53B2"/>
    <w:rsid w:val="57AC2398"/>
    <w:rsid w:val="59077740"/>
    <w:rsid w:val="59B1125E"/>
    <w:rsid w:val="5AB547D8"/>
    <w:rsid w:val="5FA82319"/>
    <w:rsid w:val="60B67B33"/>
    <w:rsid w:val="65E31147"/>
    <w:rsid w:val="675039C2"/>
    <w:rsid w:val="68466B73"/>
    <w:rsid w:val="6A8358CF"/>
    <w:rsid w:val="735A6C67"/>
    <w:rsid w:val="758D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3091</Words>
  <Characters>3202</Characters>
  <Lines>0</Lines>
  <Paragraphs>0</Paragraphs>
  <TotalTime>0</TotalTime>
  <ScaleCrop>false</ScaleCrop>
  <LinksUpToDate>false</LinksUpToDate>
  <CharactersWithSpaces>3204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2022-01-18T05:40:00Z</dcterms:created>
  <dc:creator>Administrator</dc:creator>
  <cp:lastModifiedBy>李龙亮</cp:lastModifiedBy>
  <cp:lastPrinted>2022-01-19T07:06:00Z</cp:lastPrinted>
  <dcterms:modified xsi:type="dcterms:W3CDTF">2023-03-01T10:24:36Z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C285A7933FDE4E0198AAD6153D38ED08</vt:lpwstr>
  </property>
</Properties>
</file>